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4910F" w14:textId="7F156C80" w:rsidR="000851EC" w:rsidRPr="00AA48EB" w:rsidRDefault="0019428A" w:rsidP="0060724F">
      <w:pPr>
        <w:pStyle w:val="Title"/>
        <w:spacing w:line="360" w:lineRule="auto"/>
      </w:pPr>
      <w:r w:rsidRPr="00AA48EB">
        <w:t>Avoiding</w:t>
      </w:r>
      <w:r w:rsidR="000851EC" w:rsidRPr="00AA48EB">
        <w:t xml:space="preserve"> a coup</w:t>
      </w:r>
    </w:p>
    <w:p w14:paraId="0C917FEC" w14:textId="76889F81" w:rsidR="00575233" w:rsidRPr="00AA48EB" w:rsidRDefault="00575233" w:rsidP="0060724F">
      <w:pPr>
        <w:pStyle w:val="Subtitle"/>
        <w:spacing w:line="360" w:lineRule="auto"/>
      </w:pPr>
      <w:r w:rsidRPr="00AA48EB">
        <w:t>An analysis of social factors and their effect on healthy life expectancy at birth</w:t>
      </w:r>
    </w:p>
    <w:p w14:paraId="2958ABF5" w14:textId="60A27E06" w:rsidR="004C711F" w:rsidRDefault="00245034" w:rsidP="0060724F">
      <w:pPr>
        <w:pStyle w:val="Heading1"/>
        <w:spacing w:line="360" w:lineRule="auto"/>
      </w:pPr>
      <w:r>
        <w:t>Abstract</w:t>
      </w:r>
    </w:p>
    <w:p w14:paraId="2A27F357" w14:textId="55B3D411" w:rsidR="00B34EAE" w:rsidRDefault="00B34EAE" w:rsidP="0060724F">
      <w:pPr>
        <w:spacing w:line="360" w:lineRule="auto"/>
        <w:rPr>
          <w:rFonts w:cs="Times New Roman"/>
        </w:rPr>
      </w:pPr>
      <w:r>
        <w:tab/>
      </w:r>
      <w:r w:rsidR="003A032E">
        <w:t>When attempting to predict life expectancy, the current focus is on the effect</w:t>
      </w:r>
      <w:r w:rsidR="00C41B4B">
        <w:t xml:space="preserve"> </w:t>
      </w:r>
      <w:r w:rsidR="006B5A88">
        <w:t xml:space="preserve">factors directly linked to </w:t>
      </w:r>
      <w:r w:rsidR="00C41B4B">
        <w:t>health and wellness</w:t>
      </w:r>
      <w:r w:rsidR="00331C34">
        <w:t xml:space="preserve"> have</w:t>
      </w:r>
      <w:r>
        <w:t xml:space="preserve">. </w:t>
      </w:r>
      <w:r w:rsidR="003A032E">
        <w:t xml:space="preserve">However, </w:t>
      </w:r>
      <w:r w:rsidR="006B5A88">
        <w:t>to accurately</w:t>
      </w:r>
      <w:r w:rsidR="003A032E">
        <w:t xml:space="preserve"> estimat</w:t>
      </w:r>
      <w:r w:rsidR="006B5A88">
        <w:t>e</w:t>
      </w:r>
      <w:r w:rsidR="003A032E">
        <w:t xml:space="preserve"> l</w:t>
      </w:r>
      <w:r>
        <w:t>ife expectancy</w:t>
      </w:r>
      <w:r w:rsidR="003A032E">
        <w:t xml:space="preserve">, factors </w:t>
      </w:r>
      <w:r w:rsidR="00331C34">
        <w:t>beyond these</w:t>
      </w:r>
      <w:r w:rsidR="003A032E">
        <w:t xml:space="preserve"> need to be considered.</w:t>
      </w:r>
      <w:r>
        <w:t xml:space="preserve"> This</w:t>
      </w:r>
      <w:r w:rsidR="003A032E">
        <w:t xml:space="preserve"> paper</w:t>
      </w:r>
      <w:r>
        <w:t xml:space="preserve"> analyzes the impact </w:t>
      </w:r>
      <w:r w:rsidR="00331C34">
        <w:t>societal</w:t>
      </w:r>
      <w:r w:rsidR="002D4266">
        <w:t xml:space="preserve"> </w:t>
      </w:r>
      <w:r>
        <w:t>factors have on healthy life expectancy at birth</w:t>
      </w:r>
      <w:r w:rsidR="00637A69">
        <w:t xml:space="preserve"> </w:t>
      </w:r>
      <w:r w:rsidR="00C41B4B">
        <w:t>on a country wide</w:t>
      </w:r>
      <w:r w:rsidR="006B5A88">
        <w:t xml:space="preserve"> level</w:t>
      </w:r>
      <w:r>
        <w:t xml:space="preserve">.  The data </w:t>
      </w:r>
      <w:r w:rsidR="002D4266">
        <w:t>used within</w:t>
      </w:r>
      <w:r>
        <w:t xml:space="preserve"> this </w:t>
      </w:r>
      <w:r w:rsidR="002D4266">
        <w:t>analysis</w:t>
      </w:r>
      <w:r>
        <w:t xml:space="preserve"> comes from an aggregation of 12 years of </w:t>
      </w:r>
      <w:r w:rsidR="00C41B4B">
        <w:t>surveying</w:t>
      </w:r>
      <w:r>
        <w:t xml:space="preserve"> the happiness of citizens of countries around the world. Models were created and compared with an emphasis on simplicity of understanding. </w:t>
      </w:r>
      <w:r w:rsidR="00A218E2">
        <w:t xml:space="preserve">Factors were split into 2 categories, those that </w:t>
      </w:r>
      <w:r w:rsidR="002D4266">
        <w:t>increased estimated</w:t>
      </w:r>
      <w:r w:rsidR="00A218E2">
        <w:t xml:space="preserve"> healthy life expectancy at birth, and those that </w:t>
      </w:r>
      <w:r w:rsidR="002D4266">
        <w:t>decreased it.</w:t>
      </w:r>
      <w:r w:rsidR="00A218E2">
        <w:t xml:space="preserve"> The values that </w:t>
      </w:r>
      <w:r w:rsidR="002D4266">
        <w:t>increased estimated</w:t>
      </w:r>
      <w:r w:rsidR="00A218E2">
        <w:t xml:space="preserve"> healthy life expectancy at birth in descending order are as follows: </w:t>
      </w:r>
      <w:r w:rsidR="00A218E2" w:rsidRPr="006507A5">
        <w:rPr>
          <w:rFonts w:cs="Times New Roman"/>
        </w:rPr>
        <w:t>Negative affect</w:t>
      </w:r>
      <w:r w:rsidR="00A218E2">
        <w:rPr>
          <w:rFonts w:cs="Times New Roman"/>
        </w:rPr>
        <w:t xml:space="preserve">, </w:t>
      </w:r>
      <w:r w:rsidR="00A218E2" w:rsidRPr="006507A5">
        <w:rPr>
          <w:rFonts w:cs="Times New Roman"/>
        </w:rPr>
        <w:t>Positive affect</w:t>
      </w:r>
      <w:r w:rsidR="00A218E2">
        <w:rPr>
          <w:rFonts w:cs="Times New Roman"/>
        </w:rPr>
        <w:t xml:space="preserve">, </w:t>
      </w:r>
      <w:r w:rsidR="00A218E2" w:rsidRPr="006507A5">
        <w:rPr>
          <w:rFonts w:cs="Times New Roman"/>
        </w:rPr>
        <w:t>Freedom to make life choices</w:t>
      </w:r>
      <w:r w:rsidR="00A218E2">
        <w:rPr>
          <w:rFonts w:cs="Times New Roman"/>
        </w:rPr>
        <w:t xml:space="preserve">, </w:t>
      </w:r>
      <w:r w:rsidR="00A218E2" w:rsidRPr="006507A5">
        <w:rPr>
          <w:rFonts w:cs="Times New Roman"/>
        </w:rPr>
        <w:t>Social support</w:t>
      </w:r>
      <w:r w:rsidR="00A218E2">
        <w:rPr>
          <w:rFonts w:cs="Times New Roman"/>
        </w:rPr>
        <w:t xml:space="preserve">, </w:t>
      </w:r>
      <w:r w:rsidR="00A218E2" w:rsidRPr="006507A5">
        <w:rPr>
          <w:rFonts w:cs="Times New Roman"/>
        </w:rPr>
        <w:t>Log GDP per capita</w:t>
      </w:r>
      <w:r w:rsidR="00A218E2">
        <w:rPr>
          <w:rFonts w:cs="Times New Roman"/>
        </w:rPr>
        <w:t xml:space="preserve">, </w:t>
      </w:r>
      <w:r w:rsidR="00A218E2" w:rsidRPr="006507A5">
        <w:rPr>
          <w:rFonts w:cs="Times New Roman"/>
        </w:rPr>
        <w:t>Life ladder</w:t>
      </w:r>
      <w:r w:rsidR="00A218E2">
        <w:rPr>
          <w:rFonts w:cs="Times New Roman"/>
        </w:rPr>
        <w:t xml:space="preserve">, and </w:t>
      </w:r>
      <w:r w:rsidR="00A218E2" w:rsidRPr="006507A5">
        <w:rPr>
          <w:rFonts w:cs="Times New Roman"/>
        </w:rPr>
        <w:t>Delivery quality</w:t>
      </w:r>
      <w:r w:rsidR="00A218E2">
        <w:rPr>
          <w:rFonts w:cs="Times New Roman"/>
        </w:rPr>
        <w:t xml:space="preserve">. </w:t>
      </w:r>
      <w:r w:rsidR="00A218E2">
        <w:t xml:space="preserve">The values that </w:t>
      </w:r>
      <w:r w:rsidR="002D4266">
        <w:t>decreased estimated</w:t>
      </w:r>
      <w:r w:rsidR="00A218E2">
        <w:t xml:space="preserve"> healthy life expectancy at birth in descending order are as follows: </w:t>
      </w:r>
      <w:r w:rsidR="00A218E2" w:rsidRPr="006507A5">
        <w:rPr>
          <w:rFonts w:cs="Times New Roman"/>
        </w:rPr>
        <w:t>GINI world bank estimate</w:t>
      </w:r>
      <w:r w:rsidR="00A218E2">
        <w:rPr>
          <w:rFonts w:cs="Times New Roman"/>
        </w:rPr>
        <w:t xml:space="preserve">, </w:t>
      </w:r>
      <w:r w:rsidR="00A218E2" w:rsidRPr="006507A5">
        <w:rPr>
          <w:rFonts w:cs="Times New Roman"/>
        </w:rPr>
        <w:t>Generosity</w:t>
      </w:r>
      <w:r w:rsidR="00A218E2">
        <w:rPr>
          <w:rFonts w:cs="Times New Roman"/>
        </w:rPr>
        <w:t xml:space="preserve">, </w:t>
      </w:r>
      <w:r w:rsidR="00A218E2" w:rsidRPr="006507A5">
        <w:rPr>
          <w:rFonts w:cs="Times New Roman"/>
        </w:rPr>
        <w:t>Confidence in national government</w:t>
      </w:r>
      <w:r w:rsidR="00A218E2">
        <w:rPr>
          <w:rFonts w:cs="Times New Roman"/>
        </w:rPr>
        <w:t xml:space="preserve">. </w:t>
      </w:r>
    </w:p>
    <w:p w14:paraId="29BDE692" w14:textId="25125DC8" w:rsidR="00F55D71" w:rsidRDefault="00F55D71" w:rsidP="0060724F">
      <w:pPr>
        <w:pStyle w:val="Heading1"/>
        <w:spacing w:line="360" w:lineRule="auto"/>
      </w:pPr>
      <w:r>
        <w:t>Introduction</w:t>
      </w:r>
    </w:p>
    <w:p w14:paraId="6ED59298" w14:textId="60F20CB4" w:rsidR="003337FC" w:rsidRPr="00AA48EB" w:rsidRDefault="00C41B4B" w:rsidP="00C96559">
      <w:pPr>
        <w:spacing w:line="360" w:lineRule="auto"/>
      </w:pPr>
      <w:r>
        <w:tab/>
      </w:r>
      <w:r w:rsidR="00C96559">
        <w:t xml:space="preserve">The average life expectancy of a country’s residents is an important statistic to both its citizens and governments. Citizens may use this information to determine whether to stay in the country, or if possible, move to a country with a higher life expectancy. Governments need this statistic to help manage their countries population. </w:t>
      </w:r>
      <w:r>
        <w:t>When attempting to estim</w:t>
      </w:r>
      <w:r w:rsidR="00C96559">
        <w:t>ate this statistic</w:t>
      </w:r>
      <w:r>
        <w:t xml:space="preserve">, </w:t>
      </w:r>
      <w:r w:rsidR="00C96559">
        <w:t xml:space="preserve">an emphasis is placed on factors directly </w:t>
      </w:r>
      <w:r w:rsidR="006B5A88">
        <w:t xml:space="preserve">linked </w:t>
      </w:r>
      <w:r w:rsidR="00C96559">
        <w:t>to health and wellness</w:t>
      </w:r>
      <w:r>
        <w:t xml:space="preserve">. </w:t>
      </w:r>
      <w:r w:rsidR="00C96559">
        <w:t>Factors that fall under this category</w:t>
      </w:r>
      <w:r>
        <w:t xml:space="preserve"> include existing medical conditions, diet, exercise habits, etc. In many cases, the impact that a countries societal factor</w:t>
      </w:r>
      <w:r w:rsidR="00331C34">
        <w:t>s</w:t>
      </w:r>
      <w:r>
        <w:t xml:space="preserve"> </w:t>
      </w:r>
      <w:r w:rsidR="00331C34">
        <w:t xml:space="preserve">may have </w:t>
      </w:r>
      <w:r w:rsidR="00C96559">
        <w:t>been</w:t>
      </w:r>
      <w:r w:rsidR="00331C34">
        <w:t xml:space="preserve"> not considered. </w:t>
      </w:r>
      <w:r w:rsidR="00C96559">
        <w:t xml:space="preserve">This report attempts to analyze what societal factors have a significant statistical impact on country wide healthy life expectancy as well as their level of affect. </w:t>
      </w:r>
    </w:p>
    <w:p w14:paraId="19F850B8" w14:textId="77777777" w:rsidR="005F3B9B" w:rsidRDefault="00686C0D" w:rsidP="005F3B9B">
      <w:pPr>
        <w:spacing w:line="360" w:lineRule="auto"/>
      </w:pPr>
      <w:r w:rsidRPr="005F3B9B">
        <w:rPr>
          <w:rStyle w:val="Heading1Char"/>
        </w:rPr>
        <w:t xml:space="preserve">Data </w:t>
      </w:r>
    </w:p>
    <w:p w14:paraId="7CEB1570" w14:textId="56EEE998" w:rsidR="005F3B9B" w:rsidRPr="00AA48EB" w:rsidRDefault="003337FC" w:rsidP="005F3B9B">
      <w:pPr>
        <w:spacing w:line="360" w:lineRule="auto"/>
        <w:ind w:firstLine="720"/>
      </w:pPr>
      <w:r w:rsidRPr="00AA48EB">
        <w:t xml:space="preserve">Data used </w:t>
      </w:r>
      <w:r w:rsidR="00331C34">
        <w:t>in</w:t>
      </w:r>
      <w:r w:rsidRPr="00AA48EB">
        <w:t xml:space="preserve"> this analysis comes from the World Happiness report of 2020. Values come from </w:t>
      </w:r>
      <w:r w:rsidR="00331C34">
        <w:t xml:space="preserve">country wide </w:t>
      </w:r>
      <w:r w:rsidRPr="00AA48EB">
        <w:t xml:space="preserve">averages of survey responses from the years of 2005 to 2017. </w:t>
      </w:r>
      <w:r w:rsidR="002D4266">
        <w:t xml:space="preserve">Variables with more than </w:t>
      </w:r>
      <w:r w:rsidR="002D4266">
        <w:lastRenderedPageBreak/>
        <w:t>50% of the values missing were removed</w:t>
      </w:r>
      <w:r w:rsidR="00AA48EB" w:rsidRPr="00AA48EB">
        <w:t>. Variables that created too granular an analysis, such as year or country, were</w:t>
      </w:r>
      <w:r w:rsidR="00331C34">
        <w:t xml:space="preserve"> not included in the analysis</w:t>
      </w:r>
      <w:r w:rsidR="00AA48EB" w:rsidRPr="00AA48EB">
        <w:t>. Remaining variables containing missing values were imputed using the median values of said variables.</w:t>
      </w:r>
      <w:r w:rsidR="00AA48EB">
        <w:t xml:space="preserve"> These remaining variables are comprised of average values </w:t>
      </w:r>
      <w:r w:rsidR="008E353F">
        <w:t>of survey responses to many social aspects of citizen life as well as the average value for the GINI index of the country for that year.</w:t>
      </w:r>
      <w:r w:rsidR="002D4266">
        <w:t xml:space="preserve"> </w:t>
      </w:r>
      <w:r w:rsidR="002F26AA">
        <w:t>Descriptions of variables used in this analysis can be found in the following table.</w:t>
      </w:r>
    </w:p>
    <w:tbl>
      <w:tblPr>
        <w:tblStyle w:val="TableGrid"/>
        <w:tblW w:w="0" w:type="auto"/>
        <w:tblLook w:val="04A0" w:firstRow="1" w:lastRow="0" w:firstColumn="1" w:lastColumn="0" w:noHBand="0" w:noVBand="1"/>
      </w:tblPr>
      <w:tblGrid>
        <w:gridCol w:w="4675"/>
        <w:gridCol w:w="4675"/>
      </w:tblGrid>
      <w:tr w:rsidR="005F3B9B" w14:paraId="6BB200D6" w14:textId="77777777" w:rsidTr="00E9196C">
        <w:tc>
          <w:tcPr>
            <w:tcW w:w="9350" w:type="dxa"/>
            <w:gridSpan w:val="2"/>
          </w:tcPr>
          <w:p w14:paraId="4C837F28" w14:textId="2496297C" w:rsidR="005F3B9B" w:rsidRDefault="005F3B9B" w:rsidP="005F3B9B">
            <w:pPr>
              <w:spacing w:line="360" w:lineRule="auto"/>
              <w:jc w:val="center"/>
            </w:pPr>
            <w:r>
              <w:t>Data Dictionary</w:t>
            </w:r>
          </w:p>
        </w:tc>
      </w:tr>
      <w:tr w:rsidR="005F3B9B" w14:paraId="111C1B22" w14:textId="77777777" w:rsidTr="005F3B9B">
        <w:tc>
          <w:tcPr>
            <w:tcW w:w="4675" w:type="dxa"/>
          </w:tcPr>
          <w:p w14:paraId="26D713BF" w14:textId="6B26B58F" w:rsidR="005F3B9B" w:rsidRDefault="005F3B9B" w:rsidP="0060724F">
            <w:pPr>
              <w:spacing w:line="360" w:lineRule="auto"/>
            </w:pPr>
            <w:r w:rsidRPr="006507A5">
              <w:rPr>
                <w:rFonts w:cs="Times New Roman"/>
              </w:rPr>
              <w:t>Negative affect</w:t>
            </w:r>
          </w:p>
        </w:tc>
        <w:tc>
          <w:tcPr>
            <w:tcW w:w="4675" w:type="dxa"/>
          </w:tcPr>
          <w:p w14:paraId="241D3F8F" w14:textId="516CA525" w:rsidR="005F3B9B" w:rsidRDefault="005F3B9B" w:rsidP="0060724F">
            <w:pPr>
              <w:spacing w:line="360" w:lineRule="auto"/>
            </w:pPr>
            <w:r>
              <w:t xml:space="preserve">The average of binary responses to survey questions asking about the feelings worry, sadness, and anger. </w:t>
            </w:r>
          </w:p>
        </w:tc>
      </w:tr>
      <w:tr w:rsidR="005F3B9B" w14:paraId="3858672B" w14:textId="77777777" w:rsidTr="005F3B9B">
        <w:tc>
          <w:tcPr>
            <w:tcW w:w="4675" w:type="dxa"/>
          </w:tcPr>
          <w:p w14:paraId="7E499415" w14:textId="5F041A0E" w:rsidR="005F3B9B" w:rsidRDefault="005F3B9B" w:rsidP="0060724F">
            <w:pPr>
              <w:spacing w:line="360" w:lineRule="auto"/>
            </w:pPr>
            <w:r>
              <w:t>Positive affect</w:t>
            </w:r>
          </w:p>
        </w:tc>
        <w:tc>
          <w:tcPr>
            <w:tcW w:w="4675" w:type="dxa"/>
          </w:tcPr>
          <w:p w14:paraId="67C2D453" w14:textId="02161442" w:rsidR="005F3B9B" w:rsidRDefault="005F3B9B" w:rsidP="0060724F">
            <w:pPr>
              <w:spacing w:line="360" w:lineRule="auto"/>
            </w:pPr>
            <w:r>
              <w:t>The average of binary responses to survey questions asking about laughter, happiness, and enjoyment.</w:t>
            </w:r>
          </w:p>
        </w:tc>
      </w:tr>
      <w:tr w:rsidR="005F3B9B" w14:paraId="715875B0" w14:textId="77777777" w:rsidTr="005F3B9B">
        <w:tc>
          <w:tcPr>
            <w:tcW w:w="4675" w:type="dxa"/>
          </w:tcPr>
          <w:p w14:paraId="327AAF7E" w14:textId="7388DE1B" w:rsidR="005F3B9B" w:rsidRDefault="005F3B9B" w:rsidP="0060724F">
            <w:pPr>
              <w:spacing w:line="360" w:lineRule="auto"/>
            </w:pPr>
            <w:r w:rsidRPr="006507A5">
              <w:rPr>
                <w:rFonts w:cs="Times New Roman"/>
              </w:rPr>
              <w:t>Freedom to make life choices</w:t>
            </w:r>
          </w:p>
        </w:tc>
        <w:tc>
          <w:tcPr>
            <w:tcW w:w="4675" w:type="dxa"/>
          </w:tcPr>
          <w:p w14:paraId="27AB4A91" w14:textId="60F2ED03" w:rsidR="005F3B9B" w:rsidRDefault="005F3B9B" w:rsidP="0060724F">
            <w:pPr>
              <w:spacing w:line="360" w:lineRule="auto"/>
            </w:pPr>
            <w:r>
              <w:t>The average of responses to the question “Are you satisfied or dissatisfied with your freedom to choose what you do with your life?” A yes is equivalent to 1, and 0 to no.</w:t>
            </w:r>
          </w:p>
        </w:tc>
      </w:tr>
      <w:tr w:rsidR="005F3B9B" w14:paraId="640619D1" w14:textId="77777777" w:rsidTr="005F3B9B">
        <w:tc>
          <w:tcPr>
            <w:tcW w:w="4675" w:type="dxa"/>
          </w:tcPr>
          <w:p w14:paraId="69A7D90C" w14:textId="3BB5F48A" w:rsidR="005F3B9B" w:rsidRDefault="005F3B9B" w:rsidP="0060724F">
            <w:pPr>
              <w:spacing w:line="360" w:lineRule="auto"/>
            </w:pPr>
            <w:r w:rsidRPr="006507A5">
              <w:rPr>
                <w:rFonts w:cs="Times New Roman"/>
              </w:rPr>
              <w:t>Social support</w:t>
            </w:r>
          </w:p>
        </w:tc>
        <w:tc>
          <w:tcPr>
            <w:tcW w:w="4675" w:type="dxa"/>
          </w:tcPr>
          <w:p w14:paraId="673E81CA" w14:textId="2332EEFC" w:rsidR="005F3B9B" w:rsidRDefault="005F3B9B" w:rsidP="0060724F">
            <w:pPr>
              <w:spacing w:line="360" w:lineRule="auto"/>
            </w:pPr>
            <w:r>
              <w:t>The average of responses to the question “If you were in trouble, do you have relatives or friends you can count on to help you whenever you need them, or not?” A yes is equivalent to 1, and 0 to no.</w:t>
            </w:r>
          </w:p>
        </w:tc>
      </w:tr>
      <w:tr w:rsidR="005F3B9B" w14:paraId="1D1270CF" w14:textId="77777777" w:rsidTr="005F3B9B">
        <w:tc>
          <w:tcPr>
            <w:tcW w:w="4675" w:type="dxa"/>
          </w:tcPr>
          <w:p w14:paraId="5919554B" w14:textId="79772D10" w:rsidR="005F3B9B" w:rsidRDefault="005F3B9B" w:rsidP="0060724F">
            <w:pPr>
              <w:spacing w:line="360" w:lineRule="auto"/>
            </w:pPr>
            <w:r w:rsidRPr="006507A5">
              <w:rPr>
                <w:rFonts w:cs="Times New Roman"/>
              </w:rPr>
              <w:t>Log GDP per capita</w:t>
            </w:r>
          </w:p>
        </w:tc>
        <w:tc>
          <w:tcPr>
            <w:tcW w:w="4675" w:type="dxa"/>
          </w:tcPr>
          <w:p w14:paraId="3BEA0D71" w14:textId="4ABDFB77" w:rsidR="005F3B9B" w:rsidRDefault="005F3B9B" w:rsidP="0060724F">
            <w:pPr>
              <w:spacing w:line="360" w:lineRule="auto"/>
            </w:pPr>
            <w:r>
              <w:t>This statistic is relative to purchasing power parity at 2011 international dollar prices.</w:t>
            </w:r>
          </w:p>
        </w:tc>
      </w:tr>
      <w:tr w:rsidR="005F3B9B" w14:paraId="2BF876D3" w14:textId="77777777" w:rsidTr="005F3B9B">
        <w:tc>
          <w:tcPr>
            <w:tcW w:w="4675" w:type="dxa"/>
          </w:tcPr>
          <w:p w14:paraId="677E76FC" w14:textId="6713754A" w:rsidR="005F3B9B" w:rsidRDefault="005F3B9B" w:rsidP="0060724F">
            <w:pPr>
              <w:spacing w:line="360" w:lineRule="auto"/>
            </w:pPr>
            <w:r w:rsidRPr="006507A5">
              <w:rPr>
                <w:rFonts w:cs="Times New Roman"/>
              </w:rPr>
              <w:t>Life ladder</w:t>
            </w:r>
          </w:p>
        </w:tc>
        <w:tc>
          <w:tcPr>
            <w:tcW w:w="4675" w:type="dxa"/>
          </w:tcPr>
          <w:p w14:paraId="79A78DD1" w14:textId="38079816" w:rsidR="005F3B9B" w:rsidRDefault="002F26AA" w:rsidP="0060724F">
            <w:pPr>
              <w:spacing w:line="360" w:lineRule="auto"/>
            </w:pPr>
            <w:r>
              <w:t xml:space="preserve">The average of responses to the question “Please imagine a ladder, with steps numbered from 0 at the bottom to 10 at the top. The top of the ladder represents the best possible life for you and the bottom of the ladder represents the worst possible life for you. On which step of the </w:t>
            </w:r>
            <w:r>
              <w:lastRenderedPageBreak/>
              <w:t>ladder would you say you personally feel you stand at this time?”</w:t>
            </w:r>
          </w:p>
        </w:tc>
      </w:tr>
      <w:tr w:rsidR="005F3B9B" w14:paraId="1923D473" w14:textId="77777777" w:rsidTr="005F3B9B">
        <w:tc>
          <w:tcPr>
            <w:tcW w:w="4675" w:type="dxa"/>
          </w:tcPr>
          <w:p w14:paraId="75F345B4" w14:textId="73CA7200" w:rsidR="005F3B9B" w:rsidRDefault="005F3B9B" w:rsidP="0060724F">
            <w:pPr>
              <w:spacing w:line="360" w:lineRule="auto"/>
            </w:pPr>
            <w:r w:rsidRPr="006507A5">
              <w:rPr>
                <w:rFonts w:cs="Times New Roman"/>
              </w:rPr>
              <w:lastRenderedPageBreak/>
              <w:t>Delivery quality</w:t>
            </w:r>
          </w:p>
        </w:tc>
        <w:tc>
          <w:tcPr>
            <w:tcW w:w="4675" w:type="dxa"/>
          </w:tcPr>
          <w:p w14:paraId="10C60E6B" w14:textId="4620E05F" w:rsidR="005F3B9B" w:rsidRDefault="002F26AA" w:rsidP="0060724F">
            <w:pPr>
              <w:spacing w:line="360" w:lineRule="auto"/>
            </w:pPr>
            <w:r>
              <w:t>This refers to the governments exercise of power in the following aspects: rule of law, control of corruption, regulatory quality, and government effectiveness</w:t>
            </w:r>
          </w:p>
        </w:tc>
      </w:tr>
      <w:tr w:rsidR="002F26AA" w14:paraId="126A4DD4" w14:textId="77777777" w:rsidTr="005F3B9B">
        <w:tc>
          <w:tcPr>
            <w:tcW w:w="4675" w:type="dxa"/>
          </w:tcPr>
          <w:p w14:paraId="02F2EDD4" w14:textId="02B8EA23" w:rsidR="002F26AA" w:rsidRPr="006507A5" w:rsidRDefault="002F26AA" w:rsidP="0060724F">
            <w:pPr>
              <w:spacing w:line="360" w:lineRule="auto"/>
              <w:rPr>
                <w:rFonts w:cs="Times New Roman"/>
              </w:rPr>
            </w:pPr>
            <w:r w:rsidRPr="006507A5">
              <w:rPr>
                <w:rFonts w:cs="Times New Roman"/>
              </w:rPr>
              <w:t>GINI world bank estimate</w:t>
            </w:r>
          </w:p>
        </w:tc>
        <w:tc>
          <w:tcPr>
            <w:tcW w:w="4675" w:type="dxa"/>
          </w:tcPr>
          <w:p w14:paraId="3C9A9C48" w14:textId="331F0A30" w:rsidR="002F26AA" w:rsidRDefault="002F26AA" w:rsidP="0060724F">
            <w:pPr>
              <w:spacing w:line="360" w:lineRule="auto"/>
            </w:pPr>
            <w:r>
              <w:t>A numerical representation of distribution of income. A value closer to 0 represents a more income equality distribution</w:t>
            </w:r>
          </w:p>
        </w:tc>
      </w:tr>
      <w:tr w:rsidR="002F26AA" w14:paraId="663C5D08" w14:textId="77777777" w:rsidTr="005F3B9B">
        <w:tc>
          <w:tcPr>
            <w:tcW w:w="4675" w:type="dxa"/>
          </w:tcPr>
          <w:p w14:paraId="5A846AB8" w14:textId="107D6D3E" w:rsidR="002F26AA" w:rsidRPr="006507A5" w:rsidRDefault="002F26AA" w:rsidP="002F26AA">
            <w:pPr>
              <w:spacing w:line="360" w:lineRule="auto"/>
              <w:rPr>
                <w:rFonts w:cs="Times New Roman"/>
              </w:rPr>
            </w:pPr>
            <w:r w:rsidRPr="006507A5">
              <w:rPr>
                <w:rFonts w:cs="Times New Roman"/>
              </w:rPr>
              <w:t>Generosity</w:t>
            </w:r>
          </w:p>
        </w:tc>
        <w:tc>
          <w:tcPr>
            <w:tcW w:w="4675" w:type="dxa"/>
          </w:tcPr>
          <w:p w14:paraId="24FF03AA" w14:textId="10DCAB5B" w:rsidR="002F26AA" w:rsidRDefault="002F26AA" w:rsidP="002F26AA">
            <w:pPr>
              <w:spacing w:line="360" w:lineRule="auto"/>
            </w:pPr>
            <w:r>
              <w:t>The average of responses to the question “Have you donated money to a charity in the past month?” A yes is equivalent to 1, and 0 to no.</w:t>
            </w:r>
          </w:p>
        </w:tc>
      </w:tr>
      <w:tr w:rsidR="002F26AA" w14:paraId="7E43B294" w14:textId="77777777" w:rsidTr="005F3B9B">
        <w:tc>
          <w:tcPr>
            <w:tcW w:w="4675" w:type="dxa"/>
          </w:tcPr>
          <w:p w14:paraId="3BC923E3" w14:textId="67304809" w:rsidR="002F26AA" w:rsidRPr="006507A5" w:rsidRDefault="002F26AA" w:rsidP="002F26AA">
            <w:pPr>
              <w:spacing w:line="360" w:lineRule="auto"/>
              <w:rPr>
                <w:rFonts w:cs="Times New Roman"/>
              </w:rPr>
            </w:pPr>
            <w:r w:rsidRPr="006507A5">
              <w:rPr>
                <w:rFonts w:cs="Times New Roman"/>
              </w:rPr>
              <w:t>Confidence in national government</w:t>
            </w:r>
          </w:p>
        </w:tc>
        <w:tc>
          <w:tcPr>
            <w:tcW w:w="4675" w:type="dxa"/>
          </w:tcPr>
          <w:p w14:paraId="2E729ED2" w14:textId="702E44E6" w:rsidR="002F26AA" w:rsidRDefault="002F26AA" w:rsidP="002F26AA">
            <w:pPr>
              <w:spacing w:line="360" w:lineRule="auto"/>
            </w:pPr>
            <w:r>
              <w:t>The average of responses to a question asking about citizens confidence in their government. A yes is equivalent to 1, and 0 to no.</w:t>
            </w:r>
          </w:p>
        </w:tc>
      </w:tr>
    </w:tbl>
    <w:p w14:paraId="6F01C19C" w14:textId="5A27A63D" w:rsidR="003337FC" w:rsidRPr="002F26AA" w:rsidRDefault="002F26AA" w:rsidP="002F26AA">
      <w:pPr>
        <w:spacing w:line="360" w:lineRule="auto"/>
        <w:rPr>
          <w:rFonts w:cs="Times New Roman"/>
          <w:sz w:val="16"/>
          <w:szCs w:val="16"/>
        </w:rPr>
      </w:pPr>
      <w:r w:rsidRPr="006507A5">
        <w:rPr>
          <w:rFonts w:cs="Times New Roman"/>
          <w:sz w:val="16"/>
          <w:szCs w:val="16"/>
        </w:rPr>
        <w:t xml:space="preserve">Table </w:t>
      </w:r>
      <w:r>
        <w:rPr>
          <w:rFonts w:cs="Times New Roman"/>
          <w:sz w:val="16"/>
          <w:szCs w:val="16"/>
        </w:rPr>
        <w:t>1</w:t>
      </w:r>
      <w:r w:rsidRPr="006507A5">
        <w:rPr>
          <w:rFonts w:cs="Times New Roman"/>
          <w:sz w:val="16"/>
          <w:szCs w:val="16"/>
        </w:rPr>
        <w:t xml:space="preserve">. </w:t>
      </w:r>
      <w:r>
        <w:rPr>
          <w:rFonts w:cs="Times New Roman"/>
          <w:sz w:val="16"/>
          <w:szCs w:val="16"/>
        </w:rPr>
        <w:t>Description of variables used</w:t>
      </w:r>
    </w:p>
    <w:p w14:paraId="409A9C49" w14:textId="24259B81" w:rsidR="003337FC" w:rsidRPr="00AA48EB" w:rsidRDefault="003337FC" w:rsidP="0060724F">
      <w:pPr>
        <w:pStyle w:val="Heading1"/>
        <w:spacing w:line="360" w:lineRule="auto"/>
      </w:pPr>
      <w:r w:rsidRPr="00AA48EB">
        <w:t>Methods</w:t>
      </w:r>
    </w:p>
    <w:p w14:paraId="51CB5923" w14:textId="6CB343E8" w:rsidR="003337FC" w:rsidRPr="00AA48EB" w:rsidRDefault="0005700C" w:rsidP="0060724F">
      <w:pPr>
        <w:spacing w:line="360" w:lineRule="auto"/>
        <w:ind w:firstLine="720"/>
      </w:pPr>
      <w:r>
        <w:t xml:space="preserve">After data preprocessing, the data was split into two categories, training and validation. The training data set comprised 70 percent of the original data and was used to create all the models further discussed in this section. The remaining 30 percent was used to evaluate the models using techniques outlined in the results sections. </w:t>
      </w:r>
      <w:r w:rsidR="000851EC" w:rsidRPr="00AA48EB">
        <w:t>A total of 6</w:t>
      </w:r>
      <w:r w:rsidR="0019428A" w:rsidRPr="00AA48EB">
        <w:t xml:space="preserve"> linear regression models were created</w:t>
      </w:r>
      <w:r w:rsidR="000851EC" w:rsidRPr="00AA48EB">
        <w:t xml:space="preserve">. </w:t>
      </w:r>
      <w:r w:rsidR="0019428A" w:rsidRPr="00AA48EB">
        <w:t xml:space="preserve">The </w:t>
      </w:r>
      <w:r w:rsidR="006B5A88">
        <w:t xml:space="preserve">predictor </w:t>
      </w:r>
      <w:r w:rsidR="0019428A" w:rsidRPr="00AA48EB">
        <w:t>variables within these models were selected using stepwise regression</w:t>
      </w:r>
      <w:r w:rsidR="000851EC" w:rsidRPr="00AA48EB">
        <w:t xml:space="preserve">. </w:t>
      </w:r>
      <w:r w:rsidR="00CD48DD" w:rsidRPr="00AA48EB">
        <w:t xml:space="preserve">Akaike information criterion (AIC) was used for comparison by the stepwise regression for variable selection. </w:t>
      </w:r>
      <w:r w:rsidR="0019428A" w:rsidRPr="00AA48EB">
        <w:t>3 of the models</w:t>
      </w:r>
      <w:r w:rsidR="006B5A88">
        <w:t xml:space="preserve"> were created using </w:t>
      </w:r>
      <w:r w:rsidR="00F93DF5">
        <w:t xml:space="preserve">a </w:t>
      </w:r>
      <w:r w:rsidR="0019428A" w:rsidRPr="00AA48EB">
        <w:t xml:space="preserve">formula </w:t>
      </w:r>
      <w:r w:rsidR="00F93DF5">
        <w:t>containing all predictor variables remaining after cleaning, and allowed for interaction between them.</w:t>
      </w:r>
      <w:r w:rsidR="0019428A" w:rsidRPr="00AA48EB">
        <w:t xml:space="preserve"> The </w:t>
      </w:r>
      <w:r w:rsidR="00F93DF5">
        <w:t>models created using this formula</w:t>
      </w:r>
      <w:r w:rsidR="0019428A" w:rsidRPr="00AA48EB">
        <w:t xml:space="preserve"> differed in the direction the stepwise regression </w:t>
      </w:r>
      <w:r w:rsidR="00F93DF5">
        <w:t xml:space="preserve">traveled </w:t>
      </w:r>
      <w:r w:rsidR="0019428A" w:rsidRPr="00AA48EB">
        <w:t>in. These directions were forward, backward and both</w:t>
      </w:r>
      <w:r w:rsidR="00F93DF5">
        <w:t xml:space="preserve"> directions</w:t>
      </w:r>
      <w:r w:rsidR="0019428A" w:rsidRPr="00AA48EB">
        <w:t xml:space="preserve">. </w:t>
      </w:r>
      <w:r w:rsidR="00F93DF5">
        <w:t>The remaining 3 models were created using a formula containing all predictor variables remaining after cleaning, but did not allow for variable interaction</w:t>
      </w:r>
      <w:r w:rsidR="0019428A" w:rsidRPr="00AA48EB">
        <w:t xml:space="preserve">.  Again, </w:t>
      </w:r>
      <w:r w:rsidR="00F93DF5">
        <w:t>the models created using these formulas differed in the direction the stepwise regression traveled in: forward, backwards and both directions.</w:t>
      </w:r>
    </w:p>
    <w:p w14:paraId="56FCC17B" w14:textId="4C51679E" w:rsidR="003337FC" w:rsidRDefault="003337FC" w:rsidP="0060724F">
      <w:pPr>
        <w:pStyle w:val="Heading1"/>
        <w:spacing w:line="360" w:lineRule="auto"/>
      </w:pPr>
      <w:r w:rsidRPr="00AA48EB">
        <w:lastRenderedPageBreak/>
        <w:t>Results</w:t>
      </w:r>
    </w:p>
    <w:p w14:paraId="1DBBCA6A" w14:textId="79E7EEBB" w:rsidR="001A33B6" w:rsidRPr="006507A5" w:rsidRDefault="008E353F" w:rsidP="0060724F">
      <w:pPr>
        <w:spacing w:line="360" w:lineRule="auto"/>
        <w:rPr>
          <w:rFonts w:cs="Times New Roman"/>
        </w:rPr>
      </w:pPr>
      <w:r>
        <w:rPr>
          <w:rFonts w:ascii="Times New Roman" w:hAnsi="Times New Roman" w:cs="Times New Roman"/>
        </w:rPr>
        <w:tab/>
      </w:r>
      <w:r w:rsidRPr="006507A5">
        <w:rPr>
          <w:rFonts w:cs="Times New Roman"/>
        </w:rPr>
        <w:t xml:space="preserve">The 6 models created were evaluated using the criteria </w:t>
      </w:r>
      <w:commentRangeStart w:id="0"/>
      <w:r w:rsidRPr="006507A5">
        <w:rPr>
          <w:rFonts w:cs="Times New Roman"/>
        </w:rPr>
        <w:t>of R</w:t>
      </w:r>
      <w:r w:rsidRPr="006507A5">
        <w:rPr>
          <w:rFonts w:cs="Times New Roman"/>
          <w:vertAlign w:val="superscript"/>
        </w:rPr>
        <w:t>2</w:t>
      </w:r>
      <w:r w:rsidR="00331C34">
        <w:rPr>
          <w:rFonts w:cs="Times New Roman"/>
        </w:rPr>
        <w:t xml:space="preserve">, </w:t>
      </w:r>
      <w:r w:rsidR="006B5A88">
        <w:rPr>
          <w:rFonts w:cs="Times New Roman"/>
        </w:rPr>
        <w:t xml:space="preserve">or </w:t>
      </w:r>
      <w:r w:rsidR="00331C34">
        <w:rPr>
          <w:rFonts w:cs="Times New Roman"/>
        </w:rPr>
        <w:t xml:space="preserve">the proportion of variance of </w:t>
      </w:r>
      <w:r w:rsidR="006B5A88">
        <w:rPr>
          <w:rFonts w:cs="Times New Roman"/>
        </w:rPr>
        <w:t>estimated healthy life expectancy</w:t>
      </w:r>
      <w:r w:rsidR="00331C34">
        <w:rPr>
          <w:rFonts w:cs="Times New Roman"/>
        </w:rPr>
        <w:t xml:space="preserve"> at birth that </w:t>
      </w:r>
      <w:r w:rsidR="006B5A88">
        <w:rPr>
          <w:rFonts w:cs="Times New Roman"/>
        </w:rPr>
        <w:t>can be</w:t>
      </w:r>
      <w:r w:rsidR="00331C34">
        <w:rPr>
          <w:rFonts w:cs="Times New Roman"/>
        </w:rPr>
        <w:t xml:space="preserve"> explained by the </w:t>
      </w:r>
      <w:r w:rsidR="006B5A88">
        <w:rPr>
          <w:rFonts w:cs="Times New Roman"/>
        </w:rPr>
        <w:t>predictor</w:t>
      </w:r>
      <w:r w:rsidR="00331C34">
        <w:rPr>
          <w:rFonts w:cs="Times New Roman"/>
        </w:rPr>
        <w:t xml:space="preserve"> variables,</w:t>
      </w:r>
      <w:r w:rsidRPr="006507A5">
        <w:rPr>
          <w:rFonts w:cs="Times New Roman"/>
          <w:vertAlign w:val="superscript"/>
        </w:rPr>
        <w:t xml:space="preserve">  </w:t>
      </w:r>
      <w:commentRangeEnd w:id="0"/>
      <w:r w:rsidR="00F26261">
        <w:rPr>
          <w:rStyle w:val="CommentReference"/>
        </w:rPr>
        <w:commentReference w:id="0"/>
      </w:r>
      <w:r w:rsidRPr="006507A5">
        <w:rPr>
          <w:rFonts w:cs="Times New Roman"/>
        </w:rPr>
        <w:t>as a representation of the goodness of model fit</w:t>
      </w:r>
      <w:r w:rsidR="006B5A88">
        <w:rPr>
          <w:rFonts w:cs="Times New Roman"/>
        </w:rPr>
        <w:t xml:space="preserve">. </w:t>
      </w:r>
      <w:r w:rsidRPr="006507A5">
        <w:rPr>
          <w:rFonts w:cs="Times New Roman"/>
        </w:rPr>
        <w:t xml:space="preserve"> </w:t>
      </w:r>
      <w:r w:rsidR="006B5A88">
        <w:rPr>
          <w:rFonts w:cs="Times New Roman"/>
        </w:rPr>
        <w:t xml:space="preserve">Evaluation also consisted of comparison of number of predictor </w:t>
      </w:r>
      <w:r w:rsidRPr="006507A5">
        <w:rPr>
          <w:rFonts w:cs="Times New Roman"/>
        </w:rPr>
        <w:t>variables comprising the model as a representation of model complexity.</w:t>
      </w:r>
      <w:r w:rsidR="008F03FF" w:rsidRPr="006507A5">
        <w:rPr>
          <w:rFonts w:cs="Times New Roman"/>
        </w:rPr>
        <w:t xml:space="preserve"> The models</w:t>
      </w:r>
      <w:r w:rsidR="00FE0EB7">
        <w:rPr>
          <w:rFonts w:cs="Times New Roman"/>
        </w:rPr>
        <w:t xml:space="preserve"> </w:t>
      </w:r>
      <w:r w:rsidR="008F03FF" w:rsidRPr="006507A5">
        <w:rPr>
          <w:rFonts w:cs="Times New Roman"/>
        </w:rPr>
        <w:t xml:space="preserve">created with a formula </w:t>
      </w:r>
      <w:r w:rsidR="00F93DF5">
        <w:rPr>
          <w:rFonts w:cs="Times New Roman"/>
        </w:rPr>
        <w:t xml:space="preserve">that </w:t>
      </w:r>
      <w:r w:rsidR="008F03FF" w:rsidRPr="006507A5">
        <w:rPr>
          <w:rFonts w:cs="Times New Roman"/>
        </w:rPr>
        <w:t>al</w:t>
      </w:r>
      <w:r w:rsidR="00F93DF5">
        <w:rPr>
          <w:rFonts w:cs="Times New Roman"/>
        </w:rPr>
        <w:t>lowed</w:t>
      </w:r>
      <w:r w:rsidR="008F03FF" w:rsidRPr="006507A5">
        <w:rPr>
          <w:rFonts w:cs="Times New Roman"/>
        </w:rPr>
        <w:t xml:space="preserve"> interactions</w:t>
      </w:r>
      <w:r w:rsidR="00F93DF5">
        <w:rPr>
          <w:rFonts w:cs="Times New Roman"/>
        </w:rPr>
        <w:t xml:space="preserve"> between predictor variables</w:t>
      </w:r>
      <w:r w:rsidR="008F03FF" w:rsidRPr="006507A5">
        <w:rPr>
          <w:rFonts w:cs="Times New Roman"/>
        </w:rPr>
        <w:t xml:space="preserve"> will be referred to by the following: forward interaction model (FIM), backward interaction model (BWIM) and both interaction model</w:t>
      </w:r>
      <w:r w:rsidR="001A33B6" w:rsidRPr="006507A5">
        <w:rPr>
          <w:rFonts w:cs="Times New Roman"/>
        </w:rPr>
        <w:t xml:space="preserve"> </w:t>
      </w:r>
      <w:r w:rsidR="008F03FF" w:rsidRPr="006507A5">
        <w:rPr>
          <w:rFonts w:cs="Times New Roman"/>
        </w:rPr>
        <w:t xml:space="preserve">(BIM), for the stepwise regression directions parameter of forwards, backwards, and both respectively.  The models created with the formula </w:t>
      </w:r>
      <w:r w:rsidR="00F93DF5">
        <w:rPr>
          <w:rFonts w:cs="Times New Roman"/>
        </w:rPr>
        <w:t>disallowing interactions between predictor variables</w:t>
      </w:r>
      <w:r w:rsidR="008F03FF" w:rsidRPr="006507A5">
        <w:rPr>
          <w:rFonts w:cs="Times New Roman"/>
        </w:rPr>
        <w:t xml:space="preserve"> will be referred to by the following: forward model (FM), backward model (BWM), and both model (BM). The following table displays the </w:t>
      </w:r>
      <w:r w:rsidR="001A33B6" w:rsidRPr="006507A5">
        <w:rPr>
          <w:rFonts w:cs="Times New Roman"/>
        </w:rPr>
        <w:t>R</w:t>
      </w:r>
      <w:r w:rsidR="001A33B6" w:rsidRPr="006507A5">
        <w:rPr>
          <w:rFonts w:cs="Times New Roman"/>
          <w:vertAlign w:val="superscript"/>
        </w:rPr>
        <w:t>2</w:t>
      </w:r>
      <w:r w:rsidR="001A33B6" w:rsidRPr="006507A5">
        <w:rPr>
          <w:rFonts w:cs="Times New Roman"/>
        </w:rPr>
        <w:t xml:space="preserve"> values and the number of variables in each model. </w:t>
      </w:r>
    </w:p>
    <w:tbl>
      <w:tblPr>
        <w:tblStyle w:val="TableGrid"/>
        <w:tblW w:w="0" w:type="auto"/>
        <w:tblLook w:val="04A0" w:firstRow="1" w:lastRow="0" w:firstColumn="1" w:lastColumn="0" w:noHBand="0" w:noVBand="1"/>
      </w:tblPr>
      <w:tblGrid>
        <w:gridCol w:w="3116"/>
        <w:gridCol w:w="3117"/>
        <w:gridCol w:w="3117"/>
      </w:tblGrid>
      <w:tr w:rsidR="001A33B6" w:rsidRPr="006507A5" w14:paraId="5CDE128A" w14:textId="77777777" w:rsidTr="001A33B6">
        <w:tc>
          <w:tcPr>
            <w:tcW w:w="3116" w:type="dxa"/>
          </w:tcPr>
          <w:p w14:paraId="41F88BDB" w14:textId="3CB9BCCA" w:rsidR="001A33B6" w:rsidRPr="006507A5" w:rsidRDefault="001A33B6" w:rsidP="0060724F">
            <w:pPr>
              <w:spacing w:line="360" w:lineRule="auto"/>
              <w:rPr>
                <w:rFonts w:cs="Times New Roman"/>
              </w:rPr>
            </w:pPr>
          </w:p>
        </w:tc>
        <w:tc>
          <w:tcPr>
            <w:tcW w:w="3117" w:type="dxa"/>
          </w:tcPr>
          <w:p w14:paraId="771A1BB5" w14:textId="04CCC261" w:rsidR="001A33B6" w:rsidRPr="006507A5" w:rsidRDefault="001A33B6" w:rsidP="0060724F">
            <w:pPr>
              <w:spacing w:line="360" w:lineRule="auto"/>
              <w:rPr>
                <w:rFonts w:cs="Times New Roman"/>
                <w:vertAlign w:val="superscript"/>
              </w:rPr>
            </w:pPr>
            <w:r w:rsidRPr="006507A5">
              <w:rPr>
                <w:rFonts w:cs="Times New Roman"/>
              </w:rPr>
              <w:t>R</w:t>
            </w:r>
            <w:r w:rsidRPr="006507A5">
              <w:rPr>
                <w:rFonts w:cs="Times New Roman"/>
                <w:vertAlign w:val="superscript"/>
              </w:rPr>
              <w:t>2</w:t>
            </w:r>
          </w:p>
        </w:tc>
        <w:tc>
          <w:tcPr>
            <w:tcW w:w="3117" w:type="dxa"/>
          </w:tcPr>
          <w:p w14:paraId="3FA5F613" w14:textId="6CD14BA7" w:rsidR="001A33B6" w:rsidRPr="006507A5" w:rsidRDefault="001A33B6" w:rsidP="0060724F">
            <w:pPr>
              <w:spacing w:line="360" w:lineRule="auto"/>
              <w:rPr>
                <w:rFonts w:cs="Times New Roman"/>
              </w:rPr>
            </w:pPr>
            <w:r w:rsidRPr="006507A5">
              <w:rPr>
                <w:rFonts w:cs="Times New Roman"/>
              </w:rPr>
              <w:t>Number of Variables</w:t>
            </w:r>
          </w:p>
        </w:tc>
      </w:tr>
      <w:tr w:rsidR="001A33B6" w:rsidRPr="006507A5" w14:paraId="30309CAC" w14:textId="77777777" w:rsidTr="001A33B6">
        <w:tc>
          <w:tcPr>
            <w:tcW w:w="3116" w:type="dxa"/>
          </w:tcPr>
          <w:p w14:paraId="4E7A1797" w14:textId="4E1ACD27" w:rsidR="001A33B6" w:rsidRPr="006507A5" w:rsidRDefault="001A33B6" w:rsidP="0060724F">
            <w:pPr>
              <w:spacing w:line="360" w:lineRule="auto"/>
              <w:rPr>
                <w:rFonts w:cs="Times New Roman"/>
              </w:rPr>
            </w:pPr>
            <w:r w:rsidRPr="006507A5">
              <w:rPr>
                <w:rFonts w:cs="Times New Roman"/>
              </w:rPr>
              <w:t>FIM</w:t>
            </w:r>
          </w:p>
        </w:tc>
        <w:tc>
          <w:tcPr>
            <w:tcW w:w="3117" w:type="dxa"/>
          </w:tcPr>
          <w:p w14:paraId="3CE7E56E" w14:textId="44155B7B" w:rsidR="001A33B6" w:rsidRPr="006507A5" w:rsidRDefault="001A33B6" w:rsidP="0060724F">
            <w:pPr>
              <w:spacing w:line="360" w:lineRule="auto"/>
              <w:rPr>
                <w:rFonts w:cs="Times New Roman"/>
              </w:rPr>
            </w:pPr>
            <w:r w:rsidRPr="006507A5">
              <w:rPr>
                <w:rFonts w:cs="Times New Roman"/>
              </w:rPr>
              <w:t>0.82</w:t>
            </w:r>
          </w:p>
        </w:tc>
        <w:tc>
          <w:tcPr>
            <w:tcW w:w="3117" w:type="dxa"/>
          </w:tcPr>
          <w:p w14:paraId="2759842E" w14:textId="7AFC9D79" w:rsidR="001A33B6" w:rsidRPr="006507A5" w:rsidRDefault="001A33B6" w:rsidP="0060724F">
            <w:pPr>
              <w:spacing w:line="360" w:lineRule="auto"/>
              <w:rPr>
                <w:rFonts w:cs="Times New Roman"/>
              </w:rPr>
            </w:pPr>
            <w:r w:rsidRPr="006507A5">
              <w:rPr>
                <w:rFonts w:cs="Times New Roman"/>
              </w:rPr>
              <w:t>45</w:t>
            </w:r>
          </w:p>
        </w:tc>
      </w:tr>
      <w:tr w:rsidR="001A33B6" w:rsidRPr="006507A5" w14:paraId="50972710" w14:textId="77777777" w:rsidTr="001A33B6">
        <w:tc>
          <w:tcPr>
            <w:tcW w:w="3116" w:type="dxa"/>
          </w:tcPr>
          <w:p w14:paraId="53F742A8" w14:textId="7E6BCD09" w:rsidR="001A33B6" w:rsidRPr="006507A5" w:rsidRDefault="001A33B6" w:rsidP="0060724F">
            <w:pPr>
              <w:spacing w:line="360" w:lineRule="auto"/>
              <w:rPr>
                <w:rFonts w:cs="Times New Roman"/>
              </w:rPr>
            </w:pPr>
            <w:r w:rsidRPr="006507A5">
              <w:rPr>
                <w:rFonts w:cs="Times New Roman"/>
              </w:rPr>
              <w:t>BWIM</w:t>
            </w:r>
          </w:p>
        </w:tc>
        <w:tc>
          <w:tcPr>
            <w:tcW w:w="3117" w:type="dxa"/>
          </w:tcPr>
          <w:p w14:paraId="4FC50E82" w14:textId="25EE93C8" w:rsidR="001A33B6" w:rsidRPr="006507A5" w:rsidRDefault="001A33B6" w:rsidP="0060724F">
            <w:pPr>
              <w:spacing w:line="360" w:lineRule="auto"/>
              <w:rPr>
                <w:rFonts w:cs="Times New Roman"/>
              </w:rPr>
            </w:pPr>
            <w:r w:rsidRPr="006507A5">
              <w:rPr>
                <w:rFonts w:cs="Times New Roman"/>
              </w:rPr>
              <w:t>0.82</w:t>
            </w:r>
          </w:p>
        </w:tc>
        <w:tc>
          <w:tcPr>
            <w:tcW w:w="3117" w:type="dxa"/>
          </w:tcPr>
          <w:p w14:paraId="55CA6525" w14:textId="482D0FF3" w:rsidR="001A33B6" w:rsidRPr="006507A5" w:rsidRDefault="001A33B6" w:rsidP="0060724F">
            <w:pPr>
              <w:spacing w:line="360" w:lineRule="auto"/>
              <w:rPr>
                <w:rFonts w:cs="Times New Roman"/>
              </w:rPr>
            </w:pPr>
            <w:r w:rsidRPr="006507A5">
              <w:rPr>
                <w:rFonts w:cs="Times New Roman"/>
              </w:rPr>
              <w:t>55</w:t>
            </w:r>
          </w:p>
        </w:tc>
      </w:tr>
      <w:tr w:rsidR="001A33B6" w:rsidRPr="006507A5" w14:paraId="2F60EA23" w14:textId="77777777" w:rsidTr="001A33B6">
        <w:tc>
          <w:tcPr>
            <w:tcW w:w="3116" w:type="dxa"/>
          </w:tcPr>
          <w:p w14:paraId="51C27CDC" w14:textId="71598B4C" w:rsidR="001A33B6" w:rsidRPr="006507A5" w:rsidRDefault="001A33B6" w:rsidP="0060724F">
            <w:pPr>
              <w:spacing w:line="360" w:lineRule="auto"/>
              <w:rPr>
                <w:rFonts w:cs="Times New Roman"/>
              </w:rPr>
            </w:pPr>
            <w:r w:rsidRPr="006507A5">
              <w:rPr>
                <w:rFonts w:cs="Times New Roman"/>
              </w:rPr>
              <w:t>BIM</w:t>
            </w:r>
          </w:p>
        </w:tc>
        <w:tc>
          <w:tcPr>
            <w:tcW w:w="3117" w:type="dxa"/>
          </w:tcPr>
          <w:p w14:paraId="2D3CDAEA" w14:textId="27AC97A0" w:rsidR="001A33B6" w:rsidRPr="006507A5" w:rsidRDefault="001A33B6" w:rsidP="0060724F">
            <w:pPr>
              <w:spacing w:line="360" w:lineRule="auto"/>
              <w:rPr>
                <w:rFonts w:cs="Times New Roman"/>
              </w:rPr>
            </w:pPr>
            <w:r w:rsidRPr="006507A5">
              <w:rPr>
                <w:rFonts w:cs="Times New Roman"/>
              </w:rPr>
              <w:t>0.82</w:t>
            </w:r>
          </w:p>
        </w:tc>
        <w:tc>
          <w:tcPr>
            <w:tcW w:w="3117" w:type="dxa"/>
          </w:tcPr>
          <w:p w14:paraId="12A7186E" w14:textId="6F0F4E36" w:rsidR="001A33B6" w:rsidRPr="006507A5" w:rsidRDefault="001A33B6" w:rsidP="0060724F">
            <w:pPr>
              <w:spacing w:line="360" w:lineRule="auto"/>
              <w:rPr>
                <w:rFonts w:cs="Times New Roman"/>
              </w:rPr>
            </w:pPr>
            <w:r w:rsidRPr="006507A5">
              <w:rPr>
                <w:rFonts w:cs="Times New Roman"/>
              </w:rPr>
              <w:t>39</w:t>
            </w:r>
          </w:p>
        </w:tc>
      </w:tr>
      <w:tr w:rsidR="001A33B6" w:rsidRPr="006507A5" w14:paraId="602D9A6B" w14:textId="77777777" w:rsidTr="001A33B6">
        <w:tc>
          <w:tcPr>
            <w:tcW w:w="3116" w:type="dxa"/>
          </w:tcPr>
          <w:p w14:paraId="340300B4" w14:textId="5E207FEB" w:rsidR="001A33B6" w:rsidRPr="006507A5" w:rsidRDefault="001A33B6" w:rsidP="0060724F">
            <w:pPr>
              <w:spacing w:line="360" w:lineRule="auto"/>
              <w:rPr>
                <w:rFonts w:cs="Times New Roman"/>
              </w:rPr>
            </w:pPr>
            <w:r w:rsidRPr="006507A5">
              <w:rPr>
                <w:rFonts w:cs="Times New Roman"/>
              </w:rPr>
              <w:t>FM</w:t>
            </w:r>
          </w:p>
        </w:tc>
        <w:tc>
          <w:tcPr>
            <w:tcW w:w="3117" w:type="dxa"/>
          </w:tcPr>
          <w:p w14:paraId="723ED7DF" w14:textId="69A0F436" w:rsidR="001A33B6" w:rsidRPr="006507A5" w:rsidRDefault="001A33B6" w:rsidP="0060724F">
            <w:pPr>
              <w:spacing w:line="360" w:lineRule="auto"/>
              <w:rPr>
                <w:rFonts w:cs="Times New Roman"/>
              </w:rPr>
            </w:pPr>
            <w:r w:rsidRPr="006507A5">
              <w:rPr>
                <w:rFonts w:cs="Times New Roman"/>
              </w:rPr>
              <w:t>0.73</w:t>
            </w:r>
          </w:p>
        </w:tc>
        <w:tc>
          <w:tcPr>
            <w:tcW w:w="3117" w:type="dxa"/>
          </w:tcPr>
          <w:p w14:paraId="6FEC8816" w14:textId="42925D37" w:rsidR="001A33B6" w:rsidRPr="006507A5" w:rsidRDefault="001A33B6" w:rsidP="0060724F">
            <w:pPr>
              <w:spacing w:line="360" w:lineRule="auto"/>
              <w:rPr>
                <w:rFonts w:cs="Times New Roman"/>
              </w:rPr>
            </w:pPr>
            <w:r w:rsidRPr="006507A5">
              <w:rPr>
                <w:rFonts w:cs="Times New Roman"/>
              </w:rPr>
              <w:t>11</w:t>
            </w:r>
          </w:p>
        </w:tc>
      </w:tr>
      <w:tr w:rsidR="001A33B6" w:rsidRPr="006507A5" w14:paraId="738F72C9" w14:textId="77777777" w:rsidTr="001A33B6">
        <w:tc>
          <w:tcPr>
            <w:tcW w:w="3116" w:type="dxa"/>
          </w:tcPr>
          <w:p w14:paraId="5089E066" w14:textId="7F6450D8" w:rsidR="001A33B6" w:rsidRPr="006507A5" w:rsidRDefault="001A33B6" w:rsidP="0060724F">
            <w:pPr>
              <w:spacing w:line="360" w:lineRule="auto"/>
              <w:rPr>
                <w:rFonts w:cs="Times New Roman"/>
              </w:rPr>
            </w:pPr>
            <w:r w:rsidRPr="006507A5">
              <w:rPr>
                <w:rFonts w:cs="Times New Roman"/>
              </w:rPr>
              <w:t>BWM</w:t>
            </w:r>
          </w:p>
        </w:tc>
        <w:tc>
          <w:tcPr>
            <w:tcW w:w="3117" w:type="dxa"/>
          </w:tcPr>
          <w:p w14:paraId="5472879D" w14:textId="3D6886D0" w:rsidR="001A33B6" w:rsidRPr="006507A5" w:rsidRDefault="001A33B6" w:rsidP="0060724F">
            <w:pPr>
              <w:spacing w:line="360" w:lineRule="auto"/>
              <w:rPr>
                <w:rFonts w:cs="Times New Roman"/>
              </w:rPr>
            </w:pPr>
            <w:r w:rsidRPr="006507A5">
              <w:rPr>
                <w:rFonts w:cs="Times New Roman"/>
              </w:rPr>
              <w:t>0.73</w:t>
            </w:r>
          </w:p>
        </w:tc>
        <w:tc>
          <w:tcPr>
            <w:tcW w:w="3117" w:type="dxa"/>
          </w:tcPr>
          <w:p w14:paraId="48C974B7" w14:textId="48A5D78A" w:rsidR="001A33B6" w:rsidRPr="006507A5" w:rsidRDefault="001A33B6" w:rsidP="0060724F">
            <w:pPr>
              <w:spacing w:line="360" w:lineRule="auto"/>
              <w:rPr>
                <w:rFonts w:cs="Times New Roman"/>
              </w:rPr>
            </w:pPr>
            <w:r w:rsidRPr="006507A5">
              <w:rPr>
                <w:rFonts w:cs="Times New Roman"/>
              </w:rPr>
              <w:t>11</w:t>
            </w:r>
          </w:p>
        </w:tc>
      </w:tr>
      <w:tr w:rsidR="001A33B6" w:rsidRPr="006507A5" w14:paraId="2AB6943B" w14:textId="77777777" w:rsidTr="001A33B6">
        <w:tc>
          <w:tcPr>
            <w:tcW w:w="3116" w:type="dxa"/>
          </w:tcPr>
          <w:p w14:paraId="61336ED8" w14:textId="7C8DC109" w:rsidR="001A33B6" w:rsidRPr="006507A5" w:rsidRDefault="001A33B6" w:rsidP="0060724F">
            <w:pPr>
              <w:spacing w:line="360" w:lineRule="auto"/>
              <w:rPr>
                <w:rFonts w:cs="Times New Roman"/>
              </w:rPr>
            </w:pPr>
            <w:r w:rsidRPr="006507A5">
              <w:rPr>
                <w:rFonts w:cs="Times New Roman"/>
              </w:rPr>
              <w:t>BM</w:t>
            </w:r>
          </w:p>
        </w:tc>
        <w:tc>
          <w:tcPr>
            <w:tcW w:w="3117" w:type="dxa"/>
          </w:tcPr>
          <w:p w14:paraId="0D304EFB" w14:textId="29FE3FEE" w:rsidR="001A33B6" w:rsidRPr="006507A5" w:rsidRDefault="001A33B6" w:rsidP="0060724F">
            <w:pPr>
              <w:spacing w:line="360" w:lineRule="auto"/>
              <w:rPr>
                <w:rFonts w:cs="Times New Roman"/>
              </w:rPr>
            </w:pPr>
            <w:r w:rsidRPr="006507A5">
              <w:rPr>
                <w:rFonts w:cs="Times New Roman"/>
              </w:rPr>
              <w:t>0.73</w:t>
            </w:r>
          </w:p>
        </w:tc>
        <w:tc>
          <w:tcPr>
            <w:tcW w:w="3117" w:type="dxa"/>
          </w:tcPr>
          <w:p w14:paraId="1152A5FD" w14:textId="54E4CA69" w:rsidR="001A33B6" w:rsidRPr="006507A5" w:rsidRDefault="001A33B6" w:rsidP="0060724F">
            <w:pPr>
              <w:spacing w:line="360" w:lineRule="auto"/>
              <w:rPr>
                <w:rFonts w:cs="Times New Roman"/>
              </w:rPr>
            </w:pPr>
            <w:r w:rsidRPr="006507A5">
              <w:rPr>
                <w:rFonts w:cs="Times New Roman"/>
              </w:rPr>
              <w:t>11</w:t>
            </w:r>
          </w:p>
        </w:tc>
      </w:tr>
    </w:tbl>
    <w:p w14:paraId="6D998751" w14:textId="20FFB00F" w:rsidR="006507A5" w:rsidRPr="006507A5" w:rsidRDefault="006507A5" w:rsidP="0060724F">
      <w:pPr>
        <w:spacing w:line="360" w:lineRule="auto"/>
        <w:rPr>
          <w:rFonts w:cs="Times New Roman"/>
          <w:sz w:val="16"/>
          <w:szCs w:val="16"/>
        </w:rPr>
      </w:pPr>
      <w:r w:rsidRPr="006507A5">
        <w:rPr>
          <w:rFonts w:cs="Times New Roman"/>
          <w:sz w:val="16"/>
          <w:szCs w:val="16"/>
        </w:rPr>
        <w:t xml:space="preserve">Table </w:t>
      </w:r>
      <w:r w:rsidR="002F26AA">
        <w:rPr>
          <w:rFonts w:cs="Times New Roman"/>
          <w:sz w:val="16"/>
          <w:szCs w:val="16"/>
        </w:rPr>
        <w:t>2</w:t>
      </w:r>
      <w:r w:rsidRPr="006507A5">
        <w:rPr>
          <w:rFonts w:cs="Times New Roman"/>
          <w:sz w:val="16"/>
          <w:szCs w:val="16"/>
        </w:rPr>
        <w:t>. Comparison of each model using R</w:t>
      </w:r>
      <w:r w:rsidRPr="006507A5">
        <w:rPr>
          <w:rFonts w:cs="Times New Roman"/>
          <w:sz w:val="16"/>
          <w:szCs w:val="16"/>
          <w:vertAlign w:val="superscript"/>
        </w:rPr>
        <w:t>2</w:t>
      </w:r>
      <w:r w:rsidRPr="006507A5">
        <w:rPr>
          <w:rFonts w:cs="Times New Roman"/>
          <w:sz w:val="16"/>
          <w:szCs w:val="16"/>
        </w:rPr>
        <w:t xml:space="preserve"> and number of variables</w:t>
      </w:r>
    </w:p>
    <w:p w14:paraId="42E728F7" w14:textId="2BA51A31" w:rsidR="00575233" w:rsidRPr="006507A5" w:rsidRDefault="001A33B6" w:rsidP="006B5A88">
      <w:pPr>
        <w:spacing w:line="360" w:lineRule="auto"/>
        <w:ind w:firstLine="720"/>
        <w:rPr>
          <w:rFonts w:cs="Times New Roman"/>
        </w:rPr>
      </w:pPr>
      <w:r w:rsidRPr="006507A5">
        <w:rPr>
          <w:rFonts w:cs="Times New Roman"/>
        </w:rPr>
        <w:t>In looking at figure one, FIM, BWIM, and BIM all have the same R2 values of 0.82. Similarly, FM, BWM, and BM all have R2 values of 0.73. When comparing the number of variables, FM, BWM, and BM are all equ</w:t>
      </w:r>
      <w:r w:rsidR="00FE0EB7">
        <w:rPr>
          <w:rFonts w:cs="Times New Roman"/>
        </w:rPr>
        <w:t xml:space="preserve">ivalent. </w:t>
      </w:r>
      <w:r w:rsidR="00120B63" w:rsidRPr="006507A5">
        <w:rPr>
          <w:rFonts w:cs="Times New Roman"/>
        </w:rPr>
        <w:t xml:space="preserve">This is because </w:t>
      </w:r>
      <w:r w:rsidR="00FE0EB7">
        <w:rPr>
          <w:rFonts w:cs="Times New Roman"/>
        </w:rPr>
        <w:t>the stepwise regression with no interaction between variables resulted in the same model being created for all 3 directions</w:t>
      </w:r>
      <w:r w:rsidR="00120B63" w:rsidRPr="006507A5">
        <w:rPr>
          <w:rFonts w:cs="Times New Roman"/>
        </w:rPr>
        <w:t>. With an emphasis on simplicity of model and how it relates to ease of understanding, BM was selected as the model to continue analysis on as the gain in simplicity outweighed the loss of model performance.</w:t>
      </w:r>
    </w:p>
    <w:p w14:paraId="695A12EF" w14:textId="0AE1A616" w:rsidR="00120B63" w:rsidRPr="006B5A88" w:rsidRDefault="00120B63" w:rsidP="0060724F">
      <w:pPr>
        <w:spacing w:line="360" w:lineRule="auto"/>
        <w:rPr>
          <w:rFonts w:cstheme="minorHAnsi"/>
        </w:rPr>
      </w:pPr>
      <w:r w:rsidRPr="006507A5">
        <w:rPr>
          <w:rFonts w:cs="Times New Roman"/>
        </w:rPr>
        <w:tab/>
        <w:t xml:space="preserve">Within the selected model, BM, the following predictor variables are </w:t>
      </w:r>
      <w:r w:rsidR="00FE0EB7">
        <w:rPr>
          <w:rFonts w:cs="Times New Roman"/>
        </w:rPr>
        <w:t>included</w:t>
      </w:r>
      <w:r w:rsidRPr="006507A5">
        <w:rPr>
          <w:rFonts w:cs="Times New Roman"/>
        </w:rPr>
        <w:t xml:space="preserve">. Delivery </w:t>
      </w:r>
      <w:r w:rsidR="00FE0EB7">
        <w:rPr>
          <w:rFonts w:cs="Times New Roman"/>
        </w:rPr>
        <w:t>q</w:t>
      </w:r>
      <w:r w:rsidRPr="006507A5">
        <w:rPr>
          <w:rFonts w:cs="Times New Roman"/>
        </w:rPr>
        <w:t xml:space="preserve">uality, Freedom to make life choices, Life Ladder, Log GDP per capita, Negative affect, Positive affect, Social </w:t>
      </w:r>
      <w:r w:rsidR="00FE0EB7">
        <w:rPr>
          <w:rFonts w:cs="Times New Roman"/>
        </w:rPr>
        <w:t>s</w:t>
      </w:r>
      <w:r w:rsidRPr="006507A5">
        <w:rPr>
          <w:rFonts w:cs="Times New Roman"/>
        </w:rPr>
        <w:t>upport, Confidence in national government, Generosity, GINI World Bank Estimate. For each of these predictors</w:t>
      </w:r>
      <w:r w:rsidR="00FE0EB7">
        <w:rPr>
          <w:rFonts w:cs="Times New Roman"/>
        </w:rPr>
        <w:t>,</w:t>
      </w:r>
      <w:r w:rsidRPr="006507A5">
        <w:rPr>
          <w:rFonts w:cs="Times New Roman"/>
        </w:rPr>
        <w:t xml:space="preserve"> the coefficients are interpreted as having their value impact on the healthy life expectancy at birth (HLE) for every 1 unit they are increased</w:t>
      </w:r>
      <w:r w:rsidR="00FE0EB7">
        <w:rPr>
          <w:rFonts w:cs="Times New Roman"/>
        </w:rPr>
        <w:t xml:space="preserve"> while all other variables remain constant</w:t>
      </w:r>
      <w:r w:rsidRPr="006507A5">
        <w:rPr>
          <w:rFonts w:cs="Times New Roman"/>
        </w:rPr>
        <w:t xml:space="preserve">. </w:t>
      </w:r>
      <w:r w:rsidR="006B5A88">
        <w:rPr>
          <w:rFonts w:cs="Times New Roman"/>
        </w:rPr>
        <w:t xml:space="preserve">All variables </w:t>
      </w:r>
      <w:r w:rsidR="006B5A88">
        <w:rPr>
          <w:rFonts w:cs="Times New Roman"/>
        </w:rPr>
        <w:lastRenderedPageBreak/>
        <w:t xml:space="preserve">within this model are significant at the </w:t>
      </w:r>
      <w:r w:rsidR="006B5A88" w:rsidRPr="00245034">
        <w:rPr>
          <w:rFonts w:ascii="Symbol" w:hAnsi="Symbol" w:cs="Times New Roman"/>
        </w:rPr>
        <w:t>a</w:t>
      </w:r>
      <w:r w:rsidR="006B5A88">
        <w:rPr>
          <w:rFonts w:ascii="Symbol" w:hAnsi="Symbol" w:cs="Times New Roman"/>
        </w:rPr>
        <w:t xml:space="preserve"> = 0.05 </w:t>
      </w:r>
      <w:r w:rsidR="006B5A88">
        <w:rPr>
          <w:rFonts w:cstheme="minorHAnsi"/>
        </w:rPr>
        <w:t xml:space="preserve">level. </w:t>
      </w:r>
      <w:r w:rsidRPr="006507A5">
        <w:rPr>
          <w:rFonts w:cs="Times New Roman"/>
        </w:rPr>
        <w:t xml:space="preserve">The following table displays the predicted variables that are interpreted as having a positive impact on healthy life expectancy at birth as well </w:t>
      </w:r>
      <w:r w:rsidR="006507A5" w:rsidRPr="006507A5">
        <w:rPr>
          <w:rFonts w:cs="Times New Roman"/>
        </w:rPr>
        <w:t>as the coefficients for each variable.</w:t>
      </w:r>
      <w:r w:rsidR="00245034">
        <w:rPr>
          <w:rFonts w:cs="Times New Roman"/>
        </w:rPr>
        <w:t xml:space="preserve"> </w:t>
      </w:r>
    </w:p>
    <w:tbl>
      <w:tblPr>
        <w:tblStyle w:val="TableGrid"/>
        <w:tblW w:w="0" w:type="auto"/>
        <w:tblLook w:val="04A0" w:firstRow="1" w:lastRow="0" w:firstColumn="1" w:lastColumn="0" w:noHBand="0" w:noVBand="1"/>
      </w:tblPr>
      <w:tblGrid>
        <w:gridCol w:w="4675"/>
        <w:gridCol w:w="4675"/>
      </w:tblGrid>
      <w:tr w:rsidR="00120B63" w:rsidRPr="006507A5" w14:paraId="45A8F9B6" w14:textId="77777777" w:rsidTr="00120B63">
        <w:tc>
          <w:tcPr>
            <w:tcW w:w="4675" w:type="dxa"/>
          </w:tcPr>
          <w:p w14:paraId="2F5C7683" w14:textId="289229CE" w:rsidR="00120B63" w:rsidRPr="006507A5" w:rsidRDefault="00120B63" w:rsidP="0060724F">
            <w:pPr>
              <w:spacing w:line="360" w:lineRule="auto"/>
              <w:rPr>
                <w:rFonts w:cs="Times New Roman"/>
              </w:rPr>
            </w:pPr>
            <w:r w:rsidRPr="006507A5">
              <w:rPr>
                <w:rFonts w:cs="Times New Roman"/>
              </w:rPr>
              <w:t>Variable Name</w:t>
            </w:r>
          </w:p>
        </w:tc>
        <w:tc>
          <w:tcPr>
            <w:tcW w:w="4675" w:type="dxa"/>
          </w:tcPr>
          <w:p w14:paraId="093B5E9A" w14:textId="0F41FACA" w:rsidR="00120B63" w:rsidRPr="006507A5" w:rsidRDefault="00120B63" w:rsidP="0060724F">
            <w:pPr>
              <w:spacing w:line="360" w:lineRule="auto"/>
              <w:rPr>
                <w:rFonts w:cs="Times New Roman"/>
              </w:rPr>
            </w:pPr>
            <w:r w:rsidRPr="006507A5">
              <w:rPr>
                <w:rFonts w:cs="Times New Roman"/>
              </w:rPr>
              <w:t>Increase to HLE for every unit increase</w:t>
            </w:r>
          </w:p>
        </w:tc>
      </w:tr>
      <w:tr w:rsidR="00120B63" w:rsidRPr="006507A5" w14:paraId="08DDA00B" w14:textId="77777777" w:rsidTr="00120B63">
        <w:tc>
          <w:tcPr>
            <w:tcW w:w="4675" w:type="dxa"/>
          </w:tcPr>
          <w:p w14:paraId="7E8084B1" w14:textId="5E48196D" w:rsidR="00120B63" w:rsidRPr="006507A5" w:rsidRDefault="00120B63" w:rsidP="0060724F">
            <w:pPr>
              <w:spacing w:line="360" w:lineRule="auto"/>
              <w:rPr>
                <w:rFonts w:cs="Times New Roman"/>
              </w:rPr>
            </w:pPr>
            <w:r w:rsidRPr="006507A5">
              <w:rPr>
                <w:rFonts w:cs="Times New Roman"/>
              </w:rPr>
              <w:t xml:space="preserve">Delivery </w:t>
            </w:r>
            <w:r w:rsidR="006507A5" w:rsidRPr="006507A5">
              <w:rPr>
                <w:rFonts w:cs="Times New Roman"/>
              </w:rPr>
              <w:t>q</w:t>
            </w:r>
            <w:r w:rsidRPr="006507A5">
              <w:rPr>
                <w:rFonts w:cs="Times New Roman"/>
              </w:rPr>
              <w:t>uality</w:t>
            </w:r>
          </w:p>
        </w:tc>
        <w:tc>
          <w:tcPr>
            <w:tcW w:w="4675" w:type="dxa"/>
          </w:tcPr>
          <w:p w14:paraId="236F88BE" w14:textId="2EB71A0A" w:rsidR="00120B63" w:rsidRPr="006507A5" w:rsidRDefault="00120B63" w:rsidP="0060724F">
            <w:pPr>
              <w:spacing w:line="360" w:lineRule="auto"/>
              <w:rPr>
                <w:rFonts w:cs="Times New Roman"/>
              </w:rPr>
            </w:pPr>
            <w:r w:rsidRPr="006507A5">
              <w:rPr>
                <w:rFonts w:cs="Times New Roman"/>
              </w:rPr>
              <w:t>1.02</w:t>
            </w:r>
          </w:p>
        </w:tc>
      </w:tr>
      <w:tr w:rsidR="00120B63" w:rsidRPr="006507A5" w14:paraId="7FED6153" w14:textId="77777777" w:rsidTr="00120B63">
        <w:tc>
          <w:tcPr>
            <w:tcW w:w="4675" w:type="dxa"/>
          </w:tcPr>
          <w:p w14:paraId="39517042" w14:textId="0EAF2315" w:rsidR="00120B63" w:rsidRPr="006507A5" w:rsidRDefault="00120B63" w:rsidP="0060724F">
            <w:pPr>
              <w:spacing w:line="360" w:lineRule="auto"/>
              <w:rPr>
                <w:rFonts w:cs="Times New Roman"/>
              </w:rPr>
            </w:pPr>
            <w:r w:rsidRPr="006507A5">
              <w:rPr>
                <w:rFonts w:cs="Times New Roman"/>
              </w:rPr>
              <w:t>Freedom to make life choices</w:t>
            </w:r>
          </w:p>
        </w:tc>
        <w:tc>
          <w:tcPr>
            <w:tcW w:w="4675" w:type="dxa"/>
          </w:tcPr>
          <w:p w14:paraId="044C588A" w14:textId="7B99463A" w:rsidR="00120B63" w:rsidRPr="006507A5" w:rsidRDefault="00120B63" w:rsidP="0060724F">
            <w:pPr>
              <w:spacing w:line="360" w:lineRule="auto"/>
              <w:rPr>
                <w:rFonts w:cs="Times New Roman"/>
              </w:rPr>
            </w:pPr>
            <w:r w:rsidRPr="006507A5">
              <w:rPr>
                <w:rFonts w:cs="Times New Roman"/>
              </w:rPr>
              <w:t>3.74</w:t>
            </w:r>
          </w:p>
        </w:tc>
      </w:tr>
      <w:tr w:rsidR="00120B63" w:rsidRPr="006507A5" w14:paraId="431D0067" w14:textId="77777777" w:rsidTr="00120B63">
        <w:tc>
          <w:tcPr>
            <w:tcW w:w="4675" w:type="dxa"/>
          </w:tcPr>
          <w:p w14:paraId="50BB9A06" w14:textId="021E7AC3" w:rsidR="00120B63" w:rsidRPr="006507A5" w:rsidRDefault="006507A5" w:rsidP="0060724F">
            <w:pPr>
              <w:spacing w:line="360" w:lineRule="auto"/>
              <w:rPr>
                <w:rFonts w:cs="Times New Roman"/>
              </w:rPr>
            </w:pPr>
            <w:r w:rsidRPr="006507A5">
              <w:rPr>
                <w:rFonts w:cs="Times New Roman"/>
              </w:rPr>
              <w:t>Life ladder</w:t>
            </w:r>
          </w:p>
        </w:tc>
        <w:tc>
          <w:tcPr>
            <w:tcW w:w="4675" w:type="dxa"/>
          </w:tcPr>
          <w:p w14:paraId="4810AF2C" w14:textId="38390067" w:rsidR="00120B63" w:rsidRPr="006507A5" w:rsidRDefault="006507A5" w:rsidP="0060724F">
            <w:pPr>
              <w:spacing w:line="360" w:lineRule="auto"/>
              <w:rPr>
                <w:rFonts w:cs="Times New Roman"/>
              </w:rPr>
            </w:pPr>
            <w:r w:rsidRPr="006507A5">
              <w:rPr>
                <w:rFonts w:cs="Times New Roman"/>
              </w:rPr>
              <w:t>1.35</w:t>
            </w:r>
          </w:p>
        </w:tc>
      </w:tr>
      <w:tr w:rsidR="00120B63" w:rsidRPr="006507A5" w14:paraId="6CD5AFC1" w14:textId="77777777" w:rsidTr="00120B63">
        <w:tc>
          <w:tcPr>
            <w:tcW w:w="4675" w:type="dxa"/>
          </w:tcPr>
          <w:p w14:paraId="4AA54BF4" w14:textId="78B60DBD" w:rsidR="00120B63" w:rsidRPr="006507A5" w:rsidRDefault="006507A5" w:rsidP="0060724F">
            <w:pPr>
              <w:spacing w:line="360" w:lineRule="auto"/>
              <w:rPr>
                <w:rFonts w:cs="Times New Roman"/>
              </w:rPr>
            </w:pPr>
            <w:r w:rsidRPr="006507A5">
              <w:rPr>
                <w:rFonts w:cs="Times New Roman"/>
              </w:rPr>
              <w:t>Log GDP per capita</w:t>
            </w:r>
          </w:p>
        </w:tc>
        <w:tc>
          <w:tcPr>
            <w:tcW w:w="4675" w:type="dxa"/>
          </w:tcPr>
          <w:p w14:paraId="425FB5FE" w14:textId="64326904" w:rsidR="00120B63" w:rsidRPr="006507A5" w:rsidRDefault="006507A5" w:rsidP="0060724F">
            <w:pPr>
              <w:spacing w:line="360" w:lineRule="auto"/>
              <w:rPr>
                <w:rFonts w:cs="Times New Roman"/>
              </w:rPr>
            </w:pPr>
            <w:r w:rsidRPr="006507A5">
              <w:rPr>
                <w:rFonts w:cs="Times New Roman"/>
              </w:rPr>
              <w:t>2.89</w:t>
            </w:r>
          </w:p>
        </w:tc>
      </w:tr>
      <w:tr w:rsidR="00120B63" w:rsidRPr="006507A5" w14:paraId="156AA7BE" w14:textId="77777777" w:rsidTr="00120B63">
        <w:tc>
          <w:tcPr>
            <w:tcW w:w="4675" w:type="dxa"/>
          </w:tcPr>
          <w:p w14:paraId="5CC48130" w14:textId="411E4D60" w:rsidR="00120B63" w:rsidRPr="006507A5" w:rsidRDefault="006507A5" w:rsidP="0060724F">
            <w:pPr>
              <w:spacing w:line="360" w:lineRule="auto"/>
              <w:rPr>
                <w:rFonts w:cs="Times New Roman"/>
              </w:rPr>
            </w:pPr>
            <w:r w:rsidRPr="006507A5">
              <w:rPr>
                <w:rFonts w:cs="Times New Roman"/>
              </w:rPr>
              <w:t>Negative affect</w:t>
            </w:r>
          </w:p>
        </w:tc>
        <w:tc>
          <w:tcPr>
            <w:tcW w:w="4675" w:type="dxa"/>
          </w:tcPr>
          <w:p w14:paraId="799CF4DC" w14:textId="74A540C9" w:rsidR="00120B63" w:rsidRPr="006507A5" w:rsidRDefault="006507A5" w:rsidP="0060724F">
            <w:pPr>
              <w:spacing w:line="360" w:lineRule="auto"/>
              <w:rPr>
                <w:rFonts w:cs="Times New Roman"/>
              </w:rPr>
            </w:pPr>
            <w:r w:rsidRPr="006507A5">
              <w:rPr>
                <w:rFonts w:cs="Times New Roman"/>
              </w:rPr>
              <w:t>9.0</w:t>
            </w:r>
          </w:p>
        </w:tc>
      </w:tr>
      <w:tr w:rsidR="00120B63" w:rsidRPr="006507A5" w14:paraId="155CAB70" w14:textId="77777777" w:rsidTr="00120B63">
        <w:tc>
          <w:tcPr>
            <w:tcW w:w="4675" w:type="dxa"/>
          </w:tcPr>
          <w:p w14:paraId="37B1D567" w14:textId="44D5CEFD" w:rsidR="00120B63" w:rsidRPr="006507A5" w:rsidRDefault="006507A5" w:rsidP="0060724F">
            <w:pPr>
              <w:spacing w:line="360" w:lineRule="auto"/>
              <w:rPr>
                <w:rFonts w:cs="Times New Roman"/>
              </w:rPr>
            </w:pPr>
            <w:r w:rsidRPr="006507A5">
              <w:rPr>
                <w:rFonts w:cs="Times New Roman"/>
              </w:rPr>
              <w:t>Positive affect</w:t>
            </w:r>
          </w:p>
        </w:tc>
        <w:tc>
          <w:tcPr>
            <w:tcW w:w="4675" w:type="dxa"/>
          </w:tcPr>
          <w:p w14:paraId="3C549ECB" w14:textId="107B1732" w:rsidR="00120B63" w:rsidRPr="006507A5" w:rsidRDefault="006507A5" w:rsidP="0060724F">
            <w:pPr>
              <w:spacing w:line="360" w:lineRule="auto"/>
              <w:rPr>
                <w:rFonts w:cs="Times New Roman"/>
              </w:rPr>
            </w:pPr>
            <w:r w:rsidRPr="006507A5">
              <w:rPr>
                <w:rFonts w:cs="Times New Roman"/>
              </w:rPr>
              <w:t>3.9</w:t>
            </w:r>
          </w:p>
        </w:tc>
      </w:tr>
      <w:tr w:rsidR="00120B63" w:rsidRPr="006507A5" w14:paraId="15132521" w14:textId="77777777" w:rsidTr="00120B63">
        <w:tc>
          <w:tcPr>
            <w:tcW w:w="4675" w:type="dxa"/>
          </w:tcPr>
          <w:p w14:paraId="1F29AB6D" w14:textId="3A8BD476" w:rsidR="00120B63" w:rsidRPr="006507A5" w:rsidRDefault="006507A5" w:rsidP="0060724F">
            <w:pPr>
              <w:spacing w:line="360" w:lineRule="auto"/>
              <w:rPr>
                <w:rFonts w:cs="Times New Roman"/>
              </w:rPr>
            </w:pPr>
            <w:r w:rsidRPr="006507A5">
              <w:rPr>
                <w:rFonts w:cs="Times New Roman"/>
              </w:rPr>
              <w:t>Social support</w:t>
            </w:r>
          </w:p>
        </w:tc>
        <w:tc>
          <w:tcPr>
            <w:tcW w:w="4675" w:type="dxa"/>
          </w:tcPr>
          <w:p w14:paraId="1CA22FDE" w14:textId="32CCDF1A" w:rsidR="00120B63" w:rsidRPr="006507A5" w:rsidRDefault="006507A5" w:rsidP="0060724F">
            <w:pPr>
              <w:spacing w:line="360" w:lineRule="auto"/>
              <w:rPr>
                <w:rFonts w:cs="Times New Roman"/>
              </w:rPr>
            </w:pPr>
            <w:r w:rsidRPr="006507A5">
              <w:rPr>
                <w:rFonts w:cs="Times New Roman"/>
              </w:rPr>
              <w:t>3.38</w:t>
            </w:r>
          </w:p>
        </w:tc>
      </w:tr>
    </w:tbl>
    <w:p w14:paraId="3E52842C" w14:textId="27777609" w:rsidR="006507A5" w:rsidRPr="006507A5" w:rsidRDefault="006507A5" w:rsidP="0060724F">
      <w:pPr>
        <w:spacing w:line="360" w:lineRule="auto"/>
        <w:rPr>
          <w:rFonts w:cs="Times New Roman"/>
          <w:sz w:val="16"/>
          <w:szCs w:val="16"/>
        </w:rPr>
      </w:pPr>
      <w:r w:rsidRPr="006507A5">
        <w:rPr>
          <w:rFonts w:cs="Times New Roman"/>
          <w:sz w:val="16"/>
          <w:szCs w:val="16"/>
        </w:rPr>
        <w:t xml:space="preserve">Table </w:t>
      </w:r>
      <w:r w:rsidR="002F26AA">
        <w:rPr>
          <w:rFonts w:cs="Times New Roman"/>
          <w:sz w:val="16"/>
          <w:szCs w:val="16"/>
        </w:rPr>
        <w:t>3</w:t>
      </w:r>
      <w:r w:rsidRPr="006507A5">
        <w:rPr>
          <w:rFonts w:cs="Times New Roman"/>
          <w:sz w:val="16"/>
          <w:szCs w:val="16"/>
        </w:rPr>
        <w:t>. Variables and their increase to HLE</w:t>
      </w:r>
    </w:p>
    <w:p w14:paraId="79566111" w14:textId="13019234" w:rsidR="00120B63" w:rsidRPr="006507A5" w:rsidRDefault="006507A5" w:rsidP="0060724F">
      <w:pPr>
        <w:spacing w:line="360" w:lineRule="auto"/>
        <w:rPr>
          <w:rFonts w:cs="Times New Roman"/>
        </w:rPr>
      </w:pPr>
      <w:r w:rsidRPr="006507A5">
        <w:rPr>
          <w:rFonts w:cs="Times New Roman"/>
        </w:rPr>
        <w:t>The following table displays the predicted variables that are interpreted as having a positive impact on healthy life expectancy at birth as well as the absolute value of the coefficients for each variable.</w:t>
      </w:r>
    </w:p>
    <w:tbl>
      <w:tblPr>
        <w:tblStyle w:val="TableGrid"/>
        <w:tblW w:w="0" w:type="auto"/>
        <w:tblLook w:val="04A0" w:firstRow="1" w:lastRow="0" w:firstColumn="1" w:lastColumn="0" w:noHBand="0" w:noVBand="1"/>
      </w:tblPr>
      <w:tblGrid>
        <w:gridCol w:w="4675"/>
        <w:gridCol w:w="4675"/>
      </w:tblGrid>
      <w:tr w:rsidR="006507A5" w:rsidRPr="006507A5" w14:paraId="0E7805C0" w14:textId="77777777" w:rsidTr="006507A5">
        <w:tc>
          <w:tcPr>
            <w:tcW w:w="4675" w:type="dxa"/>
          </w:tcPr>
          <w:p w14:paraId="38738A8C" w14:textId="38B0D57B" w:rsidR="006507A5" w:rsidRPr="006507A5" w:rsidRDefault="006507A5" w:rsidP="0060724F">
            <w:pPr>
              <w:spacing w:line="360" w:lineRule="auto"/>
              <w:rPr>
                <w:rFonts w:cs="Times New Roman"/>
              </w:rPr>
            </w:pPr>
            <w:r w:rsidRPr="006507A5">
              <w:rPr>
                <w:rFonts w:cs="Times New Roman"/>
              </w:rPr>
              <w:t>Variable Name</w:t>
            </w:r>
          </w:p>
        </w:tc>
        <w:tc>
          <w:tcPr>
            <w:tcW w:w="4675" w:type="dxa"/>
          </w:tcPr>
          <w:p w14:paraId="4396E265" w14:textId="30B1F79D" w:rsidR="006507A5" w:rsidRPr="006507A5" w:rsidRDefault="006507A5" w:rsidP="0060724F">
            <w:pPr>
              <w:spacing w:line="360" w:lineRule="auto"/>
              <w:rPr>
                <w:rFonts w:cs="Times New Roman"/>
              </w:rPr>
            </w:pPr>
            <w:r w:rsidRPr="006507A5">
              <w:rPr>
                <w:rFonts w:cs="Times New Roman"/>
              </w:rPr>
              <w:t>Decrease to HLE for every unit increase</w:t>
            </w:r>
          </w:p>
        </w:tc>
      </w:tr>
      <w:tr w:rsidR="006507A5" w:rsidRPr="006507A5" w14:paraId="7F71BED5" w14:textId="77777777" w:rsidTr="006507A5">
        <w:tc>
          <w:tcPr>
            <w:tcW w:w="4675" w:type="dxa"/>
          </w:tcPr>
          <w:p w14:paraId="2D814E0C" w14:textId="7499BBFF" w:rsidR="006507A5" w:rsidRPr="006507A5" w:rsidRDefault="006507A5" w:rsidP="0060724F">
            <w:pPr>
              <w:spacing w:line="360" w:lineRule="auto"/>
              <w:rPr>
                <w:rFonts w:cs="Times New Roman"/>
              </w:rPr>
            </w:pPr>
            <w:r w:rsidRPr="006507A5">
              <w:rPr>
                <w:rFonts w:cs="Times New Roman"/>
              </w:rPr>
              <w:t>Confidence in national government</w:t>
            </w:r>
          </w:p>
        </w:tc>
        <w:tc>
          <w:tcPr>
            <w:tcW w:w="4675" w:type="dxa"/>
          </w:tcPr>
          <w:p w14:paraId="549BFE25" w14:textId="03A69874" w:rsidR="006507A5" w:rsidRPr="006507A5" w:rsidRDefault="006507A5" w:rsidP="0060724F">
            <w:pPr>
              <w:spacing w:line="360" w:lineRule="auto"/>
              <w:rPr>
                <w:rFonts w:cs="Times New Roman"/>
              </w:rPr>
            </w:pPr>
            <w:r w:rsidRPr="006507A5">
              <w:rPr>
                <w:rFonts w:cs="Times New Roman"/>
              </w:rPr>
              <w:t>2.16</w:t>
            </w:r>
          </w:p>
        </w:tc>
      </w:tr>
      <w:tr w:rsidR="006507A5" w:rsidRPr="006507A5" w14:paraId="0A5E78CD" w14:textId="77777777" w:rsidTr="006507A5">
        <w:tc>
          <w:tcPr>
            <w:tcW w:w="4675" w:type="dxa"/>
          </w:tcPr>
          <w:p w14:paraId="49B2F913" w14:textId="2A761939" w:rsidR="006507A5" w:rsidRPr="006507A5" w:rsidRDefault="006507A5" w:rsidP="0060724F">
            <w:pPr>
              <w:spacing w:line="360" w:lineRule="auto"/>
              <w:rPr>
                <w:rFonts w:cs="Times New Roman"/>
              </w:rPr>
            </w:pPr>
            <w:r w:rsidRPr="006507A5">
              <w:rPr>
                <w:rFonts w:cs="Times New Roman"/>
              </w:rPr>
              <w:t>Generosity</w:t>
            </w:r>
          </w:p>
        </w:tc>
        <w:tc>
          <w:tcPr>
            <w:tcW w:w="4675" w:type="dxa"/>
          </w:tcPr>
          <w:p w14:paraId="720A25F1" w14:textId="090C5348" w:rsidR="006507A5" w:rsidRPr="006507A5" w:rsidRDefault="006507A5" w:rsidP="0060724F">
            <w:pPr>
              <w:spacing w:line="360" w:lineRule="auto"/>
              <w:rPr>
                <w:rFonts w:cs="Times New Roman"/>
              </w:rPr>
            </w:pPr>
            <w:r w:rsidRPr="006507A5">
              <w:rPr>
                <w:rFonts w:cs="Times New Roman"/>
              </w:rPr>
              <w:t>3.19</w:t>
            </w:r>
          </w:p>
        </w:tc>
      </w:tr>
      <w:tr w:rsidR="006507A5" w:rsidRPr="006507A5" w14:paraId="34D4D5BE" w14:textId="77777777" w:rsidTr="006507A5">
        <w:tc>
          <w:tcPr>
            <w:tcW w:w="4675" w:type="dxa"/>
          </w:tcPr>
          <w:p w14:paraId="654D19D3" w14:textId="762FB897" w:rsidR="006507A5" w:rsidRPr="006507A5" w:rsidRDefault="006507A5" w:rsidP="0060724F">
            <w:pPr>
              <w:spacing w:line="360" w:lineRule="auto"/>
              <w:rPr>
                <w:rFonts w:cs="Times New Roman"/>
              </w:rPr>
            </w:pPr>
            <w:r w:rsidRPr="006507A5">
              <w:rPr>
                <w:rFonts w:cs="Times New Roman"/>
              </w:rPr>
              <w:t>GINI world bank estimate</w:t>
            </w:r>
          </w:p>
        </w:tc>
        <w:tc>
          <w:tcPr>
            <w:tcW w:w="4675" w:type="dxa"/>
          </w:tcPr>
          <w:p w14:paraId="59E4AD2F" w14:textId="23D04C9D" w:rsidR="006507A5" w:rsidRPr="006507A5" w:rsidRDefault="006507A5" w:rsidP="0060724F">
            <w:pPr>
              <w:spacing w:line="360" w:lineRule="auto"/>
              <w:rPr>
                <w:rFonts w:cs="Times New Roman"/>
              </w:rPr>
            </w:pPr>
            <w:r w:rsidRPr="006507A5">
              <w:rPr>
                <w:rFonts w:cs="Times New Roman"/>
              </w:rPr>
              <w:t>13.66</w:t>
            </w:r>
          </w:p>
        </w:tc>
      </w:tr>
    </w:tbl>
    <w:p w14:paraId="2EA6B51A" w14:textId="440D27CB" w:rsidR="006507A5" w:rsidRDefault="006507A5" w:rsidP="0060724F">
      <w:pPr>
        <w:spacing w:line="360" w:lineRule="auto"/>
        <w:rPr>
          <w:rFonts w:cs="Times New Roman"/>
          <w:sz w:val="16"/>
          <w:szCs w:val="16"/>
        </w:rPr>
      </w:pPr>
      <w:r w:rsidRPr="006507A5">
        <w:rPr>
          <w:rFonts w:cs="Times New Roman"/>
          <w:sz w:val="16"/>
          <w:szCs w:val="16"/>
        </w:rPr>
        <w:t xml:space="preserve">Table </w:t>
      </w:r>
      <w:r w:rsidR="002F26AA">
        <w:rPr>
          <w:rFonts w:cs="Times New Roman"/>
          <w:sz w:val="16"/>
          <w:szCs w:val="16"/>
        </w:rPr>
        <w:t>4</w:t>
      </w:r>
      <w:r w:rsidRPr="006507A5">
        <w:rPr>
          <w:rFonts w:cs="Times New Roman"/>
          <w:sz w:val="16"/>
          <w:szCs w:val="16"/>
        </w:rPr>
        <w:t>. Variables and their decrease to HLE</w:t>
      </w:r>
    </w:p>
    <w:p w14:paraId="0BFB8275" w14:textId="43803BDD" w:rsidR="004C711F" w:rsidRDefault="004C711F" w:rsidP="0060724F">
      <w:pPr>
        <w:spacing w:line="360" w:lineRule="auto"/>
      </w:pPr>
      <w:r w:rsidRPr="00FE0EB7">
        <w:rPr>
          <w:rStyle w:val="Heading1Char"/>
        </w:rPr>
        <w:t>Discussion</w:t>
      </w:r>
    </w:p>
    <w:p w14:paraId="749415F9" w14:textId="69EDDD1C" w:rsidR="006671E1" w:rsidRDefault="00016FA3" w:rsidP="0060724F">
      <w:pPr>
        <w:spacing w:line="360" w:lineRule="auto"/>
        <w:ind w:firstLine="720"/>
      </w:pPr>
      <w:r>
        <w:t xml:space="preserve">For the purposes of comparison, three example </w:t>
      </w:r>
      <w:r w:rsidR="00FE0EB7">
        <w:t>countries</w:t>
      </w:r>
      <w:r>
        <w:t xml:space="preserve"> have been created. </w:t>
      </w:r>
      <w:r w:rsidR="00FE0EB7">
        <w:t>Country</w:t>
      </w:r>
      <w:r>
        <w:t xml:space="preserve"> </w:t>
      </w:r>
      <w:r w:rsidR="00FE0EB7">
        <w:t xml:space="preserve">A was created using the average value for each </w:t>
      </w:r>
      <w:r w:rsidR="00A43040">
        <w:t>predictor</w:t>
      </w:r>
      <w:r w:rsidR="00B70A5D">
        <w:t xml:space="preserve">. </w:t>
      </w:r>
      <w:r w:rsidR="00FE0EB7">
        <w:t xml:space="preserve">Country B was created using the minimum value for each </w:t>
      </w:r>
      <w:r w:rsidR="00A43040">
        <w:t>predictor</w:t>
      </w:r>
      <w:r w:rsidR="00FE0EB7">
        <w:t>. Finally, country C</w:t>
      </w:r>
      <w:r w:rsidR="00A43040">
        <w:t xml:space="preserve"> was created using the maximum value for each predictor</w:t>
      </w:r>
      <w:r w:rsidR="00B70A5D">
        <w:t xml:space="preserve">. </w:t>
      </w:r>
      <w:r w:rsidR="006671E1">
        <w:t xml:space="preserve">The values </w:t>
      </w:r>
      <w:r w:rsidR="006671E1">
        <w:lastRenderedPageBreak/>
        <w:t>for each predictor</w:t>
      </w:r>
      <w:r w:rsidR="006B5A88">
        <w:t xml:space="preserve"> variable for each</w:t>
      </w:r>
      <w:r w:rsidR="006671E1">
        <w:t xml:space="preserve"> are displayed in the following </w:t>
      </w:r>
      <w:r w:rsidR="006B5A88">
        <w:t>figure</w:t>
      </w:r>
      <w:r w:rsidR="006671E1">
        <w:t>.</w:t>
      </w:r>
      <w:r>
        <w:rPr>
          <w:noProof/>
        </w:rPr>
        <w:drawing>
          <wp:inline distT="0" distB="0" distL="0" distR="0" wp14:anchorId="30B8D951" wp14:editId="4623C293">
            <wp:extent cx="5667375" cy="260985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FE2CABD" w14:textId="595D1240" w:rsidR="006671E1" w:rsidRDefault="006671E1" w:rsidP="0060724F">
      <w:pPr>
        <w:spacing w:line="360" w:lineRule="auto"/>
        <w:rPr>
          <w:rFonts w:cs="Times New Roman"/>
          <w:sz w:val="16"/>
          <w:szCs w:val="16"/>
        </w:rPr>
      </w:pPr>
      <w:r>
        <w:rPr>
          <w:rFonts w:cs="Times New Roman"/>
          <w:sz w:val="16"/>
          <w:szCs w:val="16"/>
        </w:rPr>
        <w:t>Figure 1</w:t>
      </w:r>
      <w:r w:rsidRPr="006507A5">
        <w:rPr>
          <w:rFonts w:cs="Times New Roman"/>
          <w:sz w:val="16"/>
          <w:szCs w:val="16"/>
        </w:rPr>
        <w:t xml:space="preserve">. </w:t>
      </w:r>
      <w:r>
        <w:rPr>
          <w:rFonts w:cs="Times New Roman"/>
          <w:sz w:val="16"/>
          <w:szCs w:val="16"/>
        </w:rPr>
        <w:t>Values for min max and average factor values</w:t>
      </w:r>
    </w:p>
    <w:p w14:paraId="6291FF35" w14:textId="23BD45C0" w:rsidR="006671E1" w:rsidRPr="006671E1" w:rsidRDefault="006671E1" w:rsidP="0060724F">
      <w:pPr>
        <w:spacing w:line="360" w:lineRule="auto"/>
        <w:ind w:firstLine="720"/>
        <w:rPr>
          <w:rFonts w:cs="Times New Roman"/>
        </w:rPr>
      </w:pPr>
      <w:r>
        <w:rPr>
          <w:rFonts w:cs="Times New Roman"/>
        </w:rPr>
        <w:t xml:space="preserve">When the values for each </w:t>
      </w:r>
      <w:r w:rsidR="006B5A88">
        <w:rPr>
          <w:rFonts w:cs="Times New Roman"/>
        </w:rPr>
        <w:t>country</w:t>
      </w:r>
      <w:r>
        <w:rPr>
          <w:rFonts w:cs="Times New Roman"/>
        </w:rPr>
        <w:t xml:space="preserve"> are input</w:t>
      </w:r>
      <w:r w:rsidR="006B5A88">
        <w:rPr>
          <w:rFonts w:cs="Times New Roman"/>
        </w:rPr>
        <w:t>ted</w:t>
      </w:r>
      <w:r>
        <w:rPr>
          <w:rFonts w:cs="Times New Roman"/>
        </w:rPr>
        <w:t xml:space="preserve"> into the model, the corresponding estimates for healthy life expectancy at birth are displayed in the following graph.</w:t>
      </w:r>
    </w:p>
    <w:p w14:paraId="06A3BA29" w14:textId="77777777" w:rsidR="006671E1" w:rsidRDefault="006671E1" w:rsidP="0060724F">
      <w:pPr>
        <w:spacing w:line="360" w:lineRule="auto"/>
        <w:rPr>
          <w:rFonts w:cs="Times New Roman"/>
          <w:sz w:val="16"/>
          <w:szCs w:val="16"/>
        </w:rPr>
      </w:pPr>
    </w:p>
    <w:p w14:paraId="4D4B3610" w14:textId="0194E55E" w:rsidR="004C711F" w:rsidRDefault="00B70A5D" w:rsidP="0060724F">
      <w:pPr>
        <w:spacing w:line="360" w:lineRule="auto"/>
      </w:pPr>
      <w:r>
        <w:rPr>
          <w:noProof/>
        </w:rPr>
        <w:drawing>
          <wp:inline distT="0" distB="0" distL="0" distR="0" wp14:anchorId="3B62CDBB" wp14:editId="6809AF6D">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34A0252" w14:textId="220BAAF9" w:rsidR="006671E1" w:rsidRDefault="006671E1" w:rsidP="0060724F">
      <w:pPr>
        <w:spacing w:line="360" w:lineRule="auto"/>
        <w:rPr>
          <w:rFonts w:cs="Times New Roman"/>
          <w:sz w:val="16"/>
          <w:szCs w:val="16"/>
        </w:rPr>
      </w:pPr>
      <w:r>
        <w:rPr>
          <w:rFonts w:cs="Times New Roman"/>
          <w:sz w:val="16"/>
          <w:szCs w:val="16"/>
        </w:rPr>
        <w:t>Figure 2</w:t>
      </w:r>
      <w:r w:rsidRPr="006507A5">
        <w:rPr>
          <w:rFonts w:cs="Times New Roman"/>
          <w:sz w:val="16"/>
          <w:szCs w:val="16"/>
        </w:rPr>
        <w:t xml:space="preserve">. </w:t>
      </w:r>
      <w:r>
        <w:rPr>
          <w:rFonts w:cs="Times New Roman"/>
          <w:sz w:val="16"/>
          <w:szCs w:val="16"/>
        </w:rPr>
        <w:t>Estimated HLE for mean, min, and max values</w:t>
      </w:r>
    </w:p>
    <w:p w14:paraId="1BCC743E" w14:textId="77777777" w:rsidR="00A44194" w:rsidRDefault="006671E1" w:rsidP="0060724F">
      <w:pPr>
        <w:spacing w:line="360" w:lineRule="auto"/>
      </w:pPr>
      <w:r>
        <w:lastRenderedPageBreak/>
        <w:tab/>
      </w:r>
      <w:r w:rsidR="00361969">
        <w:t>When considering societal factors, to</w:t>
      </w:r>
      <w:r w:rsidR="00A43040">
        <w:t xml:space="preserve"> improve the country wide healthy life expectancy at birth Country A</w:t>
      </w:r>
      <w:r w:rsidR="00361969">
        <w:t xml:space="preserve"> needs to focus on both increasing factors that contribute positively and decreasing factors that contribute negatively. Increasing Negative effect up to the maximum value can increase Country A’s life expectancy by </w:t>
      </w:r>
      <w:r w:rsidR="0035688A">
        <w:t>3.94</w:t>
      </w:r>
      <w:r w:rsidR="00361969">
        <w:t xml:space="preserve"> years. </w:t>
      </w:r>
      <w:r w:rsidR="0035688A">
        <w:t xml:space="preserve">Giving positive affect the same treatment can result in a </w:t>
      </w:r>
      <w:proofErr w:type="gramStart"/>
      <w:r w:rsidR="0035688A">
        <w:t xml:space="preserve">2.106 </w:t>
      </w:r>
      <w:r w:rsidR="00A44194">
        <w:t>year</w:t>
      </w:r>
      <w:proofErr w:type="gramEnd"/>
      <w:r w:rsidR="00A44194">
        <w:t xml:space="preserve"> </w:t>
      </w:r>
      <w:r w:rsidR="0035688A">
        <w:t>increase to life expectancy.  Decreasing the GINI world bank estimate to the minimum value found within the dataset leads to an increase of 1.841 years of healthy life expectancy at birth.</w:t>
      </w:r>
      <w:r w:rsidR="00361969">
        <w:rPr>
          <w:rFonts w:cs="Times New Roman"/>
        </w:rPr>
        <w:br/>
      </w:r>
      <w:r w:rsidR="00361969">
        <w:rPr>
          <w:rFonts w:cs="Times New Roman"/>
        </w:rPr>
        <w:tab/>
      </w:r>
      <w:r w:rsidR="0035688A">
        <w:rPr>
          <w:rFonts w:cs="Times New Roman"/>
        </w:rPr>
        <w:t>As Country B</w:t>
      </w:r>
      <w:r w:rsidR="00361969">
        <w:rPr>
          <w:rFonts w:cs="Times New Roman"/>
        </w:rPr>
        <w:t xml:space="preserve"> </w:t>
      </w:r>
      <w:r w:rsidR="0035688A">
        <w:rPr>
          <w:rFonts w:cs="Times New Roman"/>
        </w:rPr>
        <w:t>has the lowest value for each predictor,</w:t>
      </w:r>
      <w:r w:rsidR="00A44194">
        <w:rPr>
          <w:rFonts w:cs="Times New Roman"/>
        </w:rPr>
        <w:t xml:space="preserve"> a focus should be placed on increasing factors that have a positive impact on healthy life expectancy at birth. </w:t>
      </w:r>
      <w:r w:rsidR="00A44194">
        <w:t xml:space="preserve">Increasing Negative effect up to the maximum value can increase Country B’s life expectancy by 5.6 years. Giving positive affect the same treatment can result in a </w:t>
      </w:r>
      <w:proofErr w:type="gramStart"/>
      <w:r w:rsidR="00A44194">
        <w:t>2.42 year</w:t>
      </w:r>
      <w:proofErr w:type="gramEnd"/>
      <w:r w:rsidR="00A44194">
        <w:t xml:space="preserve"> increase to life expectancy. Increasing Freedom to make life choices to the maximum value within the dataset results in a </w:t>
      </w:r>
      <w:proofErr w:type="gramStart"/>
      <w:r w:rsidR="00A44194">
        <w:t>2.72 year</w:t>
      </w:r>
      <w:proofErr w:type="gramEnd"/>
      <w:r w:rsidR="00A44194">
        <w:t xml:space="preserve"> increase to life expectancy.</w:t>
      </w:r>
    </w:p>
    <w:p w14:paraId="43984847" w14:textId="0B53D791" w:rsidR="001B1EF9" w:rsidRDefault="00A44194" w:rsidP="0060724F">
      <w:pPr>
        <w:spacing w:line="360" w:lineRule="auto"/>
        <w:ind w:firstLine="720"/>
      </w:pPr>
      <w:r>
        <w:rPr>
          <w:rFonts w:cs="Times New Roman"/>
        </w:rPr>
        <w:t xml:space="preserve">For Country C to increase its life expectancy, it needs to decrease the 3 factors that reduce life expectancy. Decreasing </w:t>
      </w:r>
      <w:r w:rsidRPr="006507A5">
        <w:rPr>
          <w:rFonts w:cs="Times New Roman"/>
        </w:rPr>
        <w:t>GINI world bank estimate</w:t>
      </w:r>
      <w:r>
        <w:rPr>
          <w:rFonts w:cs="Times New Roman"/>
        </w:rPr>
        <w:t xml:space="preserve"> to the minimum value found within the data results in a </w:t>
      </w:r>
      <w:proofErr w:type="gramStart"/>
      <w:r>
        <w:rPr>
          <w:rFonts w:cs="Times New Roman"/>
        </w:rPr>
        <w:t>5.123 year</w:t>
      </w:r>
      <w:proofErr w:type="gramEnd"/>
      <w:r>
        <w:rPr>
          <w:rFonts w:cs="Times New Roman"/>
        </w:rPr>
        <w:t xml:space="preserve"> increase in life expectancy. Decreasing </w:t>
      </w:r>
      <w:r w:rsidR="0060724F">
        <w:rPr>
          <w:rFonts w:cs="Times New Roman"/>
        </w:rPr>
        <w:t xml:space="preserve">Generosity to the minimum value results in a </w:t>
      </w:r>
      <w:proofErr w:type="gramStart"/>
      <w:r w:rsidR="0060724F">
        <w:rPr>
          <w:rFonts w:cs="Times New Roman"/>
        </w:rPr>
        <w:t>2.1385 year</w:t>
      </w:r>
      <w:proofErr w:type="gramEnd"/>
      <w:r w:rsidR="0060724F">
        <w:rPr>
          <w:rFonts w:cs="Times New Roman"/>
        </w:rPr>
        <w:t xml:space="preserve"> increase to life expectancy. Decreasing Confidence in national government to the minimum value results in a </w:t>
      </w:r>
      <w:proofErr w:type="gramStart"/>
      <w:r w:rsidR="0060724F">
        <w:rPr>
          <w:rFonts w:cs="Times New Roman"/>
        </w:rPr>
        <w:t>2.02 year</w:t>
      </w:r>
      <w:proofErr w:type="gramEnd"/>
      <w:r w:rsidR="0060724F">
        <w:rPr>
          <w:rFonts w:cs="Times New Roman"/>
        </w:rPr>
        <w:t xml:space="preserve"> increase to life expectancy. </w:t>
      </w:r>
      <w:r w:rsidR="00361969">
        <w:rPr>
          <w:rFonts w:cs="Times New Roman"/>
        </w:rPr>
        <w:br/>
      </w:r>
    </w:p>
    <w:p w14:paraId="19AB9098" w14:textId="28107C5E" w:rsidR="004C711F" w:rsidRDefault="004C711F" w:rsidP="0060724F">
      <w:pPr>
        <w:pStyle w:val="Heading1"/>
        <w:spacing w:line="360" w:lineRule="auto"/>
      </w:pPr>
      <w:r>
        <w:t>Conclusion</w:t>
      </w:r>
    </w:p>
    <w:p w14:paraId="1B7FEC68" w14:textId="2A15CC17" w:rsidR="004B1C37" w:rsidRDefault="00637A69" w:rsidP="0060724F">
      <w:pPr>
        <w:spacing w:line="360" w:lineRule="auto"/>
        <w:rPr>
          <w:rStyle w:val="Heading1Char"/>
        </w:rPr>
      </w:pPr>
      <w:r>
        <w:tab/>
        <w:t xml:space="preserve">Healthy life expectancy at birth is an estimated value that requires the input of many factors to accurately predict. An emphasis on physical factors is common, but </w:t>
      </w:r>
      <w:r w:rsidR="0060724F">
        <w:t>social factors also impact this estimate. Without knowledge of what factors have an effect and how much they affect this estimate efficient actions cannot be taken. This report highlighted several factors as well as the impact on the number of years they increase or decrease countrywide healthy life expectancy at birth. Further analysis at the individual level is recommended</w:t>
      </w:r>
      <w:r w:rsidR="00C96559">
        <w:t xml:space="preserve"> to allow each citizen to improve their unique healthy life expectancy at birth. </w:t>
      </w:r>
      <w:r w:rsidR="0060724F">
        <w:br/>
      </w:r>
      <w:r w:rsidR="0060724F" w:rsidRPr="0060724F">
        <w:rPr>
          <w:rStyle w:val="Heading1Char"/>
        </w:rPr>
        <w:t>Limitations</w:t>
      </w:r>
    </w:p>
    <w:p w14:paraId="5FE2C051" w14:textId="6322C2CC" w:rsidR="0060724F" w:rsidRPr="004B1C37" w:rsidRDefault="0060724F" w:rsidP="0060724F">
      <w:pPr>
        <w:spacing w:line="360" w:lineRule="auto"/>
      </w:pPr>
      <w:r>
        <w:tab/>
        <w:t xml:space="preserve">The largest limitation of this analysis is the emphasis on model simplicity. The ability for those without broad analytic knowledge to understand and use the information provided is paramount for this analysis to be useful. Another major limitation was the granularity of the data. </w:t>
      </w:r>
      <w:r w:rsidR="00C96559">
        <w:t xml:space="preserve">Each row of data was </w:t>
      </w:r>
      <w:r w:rsidR="00C96559">
        <w:lastRenderedPageBreak/>
        <w:t xml:space="preserve">collected at a country wide level using the averages of survey responses. For individuals to know what factors are directly important to them, the responses of each individual would need to be accessed. </w:t>
      </w:r>
    </w:p>
    <w:sectPr w:rsidR="0060724F" w:rsidRPr="004B1C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Ferris, Joshua Andrew John James Mr." w:date="2020-10-21T15:37:00Z" w:initials="FJAJJM">
    <w:p w14:paraId="119470C8" w14:textId="28EAE935" w:rsidR="00F26261" w:rsidRDefault="00F26261">
      <w:pPr>
        <w:pStyle w:val="CommentText"/>
      </w:pPr>
      <w:r>
        <w:rPr>
          <w:rStyle w:val="CommentReference"/>
        </w:rPr>
        <w:annotationRef/>
      </w:r>
      <w:r>
        <w:t>What is R^2?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9470C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AD421" w16cex:dateUtc="2020-10-21T19: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9470C8" w16cid:durableId="233AD42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7041C7"/>
    <w:multiLevelType w:val="hybridMultilevel"/>
    <w:tmpl w:val="493AA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erris, Joshua Andrew John James Mr.">
    <w15:presenceInfo w15:providerId="AD" w15:userId="S::ferrisj2@miamioh.edu::c6edb5e9-2f4c-484b-9492-2d90a27e19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7FC"/>
    <w:rsid w:val="00016FA3"/>
    <w:rsid w:val="00032309"/>
    <w:rsid w:val="0005700C"/>
    <w:rsid w:val="000851EC"/>
    <w:rsid w:val="000E70BA"/>
    <w:rsid w:val="000F0A0B"/>
    <w:rsid w:val="00120B63"/>
    <w:rsid w:val="0019428A"/>
    <w:rsid w:val="001A33B6"/>
    <w:rsid w:val="001A4274"/>
    <w:rsid w:val="001B1EF9"/>
    <w:rsid w:val="00245034"/>
    <w:rsid w:val="002D4266"/>
    <w:rsid w:val="002F26AA"/>
    <w:rsid w:val="00331C34"/>
    <w:rsid w:val="003337FC"/>
    <w:rsid w:val="0035688A"/>
    <w:rsid w:val="00361969"/>
    <w:rsid w:val="003A032E"/>
    <w:rsid w:val="004B1C37"/>
    <w:rsid w:val="004C4B53"/>
    <w:rsid w:val="004C711F"/>
    <w:rsid w:val="00575233"/>
    <w:rsid w:val="005F3B9B"/>
    <w:rsid w:val="0060724F"/>
    <w:rsid w:val="00637A69"/>
    <w:rsid w:val="006507A5"/>
    <w:rsid w:val="006671E1"/>
    <w:rsid w:val="00686C0D"/>
    <w:rsid w:val="006B5A88"/>
    <w:rsid w:val="008E353F"/>
    <w:rsid w:val="008F03FF"/>
    <w:rsid w:val="00A218E2"/>
    <w:rsid w:val="00A43040"/>
    <w:rsid w:val="00A44194"/>
    <w:rsid w:val="00AA48EB"/>
    <w:rsid w:val="00B34EAE"/>
    <w:rsid w:val="00B70A5D"/>
    <w:rsid w:val="00BA402E"/>
    <w:rsid w:val="00C32E13"/>
    <w:rsid w:val="00C41B4B"/>
    <w:rsid w:val="00C627AC"/>
    <w:rsid w:val="00C96559"/>
    <w:rsid w:val="00CA31A4"/>
    <w:rsid w:val="00CC7F9B"/>
    <w:rsid w:val="00CD48DD"/>
    <w:rsid w:val="00DD5FC5"/>
    <w:rsid w:val="00F26261"/>
    <w:rsid w:val="00F34E5E"/>
    <w:rsid w:val="00F43B18"/>
    <w:rsid w:val="00F55D71"/>
    <w:rsid w:val="00F93DF5"/>
    <w:rsid w:val="00FE0EB7"/>
    <w:rsid w:val="00FE46FE"/>
    <w:rsid w:val="00FF7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21D09"/>
  <w15:chartTrackingRefBased/>
  <w15:docId w15:val="{0E741930-C947-4170-885B-D3EC6D707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8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48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7FC"/>
    <w:pPr>
      <w:ind w:left="720"/>
      <w:contextualSpacing/>
    </w:pPr>
  </w:style>
  <w:style w:type="character" w:customStyle="1" w:styleId="Heading1Char">
    <w:name w:val="Heading 1 Char"/>
    <w:basedOn w:val="DefaultParagraphFont"/>
    <w:link w:val="Heading1"/>
    <w:uiPriority w:val="9"/>
    <w:rsid w:val="00AA48E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A48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48E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A48E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A48E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A33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26261"/>
    <w:rPr>
      <w:sz w:val="16"/>
      <w:szCs w:val="16"/>
    </w:rPr>
  </w:style>
  <w:style w:type="paragraph" w:styleId="CommentText">
    <w:name w:val="annotation text"/>
    <w:basedOn w:val="Normal"/>
    <w:link w:val="CommentTextChar"/>
    <w:uiPriority w:val="99"/>
    <w:semiHidden/>
    <w:unhideWhenUsed/>
    <w:rsid w:val="00F26261"/>
    <w:pPr>
      <w:spacing w:line="240" w:lineRule="auto"/>
    </w:pPr>
    <w:rPr>
      <w:sz w:val="20"/>
      <w:szCs w:val="20"/>
    </w:rPr>
  </w:style>
  <w:style w:type="character" w:customStyle="1" w:styleId="CommentTextChar">
    <w:name w:val="Comment Text Char"/>
    <w:basedOn w:val="DefaultParagraphFont"/>
    <w:link w:val="CommentText"/>
    <w:uiPriority w:val="99"/>
    <w:semiHidden/>
    <w:rsid w:val="00F26261"/>
    <w:rPr>
      <w:sz w:val="20"/>
      <w:szCs w:val="20"/>
    </w:rPr>
  </w:style>
  <w:style w:type="paragraph" w:styleId="CommentSubject">
    <w:name w:val="annotation subject"/>
    <w:basedOn w:val="CommentText"/>
    <w:next w:val="CommentText"/>
    <w:link w:val="CommentSubjectChar"/>
    <w:uiPriority w:val="99"/>
    <w:semiHidden/>
    <w:unhideWhenUsed/>
    <w:rsid w:val="00F26261"/>
    <w:rPr>
      <w:b/>
      <w:bCs/>
    </w:rPr>
  </w:style>
  <w:style w:type="character" w:customStyle="1" w:styleId="CommentSubjectChar">
    <w:name w:val="Comment Subject Char"/>
    <w:basedOn w:val="CommentTextChar"/>
    <w:link w:val="CommentSubject"/>
    <w:uiPriority w:val="99"/>
    <w:semiHidden/>
    <w:rsid w:val="00F26261"/>
    <w:rPr>
      <w:b/>
      <w:bCs/>
      <w:sz w:val="20"/>
      <w:szCs w:val="20"/>
    </w:rPr>
  </w:style>
  <w:style w:type="paragraph" w:styleId="BalloonText">
    <w:name w:val="Balloon Text"/>
    <w:basedOn w:val="Normal"/>
    <w:link w:val="BalloonTextChar"/>
    <w:uiPriority w:val="99"/>
    <w:semiHidden/>
    <w:unhideWhenUsed/>
    <w:rsid w:val="00F2626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2626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Country A</c:v>
                </c:pt>
              </c:strCache>
            </c:strRef>
          </c:tx>
          <c:spPr>
            <a:solidFill>
              <a:schemeClr val="accent1"/>
            </a:solidFill>
            <a:ln w="25400">
              <a:noFill/>
            </a:ln>
            <a:effectLst/>
          </c:spPr>
          <c:invertIfNegative val="0"/>
          <c:cat>
            <c:strRef>
              <c:f>Sheet1!$A$2:$A$11</c:f>
              <c:strCache>
                <c:ptCount val="10"/>
                <c:pt idx="0">
                  <c:v>Life Ladder / 10</c:v>
                </c:pt>
                <c:pt idx="1">
                  <c:v>Log GPD per capita / 10</c:v>
                </c:pt>
                <c:pt idx="2">
                  <c:v>Social support</c:v>
                </c:pt>
                <c:pt idx="3">
                  <c:v>Freedom to make life choices</c:v>
                </c:pt>
                <c:pt idx="4">
                  <c:v>Generosity</c:v>
                </c:pt>
                <c:pt idx="5">
                  <c:v>Positive affect</c:v>
                </c:pt>
                <c:pt idx="6">
                  <c:v>Negative affect</c:v>
                </c:pt>
                <c:pt idx="7">
                  <c:v>Confidence in national government</c:v>
                </c:pt>
                <c:pt idx="8">
                  <c:v>Delivery quality</c:v>
                </c:pt>
                <c:pt idx="9">
                  <c:v>GINI WBE</c:v>
                </c:pt>
              </c:strCache>
            </c:strRef>
          </c:cat>
          <c:val>
            <c:numRef>
              <c:f>Sheet1!$B$2:$B$11</c:f>
              <c:numCache>
                <c:formatCode>General</c:formatCode>
                <c:ptCount val="10"/>
                <c:pt idx="0">
                  <c:v>0.54500000000000004</c:v>
                </c:pt>
                <c:pt idx="1">
                  <c:v>0.92500000000000004</c:v>
                </c:pt>
                <c:pt idx="2">
                  <c:v>0.81100000000000005</c:v>
                </c:pt>
                <c:pt idx="3">
                  <c:v>0.73899999999999999</c:v>
                </c:pt>
                <c:pt idx="4">
                  <c:v>-9.6200000000000001E-3</c:v>
                </c:pt>
                <c:pt idx="5">
                  <c:v>0.71</c:v>
                </c:pt>
                <c:pt idx="6">
                  <c:v>0.26700000000000002</c:v>
                </c:pt>
                <c:pt idx="7">
                  <c:v>0.48099999999999998</c:v>
                </c:pt>
                <c:pt idx="8">
                  <c:v>-1.9300000000000001E-2</c:v>
                </c:pt>
                <c:pt idx="9">
                  <c:v>0.38400000000000001</c:v>
                </c:pt>
              </c:numCache>
            </c:numRef>
          </c:val>
          <c:extLst>
            <c:ext xmlns:c16="http://schemas.microsoft.com/office/drawing/2014/chart" uri="{C3380CC4-5D6E-409C-BE32-E72D297353CC}">
              <c16:uniqueId val="{00000000-29CD-4660-8C39-B6949F3143AA}"/>
            </c:ext>
          </c:extLst>
        </c:ser>
        <c:ser>
          <c:idx val="1"/>
          <c:order val="1"/>
          <c:tx>
            <c:strRef>
              <c:f>Sheet1!$C$1</c:f>
              <c:strCache>
                <c:ptCount val="1"/>
                <c:pt idx="0">
                  <c:v>Country B</c:v>
                </c:pt>
              </c:strCache>
            </c:strRef>
          </c:tx>
          <c:spPr>
            <a:solidFill>
              <a:schemeClr val="accent2"/>
            </a:solidFill>
            <a:ln w="25400">
              <a:noFill/>
            </a:ln>
            <a:effectLst/>
          </c:spPr>
          <c:invertIfNegative val="0"/>
          <c:cat>
            <c:strRef>
              <c:f>Sheet1!$A$2:$A$11</c:f>
              <c:strCache>
                <c:ptCount val="10"/>
                <c:pt idx="0">
                  <c:v>Life Ladder / 10</c:v>
                </c:pt>
                <c:pt idx="1">
                  <c:v>Log GPD per capita / 10</c:v>
                </c:pt>
                <c:pt idx="2">
                  <c:v>Social support</c:v>
                </c:pt>
                <c:pt idx="3">
                  <c:v>Freedom to make life choices</c:v>
                </c:pt>
                <c:pt idx="4">
                  <c:v>Generosity</c:v>
                </c:pt>
                <c:pt idx="5">
                  <c:v>Positive affect</c:v>
                </c:pt>
                <c:pt idx="6">
                  <c:v>Negative affect</c:v>
                </c:pt>
                <c:pt idx="7">
                  <c:v>Confidence in national government</c:v>
                </c:pt>
                <c:pt idx="8">
                  <c:v>Delivery quality</c:v>
                </c:pt>
                <c:pt idx="9">
                  <c:v>GINI WBE</c:v>
                </c:pt>
              </c:strCache>
            </c:strRef>
          </c:cat>
          <c:val>
            <c:numRef>
              <c:f>Sheet1!$C$2:$C$11</c:f>
              <c:numCache>
                <c:formatCode>General</c:formatCode>
                <c:ptCount val="10"/>
                <c:pt idx="0">
                  <c:v>0.23799999999999999</c:v>
                </c:pt>
                <c:pt idx="1">
                  <c:v>0.64600000000000002</c:v>
                </c:pt>
                <c:pt idx="2">
                  <c:v>0.28999999999999998</c:v>
                </c:pt>
                <c:pt idx="3">
                  <c:v>0.25800000000000001</c:v>
                </c:pt>
                <c:pt idx="4">
                  <c:v>-0.33200000000000002</c:v>
                </c:pt>
                <c:pt idx="5">
                  <c:v>0.32200000000000001</c:v>
                </c:pt>
                <c:pt idx="6">
                  <c:v>8.3400000000000002E-2</c:v>
                </c:pt>
                <c:pt idx="7">
                  <c:v>6.88E-2</c:v>
                </c:pt>
                <c:pt idx="8">
                  <c:v>-2.14</c:v>
                </c:pt>
                <c:pt idx="9">
                  <c:v>0.249</c:v>
                </c:pt>
              </c:numCache>
            </c:numRef>
          </c:val>
          <c:extLst>
            <c:ext xmlns:c16="http://schemas.microsoft.com/office/drawing/2014/chart" uri="{C3380CC4-5D6E-409C-BE32-E72D297353CC}">
              <c16:uniqueId val="{00000001-29CD-4660-8C39-B6949F3143AA}"/>
            </c:ext>
          </c:extLst>
        </c:ser>
        <c:ser>
          <c:idx val="2"/>
          <c:order val="2"/>
          <c:tx>
            <c:strRef>
              <c:f>Sheet1!$D$1</c:f>
              <c:strCache>
                <c:ptCount val="1"/>
                <c:pt idx="0">
                  <c:v>Country C</c:v>
                </c:pt>
              </c:strCache>
            </c:strRef>
          </c:tx>
          <c:spPr>
            <a:solidFill>
              <a:schemeClr val="accent3"/>
            </a:solidFill>
            <a:ln w="25400">
              <a:noFill/>
            </a:ln>
            <a:effectLst/>
          </c:spPr>
          <c:invertIfNegative val="0"/>
          <c:cat>
            <c:strRef>
              <c:f>Sheet1!$A$2:$A$11</c:f>
              <c:strCache>
                <c:ptCount val="10"/>
                <c:pt idx="0">
                  <c:v>Life Ladder / 10</c:v>
                </c:pt>
                <c:pt idx="1">
                  <c:v>Log GPD per capita / 10</c:v>
                </c:pt>
                <c:pt idx="2">
                  <c:v>Social support</c:v>
                </c:pt>
                <c:pt idx="3">
                  <c:v>Freedom to make life choices</c:v>
                </c:pt>
                <c:pt idx="4">
                  <c:v>Generosity</c:v>
                </c:pt>
                <c:pt idx="5">
                  <c:v>Positive affect</c:v>
                </c:pt>
                <c:pt idx="6">
                  <c:v>Negative affect</c:v>
                </c:pt>
                <c:pt idx="7">
                  <c:v>Confidence in national government</c:v>
                </c:pt>
                <c:pt idx="8">
                  <c:v>Delivery quality</c:v>
                </c:pt>
                <c:pt idx="9">
                  <c:v>GINI WBE</c:v>
                </c:pt>
              </c:strCache>
            </c:strRef>
          </c:cat>
          <c:val>
            <c:numRef>
              <c:f>Sheet1!$D$2:$D$11</c:f>
              <c:numCache>
                <c:formatCode>General</c:formatCode>
                <c:ptCount val="10"/>
                <c:pt idx="0">
                  <c:v>0.80200000000000005</c:v>
                </c:pt>
                <c:pt idx="1">
                  <c:v>1.17</c:v>
                </c:pt>
                <c:pt idx="2">
                  <c:v>0.98699999999999999</c:v>
                </c:pt>
                <c:pt idx="3">
                  <c:v>0.98499999999999999</c:v>
                </c:pt>
                <c:pt idx="4">
                  <c:v>0.68</c:v>
                </c:pt>
                <c:pt idx="5">
                  <c:v>0.94399999999999995</c:v>
                </c:pt>
                <c:pt idx="6">
                  <c:v>0.70499999999999996</c:v>
                </c:pt>
                <c:pt idx="7">
                  <c:v>0.99399999999999999</c:v>
                </c:pt>
                <c:pt idx="8">
                  <c:v>2.1800000000000002</c:v>
                </c:pt>
                <c:pt idx="9">
                  <c:v>0.624</c:v>
                </c:pt>
              </c:numCache>
            </c:numRef>
          </c:val>
          <c:extLst>
            <c:ext xmlns:c16="http://schemas.microsoft.com/office/drawing/2014/chart" uri="{C3380CC4-5D6E-409C-BE32-E72D297353CC}">
              <c16:uniqueId val="{00000002-29CD-4660-8C39-B6949F3143AA}"/>
            </c:ext>
          </c:extLst>
        </c:ser>
        <c:dLbls>
          <c:showLegendKey val="0"/>
          <c:showVal val="0"/>
          <c:showCatName val="0"/>
          <c:showSerName val="0"/>
          <c:showPercent val="0"/>
          <c:showBubbleSize val="0"/>
        </c:dLbls>
        <c:gapWidth val="219"/>
        <c:axId val="358536184"/>
        <c:axId val="358533560"/>
      </c:barChart>
      <c:catAx>
        <c:axId val="3585361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8533560"/>
        <c:crosses val="autoZero"/>
        <c:auto val="1"/>
        <c:lblAlgn val="ctr"/>
        <c:lblOffset val="100"/>
        <c:noMultiLvlLbl val="0"/>
      </c:catAx>
      <c:valAx>
        <c:axId val="3585335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8536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Estimated HLE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Country</c:v>
                </c:pt>
              </c:strCache>
            </c:strRef>
          </c:cat>
          <c:val>
            <c:numRef>
              <c:f>Sheet1!$B$2</c:f>
              <c:numCache>
                <c:formatCode>General</c:formatCode>
                <c:ptCount val="1"/>
                <c:pt idx="0">
                  <c:v>32.630000000000003</c:v>
                </c:pt>
              </c:numCache>
            </c:numRef>
          </c:val>
          <c:extLst>
            <c:ext xmlns:c16="http://schemas.microsoft.com/office/drawing/2014/chart" uri="{C3380CC4-5D6E-409C-BE32-E72D297353CC}">
              <c16:uniqueId val="{00000000-BA65-4634-BAA3-097E6B5A293F}"/>
            </c:ext>
          </c:extLst>
        </c:ser>
        <c:ser>
          <c:idx val="1"/>
          <c:order val="1"/>
          <c:tx>
            <c:strRef>
              <c:f>Sheet1!$C$1</c:f>
              <c:strCache>
                <c:ptCount val="1"/>
                <c:pt idx="0">
                  <c:v>B</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Country</c:v>
                </c:pt>
              </c:strCache>
            </c:strRef>
          </c:cat>
          <c:val>
            <c:numRef>
              <c:f>Sheet1!$C$2</c:f>
              <c:numCache>
                <c:formatCode>General</c:formatCode>
                <c:ptCount val="1"/>
                <c:pt idx="0">
                  <c:v>26.28</c:v>
                </c:pt>
              </c:numCache>
            </c:numRef>
          </c:val>
          <c:extLst>
            <c:ext xmlns:c16="http://schemas.microsoft.com/office/drawing/2014/chart" uri="{C3380CC4-5D6E-409C-BE32-E72D297353CC}">
              <c16:uniqueId val="{00000001-BA65-4634-BAA3-097E6B5A293F}"/>
            </c:ext>
          </c:extLst>
        </c:ser>
        <c:ser>
          <c:idx val="2"/>
          <c:order val="2"/>
          <c:tx>
            <c:strRef>
              <c:f>Sheet1!$D$1</c:f>
              <c:strCache>
                <c:ptCount val="1"/>
                <c:pt idx="0">
                  <c:v>C</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Country</c:v>
                </c:pt>
              </c:strCache>
            </c:strRef>
          </c:cat>
          <c:val>
            <c:numRef>
              <c:f>Sheet1!$D$2</c:f>
              <c:numCache>
                <c:formatCode>General</c:formatCode>
                <c:ptCount val="1"/>
                <c:pt idx="0">
                  <c:v>35.71</c:v>
                </c:pt>
              </c:numCache>
            </c:numRef>
          </c:val>
          <c:extLst>
            <c:ext xmlns:c16="http://schemas.microsoft.com/office/drawing/2014/chart" uri="{C3380CC4-5D6E-409C-BE32-E72D297353CC}">
              <c16:uniqueId val="{00000002-BA65-4634-BAA3-097E6B5A293F}"/>
            </c:ext>
          </c:extLst>
        </c:ser>
        <c:dLbls>
          <c:dLblPos val="inEnd"/>
          <c:showLegendKey val="0"/>
          <c:showVal val="1"/>
          <c:showCatName val="0"/>
          <c:showSerName val="0"/>
          <c:showPercent val="0"/>
          <c:showBubbleSize val="0"/>
        </c:dLbls>
        <c:gapWidth val="219"/>
        <c:overlap val="-27"/>
        <c:axId val="565113280"/>
        <c:axId val="565116560"/>
      </c:barChart>
      <c:catAx>
        <c:axId val="56511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5116560"/>
        <c:crosses val="autoZero"/>
        <c:auto val="1"/>
        <c:lblAlgn val="ctr"/>
        <c:lblOffset val="100"/>
        <c:noMultiLvlLbl val="0"/>
      </c:catAx>
      <c:valAx>
        <c:axId val="565116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511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BAB69-1A99-43F2-A21E-6168C746A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8</Pages>
  <Words>1838</Words>
  <Characters>10481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Close Account</dc:creator>
  <cp:keywords/>
  <dc:description/>
  <cp:lastModifiedBy>Close Account</cp:lastModifiedBy>
  <cp:revision>14</cp:revision>
  <dcterms:created xsi:type="dcterms:W3CDTF">2020-10-14T19:20:00Z</dcterms:created>
  <dcterms:modified xsi:type="dcterms:W3CDTF">2020-10-29T20:59:00Z</dcterms:modified>
</cp:coreProperties>
</file>