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Funkcionalnosti aplikacije su implementirane prema korisničkim zahtjevima i u skladu 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dogovorima sa budućim korisnicima. Funkcije aplikacije i kontrole na formama su korisniku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dostupne prema njegovom tipu, što znači da su korisnici podijeljeni na Administratora 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Skladištara. Administrator ima najvišu razinu prava korištenja aplikacijom, dok Skladištar ima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nižu razinu.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1.Korisničko sučelje aplikacije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1.1. Početni zaslon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124325" cx="3724275"/>
            <wp:effectExtent t="0" b="0" r="0" l="0"/>
            <wp:docPr id="6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124325" cx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Login screen gdje se je moguće ulogirati kao administrator ili skladištar.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1.2. Administrativno sučelje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451100" cx="594360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51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Administrato ima moze upravljati zaposlenicima, poslovnim partnerima te pregledavati i izmjenivati dokumente.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70300" cx="5943600"/>
            <wp:effectExtent t="0" b="0" r="0" l="0"/>
            <wp:docPr id="8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70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Administracija korisnika , administrator može unasati nove zaposlenike ili uređivati trenutne.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60800" cx="5943600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60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Administracija partnera, dodavanje novih i brisanje postojećih partnera.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5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Korisničko (skladištar) sučelje.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Skladištar moze upravljati artiklima , robom i pregledavati dokumente.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429000" cx="5943600"/>
            <wp:effectExtent t="0" b="0" r="0" l="0"/>
            <wp:docPr id="7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29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Upravljanje artiklima.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Skladistar može dodavati nove, brisati ili izmjenivati postojeće artikle , te printati popis artikala.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92600" cx="5943600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92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Izrada izdatnica.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 isti način fukcionira izrada otpremnica, predatnica i primki.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49600" cx="5943600"/>
            <wp:effectExtent t="0" b="0" r="0" l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49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Pregleda dokumenata(skladištar).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Osim pregleda dokumenata po tipu dokumenta, skladištar može ispisivat dokumente, te izrađivati otpremnice na osnovu izdatnice.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7.pn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6.png" Type="http://schemas.openxmlformats.org/officeDocument/2006/relationships/image" Id="rId10"/><Relationship Target="styles.xml" Type="http://schemas.openxmlformats.org/officeDocument/2006/relationships/styles" Id="rId4"/><Relationship Target="media/image02.png" Type="http://schemas.openxmlformats.org/officeDocument/2006/relationships/image" Id="rId11"/><Relationship Target="numbering.xml" Type="http://schemas.openxmlformats.org/officeDocument/2006/relationships/numbering" Id="rId3"/><Relationship Target="media/image04.png" Type="http://schemas.openxmlformats.org/officeDocument/2006/relationships/image" Id="rId9"/><Relationship Target="media/image05.png" Type="http://schemas.openxmlformats.org/officeDocument/2006/relationships/image" Id="rId6"/><Relationship Target="media/image00.png" Type="http://schemas.openxmlformats.org/officeDocument/2006/relationships/image" Id="rId5"/><Relationship Target="media/image01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