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B26" w:rsidRPr="00D93C1C" w:rsidRDefault="0020253E" w:rsidP="00650183">
      <w:pPr>
        <w:jc w:val="both"/>
        <w:rPr>
          <w:rFonts w:cstheme="minorHAnsi"/>
          <w:b/>
          <w:sz w:val="24"/>
          <w:szCs w:val="24"/>
          <w:lang w:val="hr-HR"/>
        </w:rPr>
      </w:pPr>
      <w:r w:rsidRPr="00D93C1C">
        <w:rPr>
          <w:rFonts w:cstheme="minorHAnsi"/>
          <w:b/>
          <w:sz w:val="24"/>
          <w:szCs w:val="24"/>
          <w:lang w:val="hr-HR"/>
        </w:rPr>
        <w:t>Analiza poslovnog procesa VIES registar</w:t>
      </w:r>
      <w:r w:rsidR="008278E5">
        <w:rPr>
          <w:rFonts w:cstheme="minorHAnsi"/>
          <w:b/>
          <w:sz w:val="24"/>
          <w:szCs w:val="24"/>
          <w:lang w:val="hr-HR"/>
        </w:rPr>
        <w:t xml:space="preserve"> za fazu III</w:t>
      </w:r>
    </w:p>
    <w:p w:rsidR="0020253E" w:rsidRDefault="0020253E" w:rsidP="00650183">
      <w:pPr>
        <w:jc w:val="both"/>
        <w:rPr>
          <w:rFonts w:cstheme="minorHAnsi"/>
          <w:lang w:val="hr-HR"/>
        </w:rPr>
      </w:pPr>
    </w:p>
    <w:p w:rsidR="00D93C1C" w:rsidRPr="00D93C1C" w:rsidRDefault="00D93C1C" w:rsidP="00D93C1C">
      <w:pPr>
        <w:pStyle w:val="ListParagraph"/>
        <w:numPr>
          <w:ilvl w:val="0"/>
          <w:numId w:val="9"/>
        </w:numPr>
        <w:jc w:val="both"/>
        <w:rPr>
          <w:rFonts w:cstheme="minorHAnsi"/>
          <w:b/>
          <w:lang w:val="hr-HR"/>
        </w:rPr>
      </w:pPr>
      <w:r w:rsidRPr="00D93C1C">
        <w:rPr>
          <w:rFonts w:cstheme="minorHAnsi"/>
          <w:b/>
          <w:lang w:val="hr-HR"/>
        </w:rPr>
        <w:t>Uvod</w:t>
      </w:r>
    </w:p>
    <w:p w:rsidR="0020253E" w:rsidRDefault="0020253E" w:rsidP="0020253E">
      <w:pPr>
        <w:jc w:val="both"/>
        <w:rPr>
          <w:rFonts w:cstheme="minorHAnsi"/>
          <w:lang w:val="hr-HR"/>
        </w:rPr>
      </w:pPr>
      <w:r w:rsidRPr="0020253E">
        <w:rPr>
          <w:rFonts w:cstheme="minorHAnsi"/>
          <w:lang w:val="hr-HR"/>
        </w:rPr>
        <w:t>Danom pristupanja Europskoj uniji Republika Hrvatska postaje dio zajedničkog tržišta Europske unije. Kako bi hrvatski porezni obveznici mogli poslovati na zajedničkom tržištu odnosno stjecati dobra te primati ili obavljati usluge unutar Europske unije potreban im je PDV identifikacijski broj. PDV identifikacijsk</w:t>
      </w:r>
      <w:r w:rsidR="00D93C1C">
        <w:rPr>
          <w:rFonts w:cstheme="minorHAnsi"/>
          <w:lang w:val="hr-HR"/>
        </w:rPr>
        <w:t>i broj dodjeljuje Porezna uprava,</w:t>
      </w:r>
      <w:r w:rsidRPr="0020253E">
        <w:rPr>
          <w:rFonts w:cstheme="minorHAnsi"/>
          <w:lang w:val="hr-HR"/>
        </w:rPr>
        <w:t xml:space="preserve"> te ga razmjenjuje s drugim državama članicama putem sustava VIES-a. Posjedovanje valjanog PDV identifikacijskog broja preduvjet je poslovanja na zajedničkom tržištu.</w:t>
      </w:r>
    </w:p>
    <w:p w:rsidR="00580BB6" w:rsidRDefault="00D93C1C" w:rsidP="00D93C1C">
      <w:pPr>
        <w:jc w:val="both"/>
        <w:rPr>
          <w:rFonts w:cstheme="minorHAnsi"/>
          <w:lang w:val="hr-HR"/>
        </w:rPr>
      </w:pPr>
      <w:r w:rsidRPr="00D93C1C">
        <w:rPr>
          <w:rFonts w:cstheme="minorHAnsi"/>
          <w:lang w:val="hr-HR"/>
        </w:rPr>
        <w:t>VIES je informatički sustav zemalja članica EU koji omogućava prijenos i razmjenu podataka o valjanosti PDV identifikacijskih brojeva poduzetnika, razmje</w:t>
      </w:r>
      <w:r w:rsidR="00580BB6">
        <w:rPr>
          <w:rFonts w:cstheme="minorHAnsi"/>
          <w:lang w:val="hr-HR"/>
        </w:rPr>
        <w:t>nu podataka o isporukama dobara i</w:t>
      </w:r>
      <w:r w:rsidRPr="00D93C1C">
        <w:rPr>
          <w:rFonts w:cstheme="minorHAnsi"/>
          <w:lang w:val="hr-HR"/>
        </w:rPr>
        <w:t xml:space="preserve"> isporukama dobara iz jedne države članice u drugu državu članicu</w:t>
      </w:r>
      <w:r w:rsidR="00580BB6">
        <w:rPr>
          <w:rFonts w:cstheme="minorHAnsi"/>
          <w:lang w:val="hr-HR"/>
        </w:rPr>
        <w:t>.</w:t>
      </w:r>
    </w:p>
    <w:p w:rsidR="00D93C1C" w:rsidRPr="00D93C1C" w:rsidRDefault="00D93C1C" w:rsidP="00D93C1C">
      <w:pPr>
        <w:jc w:val="both"/>
        <w:rPr>
          <w:rFonts w:cstheme="minorHAnsi"/>
          <w:lang w:val="hr-HR"/>
        </w:rPr>
      </w:pPr>
      <w:r w:rsidRPr="00D93C1C">
        <w:rPr>
          <w:rFonts w:cstheme="minorHAnsi"/>
          <w:lang w:val="hr-HR"/>
        </w:rPr>
        <w:t>VIES poduzetnicima omogućava provjeru poreznih brojeva partnera iz EU, a Poreznoj upravi omogućava i olakšava  nadzor.</w:t>
      </w:r>
    </w:p>
    <w:p w:rsidR="00D93C1C" w:rsidRDefault="00D93C1C" w:rsidP="00D93C1C">
      <w:pPr>
        <w:jc w:val="both"/>
        <w:rPr>
          <w:rFonts w:cstheme="minorHAnsi"/>
          <w:lang w:val="hr-HR"/>
        </w:rPr>
      </w:pPr>
      <w:r w:rsidRPr="00D93C1C">
        <w:rPr>
          <w:rFonts w:cstheme="minorHAnsi"/>
          <w:lang w:val="hr-HR"/>
        </w:rPr>
        <w:t>VIES-ova dodatna vjerodostojnost je u tome št</w:t>
      </w:r>
      <w:r>
        <w:rPr>
          <w:rFonts w:cstheme="minorHAnsi"/>
          <w:lang w:val="hr-HR"/>
        </w:rPr>
        <w:t xml:space="preserve">o se ažurira </w:t>
      </w:r>
      <w:r w:rsidRPr="00D93C1C">
        <w:rPr>
          <w:rFonts w:cstheme="minorHAnsi"/>
          <w:lang w:val="hr-HR"/>
        </w:rPr>
        <w:t>na dnevnoj bazi.</w:t>
      </w:r>
      <w:r>
        <w:rPr>
          <w:rFonts w:cstheme="minorHAnsi"/>
          <w:lang w:val="hr-HR"/>
        </w:rPr>
        <w:t xml:space="preserve"> </w:t>
      </w:r>
      <w:r w:rsidRPr="00D93C1C">
        <w:rPr>
          <w:rFonts w:cstheme="minorHAnsi"/>
          <w:lang w:val="hr-HR"/>
        </w:rPr>
        <w:t>Podaci o PDV broju se mogu provjeriti na ovom linku Europske komisije</w:t>
      </w:r>
      <w:r>
        <w:rPr>
          <w:rFonts w:cstheme="minorHAnsi"/>
          <w:lang w:val="hr-HR"/>
        </w:rPr>
        <w:t xml:space="preserve"> </w:t>
      </w:r>
      <w:hyperlink r:id="rId8" w:history="1">
        <w:r w:rsidRPr="00DE4F2C">
          <w:rPr>
            <w:rStyle w:val="Hyperlink"/>
            <w:rFonts w:cstheme="minorHAnsi"/>
            <w:lang w:val="hr-HR"/>
          </w:rPr>
          <w:t>http://ec.europa.eu/taxation_customs/vies</w:t>
        </w:r>
      </w:hyperlink>
    </w:p>
    <w:p w:rsidR="00D93C1C" w:rsidRDefault="00D93C1C" w:rsidP="00D93C1C">
      <w:pPr>
        <w:jc w:val="both"/>
        <w:rPr>
          <w:rFonts w:cstheme="minorHAnsi"/>
          <w:lang w:val="hr-HR"/>
        </w:rPr>
      </w:pPr>
      <w:r w:rsidRPr="00D93C1C">
        <w:rPr>
          <w:rFonts w:cstheme="minorHAnsi"/>
          <w:lang w:val="hr-HR"/>
        </w:rPr>
        <w:t xml:space="preserve">Osim provjere samog PDV identifikacijskog broja može se provjeriti naziv i sjedište gospodarskog subjekta. </w:t>
      </w:r>
    </w:p>
    <w:p w:rsidR="00D93C1C" w:rsidRDefault="00D93C1C" w:rsidP="00D93C1C">
      <w:pPr>
        <w:jc w:val="both"/>
        <w:rPr>
          <w:rFonts w:cstheme="minorHAnsi"/>
          <w:lang w:val="hr-HR"/>
        </w:rPr>
      </w:pPr>
    </w:p>
    <w:p w:rsidR="00D93C1C" w:rsidRPr="00D93C1C" w:rsidRDefault="00580BB6" w:rsidP="00D93C1C">
      <w:pPr>
        <w:pStyle w:val="ListParagraph"/>
        <w:numPr>
          <w:ilvl w:val="0"/>
          <w:numId w:val="9"/>
        </w:numPr>
        <w:jc w:val="both"/>
        <w:rPr>
          <w:rFonts w:cstheme="minorHAnsi"/>
          <w:b/>
          <w:lang w:val="hr-HR"/>
        </w:rPr>
      </w:pPr>
      <w:r>
        <w:rPr>
          <w:rFonts w:cstheme="minorHAnsi"/>
          <w:b/>
          <w:lang w:val="hr-HR"/>
        </w:rPr>
        <w:t>Poslovni proces ažuriranja</w:t>
      </w:r>
      <w:r w:rsidR="00D93C1C" w:rsidRPr="00D93C1C">
        <w:rPr>
          <w:rFonts w:cstheme="minorHAnsi"/>
          <w:b/>
          <w:lang w:val="hr-HR"/>
        </w:rPr>
        <w:t xml:space="preserve"> VIES registra</w:t>
      </w:r>
    </w:p>
    <w:p w:rsidR="006E6B14" w:rsidRDefault="00D93C1C" w:rsidP="0020253E">
      <w:pPr>
        <w:jc w:val="both"/>
        <w:rPr>
          <w:rFonts w:cstheme="minorHAnsi"/>
          <w:lang w:val="hr-HR"/>
        </w:rPr>
      </w:pPr>
      <w:r w:rsidRPr="0020253E">
        <w:rPr>
          <w:rFonts w:cstheme="minorHAnsi"/>
          <w:lang w:val="hr-HR"/>
        </w:rPr>
        <w:t xml:space="preserve">Porezni obveznici koji posluju na zajedničkom tržištu Europske unije radi dodjele PDV identifikacijskog broja podnose zahtjev </w:t>
      </w:r>
      <w:r w:rsidR="00580BB6">
        <w:rPr>
          <w:rFonts w:cstheme="minorHAnsi"/>
          <w:lang w:val="hr-HR"/>
        </w:rPr>
        <w:t xml:space="preserve">(Obrazac P-PDV) </w:t>
      </w:r>
      <w:r w:rsidRPr="0020253E">
        <w:rPr>
          <w:rFonts w:cstheme="minorHAnsi"/>
          <w:lang w:val="hr-HR"/>
        </w:rPr>
        <w:t>za dodjelom PDV identifikacijskog broja</w:t>
      </w:r>
      <w:r w:rsidR="00580BB6">
        <w:rPr>
          <w:rFonts w:cstheme="minorHAnsi"/>
          <w:lang w:val="hr-HR"/>
        </w:rPr>
        <w:t xml:space="preserve"> nadležnoj ispostavi Porezne uprave.</w:t>
      </w:r>
      <w:r w:rsidR="006E6B14">
        <w:rPr>
          <w:rFonts w:cstheme="minorHAnsi"/>
          <w:lang w:val="hr-HR"/>
        </w:rPr>
        <w:t xml:space="preserve"> </w:t>
      </w:r>
    </w:p>
    <w:p w:rsidR="00A42538" w:rsidRPr="00A42538" w:rsidRDefault="00A42538" w:rsidP="0020253E">
      <w:pPr>
        <w:jc w:val="both"/>
        <w:rPr>
          <w:rFonts w:cstheme="minorHAnsi"/>
          <w:b/>
          <w:lang w:val="hr-HR"/>
        </w:rPr>
      </w:pPr>
      <w:r w:rsidRPr="00A42538">
        <w:rPr>
          <w:rFonts w:cstheme="minorHAnsi"/>
          <w:b/>
          <w:lang w:val="hr-HR"/>
        </w:rPr>
        <w:t>PDV identifikacijski broj</w:t>
      </w:r>
    </w:p>
    <w:p w:rsidR="00D93C1C" w:rsidRDefault="006E6B14" w:rsidP="0020253E">
      <w:pPr>
        <w:jc w:val="both"/>
        <w:rPr>
          <w:rFonts w:cstheme="minorHAnsi"/>
          <w:lang w:val="hr-HR"/>
        </w:rPr>
      </w:pPr>
      <w:r>
        <w:rPr>
          <w:rFonts w:cstheme="minorHAnsi"/>
          <w:lang w:val="hr-HR"/>
        </w:rPr>
        <w:t>PDV identifikacijski broj se temeljem Zakona o porezu na dodanu vrijednost dodjeljuje tuzemnim i stranim poreznim obveznicima: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upisanom u registar obveznika PDV-a koji obavlja transakcije unutar Europske unije,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isporučuje dobra ili obavlja usluge bez prava na odbitak pretporeza i pravnoj osobi koja nije porezni obveznik, a obvezni su plaćati PDV na stjecanje dobara unutar Europske unije ili su se opredijelili za mogućnost da plaćaju PDV na stjecanje neovisno o tome što nisu prešli prag stjecanja u iznosu od 77.000,00 kuna,</w:t>
      </w:r>
    </w:p>
    <w:p w:rsidR="006E6B14" w:rsidRDefault="006E6B14" w:rsidP="006E6B14">
      <w:pPr>
        <w:pStyle w:val="ListParagraph"/>
        <w:numPr>
          <w:ilvl w:val="0"/>
          <w:numId w:val="11"/>
        </w:numPr>
        <w:jc w:val="both"/>
        <w:rPr>
          <w:rFonts w:cstheme="minorHAnsi"/>
          <w:lang w:val="hr-HR"/>
        </w:rPr>
      </w:pPr>
      <w:r w:rsidRPr="006E6B14">
        <w:rPr>
          <w:rFonts w:cstheme="minorHAnsi"/>
          <w:lang w:val="hr-HR"/>
        </w:rPr>
        <w:lastRenderedPageBreak/>
        <w:t>svakom poreznom obvezniku koji stječe dobra unutar Europske unije u tuzemstvu za obavljanje gospodarske djelatnosti na području koje nije tuzemstvo,</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kojem su usluge obavljene i koji je obvezan platiti PDV na primljenu uslugu,</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obavlja usluge na području druge države članice za koje je primatelj usluge u drugoj državi članici obvezan platiti PDV,</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u tuzemstvu obavlja isporuke dobara i usluga s pravom na odbitak pretporeza,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isporučuje dobra osobama koje nisu obveznici plaćanja PDV-a na stjecanje i prešao je prag isporuke u iznosu od 270.000,00 kuna ili je odustao od navedenog praga isporuke,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isporučuju dobra koja podliježu trošarinama, osobama koje nisu porezni obveznici niti plaćaju PDV na stjecanje.</w:t>
      </w:r>
    </w:p>
    <w:p w:rsidR="00A42538" w:rsidRDefault="00A42538" w:rsidP="00A42538">
      <w:pPr>
        <w:jc w:val="both"/>
        <w:rPr>
          <w:rFonts w:cstheme="minorHAnsi"/>
          <w:lang w:val="hr-HR"/>
        </w:rPr>
      </w:pPr>
      <w:r w:rsidRPr="00A42538">
        <w:rPr>
          <w:rFonts w:cstheme="minorHAnsi"/>
          <w:lang w:val="hr-HR"/>
        </w:rPr>
        <w:t>Prema Zakonu o porezu na dodanu vrijednost PDV identifikacijski broj je osobni identifikacijski broj (OIB) kojemu se dodaje predznak "HR"</w:t>
      </w:r>
      <w:r>
        <w:rPr>
          <w:rFonts w:cstheme="minorHAnsi"/>
          <w:lang w:val="hr-HR"/>
        </w:rPr>
        <w:t xml:space="preserve"> (HR+OIB)</w:t>
      </w:r>
      <w:r w:rsidRPr="00A42538">
        <w:rPr>
          <w:rFonts w:cstheme="minorHAnsi"/>
          <w:lang w:val="hr-HR"/>
        </w:rPr>
        <w:t>.</w:t>
      </w:r>
    </w:p>
    <w:p w:rsidR="00580BB6" w:rsidRPr="006E6B14" w:rsidRDefault="00580BB6" w:rsidP="0020253E">
      <w:pPr>
        <w:jc w:val="both"/>
        <w:rPr>
          <w:rFonts w:cstheme="minorHAnsi"/>
          <w:b/>
          <w:lang w:val="hr-HR"/>
        </w:rPr>
      </w:pPr>
      <w:r w:rsidRPr="006E6B14">
        <w:rPr>
          <w:rFonts w:cstheme="minorHAnsi"/>
          <w:b/>
          <w:lang w:val="hr-HR"/>
        </w:rPr>
        <w:t>Obrazac P-PDV obuhvaća slijedeće podatke:</w:t>
      </w:r>
    </w:p>
    <w:p w:rsidR="00116910" w:rsidRDefault="00116910" w:rsidP="00116910">
      <w:pPr>
        <w:ind w:firstLine="360"/>
        <w:jc w:val="both"/>
        <w:rPr>
          <w:rFonts w:cstheme="minorHAnsi"/>
          <w:lang w:val="hr-HR"/>
        </w:rPr>
      </w:pPr>
      <w:r>
        <w:rPr>
          <w:rFonts w:cstheme="minorHAnsi"/>
          <w:lang w:val="hr-HR"/>
        </w:rPr>
        <w:t>Podaci o poreznom obvezniku</w:t>
      </w:r>
    </w:p>
    <w:p w:rsidR="00580BB6" w:rsidRPr="002C4197" w:rsidRDefault="00185B94" w:rsidP="00185B94">
      <w:pPr>
        <w:pStyle w:val="ListParagraph"/>
        <w:numPr>
          <w:ilvl w:val="0"/>
          <w:numId w:val="10"/>
        </w:numPr>
        <w:jc w:val="both"/>
        <w:rPr>
          <w:rFonts w:cstheme="minorHAnsi"/>
          <w:lang w:val="hr-HR"/>
        </w:rPr>
      </w:pPr>
      <w:r w:rsidRPr="002C4197">
        <w:rPr>
          <w:rFonts w:cstheme="minorHAnsi"/>
          <w:lang w:val="hr-HR"/>
        </w:rPr>
        <w:t xml:space="preserve">Područni ured Porezne uprave, </w:t>
      </w:r>
      <w:r w:rsidRPr="002C4197">
        <w:rPr>
          <w:rFonts w:cstheme="minorHAnsi"/>
          <w:i/>
          <w:lang w:val="hr-HR"/>
        </w:rPr>
        <w:t>šifarnik područnig ureda PU</w:t>
      </w:r>
      <w:r w:rsidRPr="002C4197">
        <w:rPr>
          <w:rFonts w:cstheme="minorHAnsi"/>
          <w:lang w:val="hr-HR"/>
        </w:rPr>
        <w:t xml:space="preserve"> </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 xml:space="preserve">Ispostava Porezne uprave, </w:t>
      </w:r>
      <w:r w:rsidRPr="002C4197">
        <w:rPr>
          <w:rFonts w:cstheme="minorHAnsi"/>
          <w:i/>
          <w:lang w:val="hr-HR"/>
        </w:rPr>
        <w:t>šifarnik Ispostava PU</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Naziv tvrtke/ Ime i prezime</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OIB</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Adresa</w:t>
      </w:r>
    </w:p>
    <w:p w:rsidR="00185B94" w:rsidRPr="002C4197" w:rsidRDefault="00185B94" w:rsidP="00185B94">
      <w:pPr>
        <w:pStyle w:val="ListParagraph"/>
        <w:numPr>
          <w:ilvl w:val="0"/>
          <w:numId w:val="10"/>
        </w:numPr>
        <w:jc w:val="both"/>
        <w:rPr>
          <w:rFonts w:cstheme="minorHAnsi"/>
          <w:i/>
          <w:lang w:val="hr-HR"/>
        </w:rPr>
      </w:pPr>
      <w:r w:rsidRPr="002C4197">
        <w:rPr>
          <w:rFonts w:cstheme="minorHAnsi"/>
          <w:lang w:val="hr-HR"/>
        </w:rPr>
        <w:t xml:space="preserve">Država, </w:t>
      </w:r>
      <w:r w:rsidRPr="002C4197">
        <w:rPr>
          <w:rFonts w:cstheme="minorHAnsi"/>
          <w:i/>
          <w:lang w:val="hr-HR"/>
        </w:rPr>
        <w:t>šifarnik Geonomenklatura EU</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Datum početka obavljanja djelatnosti u RH</w:t>
      </w:r>
    </w:p>
    <w:p w:rsidR="00E713D5" w:rsidRPr="002C4197" w:rsidRDefault="00E713D5" w:rsidP="00185B94">
      <w:pPr>
        <w:pStyle w:val="ListParagraph"/>
        <w:numPr>
          <w:ilvl w:val="0"/>
          <w:numId w:val="10"/>
        </w:numPr>
        <w:jc w:val="both"/>
        <w:rPr>
          <w:rFonts w:cstheme="minorHAnsi"/>
          <w:lang w:val="hr-HR"/>
        </w:rPr>
      </w:pPr>
      <w:r w:rsidRPr="002C4197">
        <w:rPr>
          <w:rFonts w:cstheme="minorHAnsi"/>
          <w:lang w:val="hr-HR"/>
        </w:rPr>
        <w:t>Porezni broj u državi sjedišta (samo za strane porezne obveznike)</w:t>
      </w:r>
    </w:p>
    <w:p w:rsidR="00E604CE" w:rsidRPr="002C4197" w:rsidRDefault="00E604CE" w:rsidP="00185B94">
      <w:pPr>
        <w:pStyle w:val="ListParagraph"/>
        <w:numPr>
          <w:ilvl w:val="0"/>
          <w:numId w:val="10"/>
        </w:numPr>
        <w:jc w:val="both"/>
        <w:rPr>
          <w:rFonts w:cstheme="minorHAnsi"/>
          <w:lang w:val="hr-HR"/>
        </w:rPr>
      </w:pPr>
      <w:r w:rsidRPr="002C4197">
        <w:rPr>
          <w:rFonts w:cstheme="minorHAnsi"/>
          <w:lang w:val="hr-HR"/>
        </w:rPr>
        <w:t xml:space="preserve">Djelatnost, </w:t>
      </w:r>
      <w:r w:rsidRPr="002C4197">
        <w:rPr>
          <w:rFonts w:cstheme="minorHAnsi"/>
          <w:i/>
          <w:lang w:val="hr-HR"/>
        </w:rPr>
        <w:t>NACE šifarnik djelatnosti EU</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Telefax/Telefon</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e-mail</w:t>
      </w:r>
    </w:p>
    <w:p w:rsidR="00E604CE" w:rsidRDefault="00E604CE" w:rsidP="00185B94">
      <w:pPr>
        <w:pStyle w:val="ListParagraph"/>
        <w:numPr>
          <w:ilvl w:val="0"/>
          <w:numId w:val="10"/>
        </w:numPr>
        <w:jc w:val="both"/>
        <w:rPr>
          <w:rFonts w:cstheme="minorHAnsi"/>
          <w:lang w:val="hr-HR"/>
        </w:rPr>
      </w:pPr>
      <w:r>
        <w:rPr>
          <w:rFonts w:cstheme="minorHAnsi"/>
          <w:lang w:val="hr-HR"/>
        </w:rPr>
        <w:t>oblik vlasništva:</w:t>
      </w:r>
    </w:p>
    <w:p w:rsidR="00E604CE" w:rsidRPr="00E604CE" w:rsidRDefault="00E604CE" w:rsidP="00E604CE">
      <w:pPr>
        <w:pStyle w:val="ListParagraph"/>
        <w:numPr>
          <w:ilvl w:val="1"/>
          <w:numId w:val="10"/>
        </w:numPr>
        <w:jc w:val="both"/>
        <w:rPr>
          <w:rFonts w:cstheme="minorHAnsi"/>
          <w:i/>
          <w:lang w:val="hr-HR"/>
        </w:rPr>
      </w:pPr>
      <w:r>
        <w:rPr>
          <w:rFonts w:cstheme="minorHAnsi"/>
          <w:lang w:val="hr-HR"/>
        </w:rPr>
        <w:t>trgovac pojedinac</w:t>
      </w:r>
      <w:r w:rsidRPr="00E604CE">
        <w:rPr>
          <w:rFonts w:cstheme="minorHAnsi"/>
          <w:lang w:val="hr-HR"/>
        </w:rPr>
        <w:t xml:space="preserve">, </w:t>
      </w:r>
      <w:r w:rsidRPr="00E604CE">
        <w:rPr>
          <w:rFonts w:cstheme="minorHAnsi"/>
          <w:i/>
          <w:lang w:val="hr-HR"/>
        </w:rPr>
        <w:t>check box</w:t>
      </w:r>
    </w:p>
    <w:p w:rsidR="00807D15" w:rsidRPr="002C4197" w:rsidRDefault="00E604CE" w:rsidP="002C4197">
      <w:pPr>
        <w:pStyle w:val="ListParagraph"/>
        <w:numPr>
          <w:ilvl w:val="1"/>
          <w:numId w:val="10"/>
        </w:numPr>
        <w:jc w:val="both"/>
        <w:rPr>
          <w:rFonts w:cstheme="minorHAnsi"/>
          <w:i/>
          <w:lang w:val="hr-HR"/>
        </w:rPr>
      </w:pPr>
      <w:r>
        <w:rPr>
          <w:rFonts w:cstheme="minorHAnsi"/>
          <w:lang w:val="hr-HR"/>
        </w:rPr>
        <w:t>trgovačko društvo</w:t>
      </w:r>
      <w:r w:rsidRPr="00E604CE">
        <w:rPr>
          <w:rFonts w:cstheme="minorHAnsi"/>
          <w:lang w:val="hr-HR"/>
        </w:rPr>
        <w:t xml:space="preserve">, </w:t>
      </w:r>
      <w:r w:rsidRPr="00E604CE">
        <w:rPr>
          <w:rFonts w:cstheme="minorHAnsi"/>
          <w:i/>
          <w:lang w:val="hr-HR"/>
        </w:rPr>
        <w:t>check box</w:t>
      </w:r>
    </w:p>
    <w:p w:rsidR="00116910" w:rsidRDefault="00116910" w:rsidP="00116910">
      <w:pPr>
        <w:ind w:left="360"/>
        <w:jc w:val="both"/>
        <w:rPr>
          <w:rFonts w:cstheme="minorHAnsi"/>
          <w:lang w:val="hr-HR"/>
        </w:rPr>
      </w:pPr>
      <w:r>
        <w:rPr>
          <w:rFonts w:cstheme="minorHAnsi"/>
          <w:lang w:val="hr-HR"/>
        </w:rPr>
        <w:t>Razlog dodjeljivanja PDV identifikacijskog broja tuzemnom poreznom obvezniku</w:t>
      </w:r>
    </w:p>
    <w:p w:rsidR="00E604CE" w:rsidRDefault="00580BB6" w:rsidP="00E604CE">
      <w:pPr>
        <w:pStyle w:val="ListParagraph"/>
        <w:numPr>
          <w:ilvl w:val="0"/>
          <w:numId w:val="10"/>
        </w:numPr>
        <w:jc w:val="both"/>
        <w:rPr>
          <w:rFonts w:cstheme="minorHAnsi"/>
          <w:lang w:val="hr-HR"/>
        </w:rPr>
      </w:pPr>
      <w:r w:rsidRPr="00E604CE">
        <w:rPr>
          <w:rFonts w:cstheme="minorHAnsi"/>
          <w:lang w:val="hr-HR"/>
        </w:rPr>
        <w:t>ob</w:t>
      </w:r>
      <w:r w:rsidR="00116910" w:rsidRPr="00E604CE">
        <w:rPr>
          <w:rFonts w:cstheme="minorHAnsi"/>
          <w:lang w:val="hr-HR"/>
        </w:rPr>
        <w:t>avlja transakcije unutar EU</w:t>
      </w:r>
      <w:r w:rsidR="00E604CE" w:rsidRPr="00E604CE">
        <w:rPr>
          <w:rFonts w:cstheme="minorHAnsi"/>
          <w:lang w:val="hr-HR"/>
        </w:rPr>
        <w:t>,</w:t>
      </w:r>
      <w:r w:rsidR="00116910" w:rsidRPr="00E604CE">
        <w:rPr>
          <w:rFonts w:cstheme="minorHAnsi"/>
          <w:lang w:val="hr-HR"/>
        </w:rPr>
        <w:t xml:space="preserve"> che</w:t>
      </w:r>
      <w:r w:rsidR="00E604CE" w:rsidRPr="00E604CE">
        <w:rPr>
          <w:rFonts w:cstheme="minorHAnsi"/>
          <w:lang w:val="hr-HR"/>
        </w:rPr>
        <w:t>ck box</w:t>
      </w:r>
    </w:p>
    <w:p w:rsidR="00E604CE" w:rsidRDefault="00580BB6" w:rsidP="00E604CE">
      <w:pPr>
        <w:pStyle w:val="ListParagraph"/>
        <w:numPr>
          <w:ilvl w:val="0"/>
          <w:numId w:val="10"/>
        </w:numPr>
        <w:jc w:val="both"/>
        <w:rPr>
          <w:rFonts w:cstheme="minorHAnsi"/>
          <w:lang w:val="hr-HR"/>
        </w:rPr>
      </w:pPr>
      <w:r w:rsidRPr="00E604CE">
        <w:rPr>
          <w:rFonts w:cstheme="minorHAnsi"/>
          <w:lang w:val="hr-HR"/>
        </w:rPr>
        <w:t>prije</w:t>
      </w:r>
      <w:r w:rsidR="00116910" w:rsidRPr="00E604CE">
        <w:rPr>
          <w:rFonts w:cstheme="minorHAnsi"/>
          <w:lang w:val="hr-HR"/>
        </w:rPr>
        <w:t>đ</w:t>
      </w:r>
      <w:r w:rsidRPr="00E604CE">
        <w:rPr>
          <w:rFonts w:cstheme="minorHAnsi"/>
          <w:lang w:val="hr-HR"/>
        </w:rPr>
        <w:t xml:space="preserve">en </w:t>
      </w:r>
      <w:r w:rsidR="00116910" w:rsidRPr="00E604CE">
        <w:rPr>
          <w:rFonts w:cstheme="minorHAnsi"/>
          <w:lang w:val="hr-HR"/>
        </w:rPr>
        <w:t xml:space="preserve">prag stjecanja </w:t>
      </w:r>
      <w:r w:rsidR="00E604CE" w:rsidRPr="00E604CE">
        <w:rPr>
          <w:rFonts w:cstheme="minorHAnsi"/>
          <w:lang w:val="hr-HR"/>
        </w:rPr>
        <w:t>, check box</w:t>
      </w:r>
    </w:p>
    <w:p w:rsidR="00E604CE" w:rsidRDefault="00E604CE" w:rsidP="00E604CE">
      <w:pPr>
        <w:pStyle w:val="ListParagraph"/>
        <w:numPr>
          <w:ilvl w:val="0"/>
          <w:numId w:val="10"/>
        </w:numPr>
        <w:jc w:val="both"/>
        <w:rPr>
          <w:rFonts w:cstheme="minorHAnsi"/>
          <w:lang w:val="hr-HR"/>
        </w:rPr>
      </w:pPr>
      <w:r w:rsidRPr="00E604CE">
        <w:rPr>
          <w:rFonts w:cstheme="minorHAnsi"/>
          <w:lang w:val="hr-HR"/>
        </w:rPr>
        <w:t>odustao od praga stjecanja, check box</w:t>
      </w:r>
    </w:p>
    <w:p w:rsidR="002C4197" w:rsidRDefault="002C4197" w:rsidP="002C4197">
      <w:pPr>
        <w:pStyle w:val="ListParagraph"/>
        <w:jc w:val="both"/>
        <w:rPr>
          <w:rFonts w:cstheme="minorHAnsi"/>
          <w:lang w:val="hr-HR"/>
        </w:rPr>
      </w:pPr>
      <w:bookmarkStart w:id="0" w:name="_GoBack"/>
      <w:bookmarkEnd w:id="0"/>
    </w:p>
    <w:p w:rsidR="00580BB6" w:rsidRPr="00E604CE" w:rsidRDefault="00E604CE" w:rsidP="00E604CE">
      <w:pPr>
        <w:ind w:firstLine="360"/>
        <w:jc w:val="both"/>
        <w:rPr>
          <w:rFonts w:cstheme="minorHAnsi"/>
          <w:lang w:val="hr-HR"/>
        </w:rPr>
      </w:pPr>
      <w:r w:rsidRPr="00E604CE">
        <w:rPr>
          <w:rFonts w:cstheme="minorHAnsi"/>
          <w:lang w:val="hr-HR"/>
        </w:rPr>
        <w:lastRenderedPageBreak/>
        <w:t xml:space="preserve">Razlog dodjeljivanja PDV identifikacijskog broja </w:t>
      </w:r>
      <w:r w:rsidR="00172284">
        <w:rPr>
          <w:rFonts w:cstheme="minorHAnsi"/>
          <w:lang w:val="hr-HR"/>
        </w:rPr>
        <w:t>stranom</w:t>
      </w:r>
      <w:r w:rsidRPr="00E604CE">
        <w:rPr>
          <w:rFonts w:cstheme="minorHAnsi"/>
          <w:lang w:val="hr-HR"/>
        </w:rPr>
        <w:t xml:space="preserve"> poreznom obvezniku</w:t>
      </w:r>
    </w:p>
    <w:p w:rsidR="00E604CE" w:rsidRDefault="00580BB6" w:rsidP="00580BB6">
      <w:pPr>
        <w:pStyle w:val="ListParagraph"/>
        <w:numPr>
          <w:ilvl w:val="0"/>
          <w:numId w:val="10"/>
        </w:numPr>
        <w:jc w:val="both"/>
        <w:rPr>
          <w:rFonts w:cstheme="minorHAnsi"/>
          <w:lang w:val="hr-HR"/>
        </w:rPr>
      </w:pPr>
      <w:r w:rsidRPr="00E604CE">
        <w:rPr>
          <w:rFonts w:cstheme="minorHAnsi"/>
          <w:lang w:val="hr-HR"/>
        </w:rPr>
        <w:t>prije</w:t>
      </w:r>
      <w:r w:rsidR="00E604CE" w:rsidRPr="00E604CE">
        <w:rPr>
          <w:rFonts w:cstheme="minorHAnsi"/>
          <w:lang w:val="hr-HR"/>
        </w:rPr>
        <w:t>đ</w:t>
      </w:r>
      <w:r w:rsidRPr="00E604CE">
        <w:rPr>
          <w:rFonts w:cstheme="minorHAnsi"/>
          <w:lang w:val="hr-HR"/>
        </w:rPr>
        <w:t>en prag isporuke</w:t>
      </w:r>
      <w:r w:rsidR="00E604CE" w:rsidRPr="00E604CE">
        <w:rPr>
          <w:rFonts w:cstheme="minorHAnsi"/>
          <w:lang w:val="hr-HR"/>
        </w:rPr>
        <w:t>, check box</w:t>
      </w:r>
    </w:p>
    <w:p w:rsid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odustao od praga isporuke, check box </w:t>
      </w:r>
    </w:p>
    <w:p w:rsidR="00E604CE" w:rsidRP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obavlja isporuke u RH, check box </w:t>
      </w:r>
    </w:p>
    <w:p w:rsidR="00580BB6" w:rsidRDefault="00580BB6" w:rsidP="0020253E">
      <w:pPr>
        <w:jc w:val="both"/>
        <w:rPr>
          <w:rFonts w:cstheme="minorHAnsi"/>
          <w:lang w:val="hr-HR"/>
        </w:rPr>
      </w:pPr>
      <w:r>
        <w:rPr>
          <w:rFonts w:cstheme="minorHAnsi"/>
          <w:lang w:val="hr-HR"/>
        </w:rPr>
        <w:t xml:space="preserve">Podaci sa zahtjeva </w:t>
      </w:r>
      <w:r w:rsidR="006E6B14">
        <w:rPr>
          <w:rFonts w:cstheme="minorHAnsi"/>
          <w:lang w:val="hr-HR"/>
        </w:rPr>
        <w:t xml:space="preserve">P-PDV </w:t>
      </w:r>
      <w:r>
        <w:rPr>
          <w:rFonts w:cstheme="minorHAnsi"/>
          <w:lang w:val="hr-HR"/>
        </w:rPr>
        <w:t>unose se u</w:t>
      </w:r>
      <w:r w:rsidR="006E6B14">
        <w:rPr>
          <w:rFonts w:cstheme="minorHAnsi"/>
          <w:lang w:val="hr-HR"/>
        </w:rPr>
        <w:t xml:space="preserve"> </w:t>
      </w:r>
      <w:r w:rsidR="00A42538">
        <w:rPr>
          <w:rFonts w:cstheme="minorHAnsi"/>
          <w:lang w:val="hr-HR"/>
        </w:rPr>
        <w:t xml:space="preserve">RH </w:t>
      </w:r>
      <w:r w:rsidR="006E6B14">
        <w:rPr>
          <w:rFonts w:cstheme="minorHAnsi"/>
          <w:lang w:val="hr-HR"/>
        </w:rPr>
        <w:t>VIES registar</w:t>
      </w:r>
      <w:r w:rsidR="00A42538">
        <w:rPr>
          <w:rFonts w:cstheme="minorHAnsi"/>
          <w:lang w:val="hr-HR"/>
        </w:rPr>
        <w:t xml:space="preserve"> poreznih obveznika.</w:t>
      </w:r>
    </w:p>
    <w:p w:rsidR="00A42538" w:rsidRDefault="00A42538" w:rsidP="0020253E">
      <w:pPr>
        <w:jc w:val="both"/>
        <w:rPr>
          <w:rFonts w:cstheme="minorHAnsi"/>
          <w:lang w:val="hr-HR"/>
        </w:rPr>
      </w:pPr>
      <w:r>
        <w:rPr>
          <w:rFonts w:cstheme="minorHAnsi"/>
          <w:lang w:val="hr-HR"/>
        </w:rPr>
        <w:t>PDV identifikacijski broj postaje valjan tek nakon sinhronizacije RH VIES registra poreznih obveznika sa EU VIES registrom poreznih obveznika (moćna sinhronizacija registara), te ga tek nakon toga porezni obveznik može koristi.</w:t>
      </w:r>
      <w:r w:rsidR="00056BB7">
        <w:rPr>
          <w:rFonts w:cstheme="minorHAnsi"/>
          <w:lang w:val="hr-HR"/>
        </w:rPr>
        <w:t>***</w:t>
      </w:r>
    </w:p>
    <w:p w:rsidR="00A42538" w:rsidRDefault="00A42538" w:rsidP="0020253E">
      <w:pPr>
        <w:jc w:val="both"/>
        <w:rPr>
          <w:rFonts w:eastAsia="Times New Roman" w:cstheme="minorHAnsi"/>
          <w:bCs/>
          <w:bdr w:val="none" w:sz="0" w:space="0" w:color="auto" w:frame="1"/>
        </w:rPr>
      </w:pPr>
      <w:r>
        <w:rPr>
          <w:rFonts w:cstheme="minorHAnsi"/>
          <w:lang w:val="hr-HR"/>
        </w:rPr>
        <w:t xml:space="preserve">Provjera valjanosti PDV identifikacijskog broja može se izvršiti na </w:t>
      </w:r>
      <w:r w:rsidRPr="0020253E">
        <w:rPr>
          <w:rFonts w:eastAsia="Times New Roman" w:cstheme="minorHAnsi"/>
          <w:bCs/>
          <w:bdr w:val="none" w:sz="0" w:space="0" w:color="auto" w:frame="1"/>
        </w:rPr>
        <w:t xml:space="preserve">web </w:t>
      </w:r>
      <w:proofErr w:type="spellStart"/>
      <w:r w:rsidRPr="0020253E">
        <w:rPr>
          <w:rFonts w:eastAsia="Times New Roman" w:cstheme="minorHAnsi"/>
          <w:bCs/>
          <w:bdr w:val="none" w:sz="0" w:space="0" w:color="auto" w:frame="1"/>
        </w:rPr>
        <w:t>stranic</w:t>
      </w:r>
      <w:r>
        <w:rPr>
          <w:rFonts w:eastAsia="Times New Roman" w:cstheme="minorHAnsi"/>
          <w:bCs/>
          <w:bdr w:val="none" w:sz="0" w:space="0" w:color="auto" w:frame="1"/>
        </w:rPr>
        <w:t>i</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Europske</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komisije</w:t>
      </w:r>
      <w:proofErr w:type="spellEnd"/>
      <w:r w:rsidRPr="0020253E">
        <w:rPr>
          <w:rFonts w:eastAsia="Times New Roman" w:cstheme="minorHAnsi"/>
          <w:bCs/>
          <w:bdr w:val="none" w:sz="0" w:space="0" w:color="auto" w:frame="1"/>
        </w:rPr>
        <w:t xml:space="preserve"> </w:t>
      </w:r>
      <w:hyperlink r:id="rId9" w:history="1">
        <w:r w:rsidRPr="00DE4F2C">
          <w:rPr>
            <w:rStyle w:val="Hyperlink"/>
            <w:rFonts w:eastAsia="Times New Roman" w:cstheme="minorHAnsi"/>
            <w:bCs/>
            <w:bdr w:val="none" w:sz="0" w:space="0" w:color="auto" w:frame="1"/>
          </w:rPr>
          <w:t>http://ec.europa.eu/taxation_customs/vies</w:t>
        </w:r>
      </w:hyperlink>
    </w:p>
    <w:p w:rsidR="00A42538" w:rsidRDefault="00A42538" w:rsidP="0020253E">
      <w:pPr>
        <w:jc w:val="both"/>
        <w:rPr>
          <w:rFonts w:cstheme="minorHAnsi"/>
          <w:lang w:val="hr-HR"/>
        </w:rPr>
      </w:pPr>
    </w:p>
    <w:p w:rsidR="00C953DB" w:rsidRDefault="00C953DB" w:rsidP="0020253E">
      <w:pPr>
        <w:jc w:val="both"/>
        <w:rPr>
          <w:rFonts w:cstheme="minorHAnsi"/>
          <w:lang w:val="hr-HR"/>
        </w:rPr>
      </w:pPr>
    </w:p>
    <w:p w:rsidR="00A42538" w:rsidRDefault="00056BB7" w:rsidP="0020253E">
      <w:pPr>
        <w:jc w:val="both"/>
        <w:rPr>
          <w:rFonts w:cstheme="minorHAnsi"/>
          <w:i/>
          <w:sz w:val="20"/>
          <w:szCs w:val="20"/>
          <w:lang w:val="hr-HR"/>
        </w:rPr>
      </w:pPr>
      <w:r w:rsidRPr="00C953DB">
        <w:rPr>
          <w:rFonts w:cstheme="minorHAnsi"/>
          <w:i/>
          <w:sz w:val="20"/>
          <w:szCs w:val="20"/>
          <w:lang w:val="hr-HR"/>
        </w:rPr>
        <w:t>***</w:t>
      </w:r>
      <w:r w:rsidR="00A42538" w:rsidRPr="00C953DB">
        <w:rPr>
          <w:rFonts w:cstheme="minorHAnsi"/>
          <w:i/>
          <w:sz w:val="20"/>
          <w:szCs w:val="20"/>
          <w:lang w:val="hr-HR"/>
        </w:rPr>
        <w:t xml:space="preserve">Za potrebe projekta razvoja simulacije aplikacije </w:t>
      </w:r>
      <w:r w:rsidR="00C953DB">
        <w:rPr>
          <w:rFonts w:cstheme="minorHAnsi"/>
          <w:i/>
          <w:sz w:val="20"/>
          <w:szCs w:val="20"/>
          <w:lang w:val="hr-HR"/>
        </w:rPr>
        <w:t xml:space="preserve">RH </w:t>
      </w:r>
      <w:r w:rsidR="00A42538" w:rsidRPr="00C953DB">
        <w:rPr>
          <w:rFonts w:cstheme="minorHAnsi"/>
          <w:i/>
          <w:sz w:val="20"/>
          <w:szCs w:val="20"/>
          <w:lang w:val="hr-HR"/>
        </w:rPr>
        <w:t>VIES registar koristiti će se simulirani identifikacijski podaci, te će se funkcionalnost sinhronizacije samo simulirati.</w:t>
      </w:r>
    </w:p>
    <w:p w:rsidR="005F587B" w:rsidRDefault="005F587B" w:rsidP="0020253E">
      <w:pPr>
        <w:jc w:val="both"/>
        <w:rPr>
          <w:rFonts w:cstheme="minorHAnsi"/>
          <w:b/>
          <w:sz w:val="20"/>
          <w:szCs w:val="20"/>
          <w:lang w:val="hr-HR"/>
        </w:rPr>
      </w:pPr>
    </w:p>
    <w:p w:rsidR="005F587B" w:rsidRDefault="005F587B" w:rsidP="0020253E">
      <w:pPr>
        <w:jc w:val="both"/>
        <w:rPr>
          <w:rFonts w:cstheme="minorHAnsi"/>
          <w:b/>
          <w:sz w:val="20"/>
          <w:szCs w:val="20"/>
          <w:lang w:val="hr-HR"/>
        </w:rPr>
      </w:pPr>
    </w:p>
    <w:p w:rsidR="005F587B" w:rsidRPr="00F93C8C" w:rsidRDefault="005F587B" w:rsidP="0020253E">
      <w:pPr>
        <w:jc w:val="both"/>
        <w:rPr>
          <w:rFonts w:cstheme="minorHAnsi"/>
          <w:b/>
          <w:lang w:val="hr-HR"/>
        </w:rPr>
      </w:pPr>
      <w:r w:rsidRPr="00F93C8C">
        <w:rPr>
          <w:rFonts w:cstheme="minorHAnsi"/>
          <w:b/>
          <w:lang w:val="hr-HR"/>
        </w:rPr>
        <w:t>Opis poslovnog procesa</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Porezni obveznik u svojoj Ispostavi Porezne uprave predaje P-PDV obrazac sa svojim podacima</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Administrator PU unosi podatke sa P-PDV Obrasca u sustav</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U sustavu se poreznom obvezniku dodjeljuje ulazna zaporka za aplikaciju</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Administrator putem e-maila obavještava poreznog obveznika da je prijavljen u VIES registar i dostavlja mu ulaznu zaporku.</w:t>
      </w:r>
    </w:p>
    <w:p w:rsidR="009454D9" w:rsidRPr="005F587B" w:rsidRDefault="009454D9" w:rsidP="005F587B">
      <w:pPr>
        <w:pStyle w:val="ListParagraph"/>
        <w:numPr>
          <w:ilvl w:val="0"/>
          <w:numId w:val="15"/>
        </w:numPr>
        <w:jc w:val="both"/>
        <w:rPr>
          <w:rFonts w:cstheme="minorHAnsi"/>
          <w:sz w:val="20"/>
          <w:szCs w:val="20"/>
          <w:lang w:val="hr-HR"/>
        </w:rPr>
      </w:pPr>
      <w:r w:rsidRPr="00F93C8C">
        <w:rPr>
          <w:rFonts w:cstheme="minorHAnsi"/>
          <w:lang w:val="hr-HR"/>
        </w:rPr>
        <w:t>Nakon sinhronizacije porezni obveznik se može prijaviti u aplikaciju i spreman je za slanje svojih mjesečnih PDV izvješća</w:t>
      </w:r>
      <w:r>
        <w:rPr>
          <w:rFonts w:cstheme="minorHAnsi"/>
          <w:sz w:val="20"/>
          <w:szCs w:val="20"/>
          <w:lang w:val="hr-HR"/>
        </w:rPr>
        <w:t>.</w:t>
      </w:r>
    </w:p>
    <w:sectPr w:rsidR="009454D9" w:rsidRPr="005F587B">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40" w:rsidRDefault="00B70940" w:rsidP="00DD66E6">
      <w:pPr>
        <w:spacing w:after="0" w:line="240" w:lineRule="auto"/>
      </w:pPr>
      <w:r>
        <w:separator/>
      </w:r>
    </w:p>
  </w:endnote>
  <w:endnote w:type="continuationSeparator" w:id="0">
    <w:p w:rsidR="00B70940" w:rsidRDefault="00B70940" w:rsidP="00DD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Footer"/>
      <w:jc w:val="right"/>
    </w:pPr>
  </w:p>
  <w:tbl>
    <w:tblPr>
      <w:tblW w:w="9529" w:type="dxa"/>
      <w:tblInd w:w="93" w:type="dxa"/>
      <w:tblLook w:val="04A0" w:firstRow="1" w:lastRow="0" w:firstColumn="1" w:lastColumn="0" w:noHBand="0" w:noVBand="1"/>
    </w:tblPr>
    <w:tblGrid>
      <w:gridCol w:w="2009"/>
      <w:gridCol w:w="4179"/>
      <w:gridCol w:w="1658"/>
      <w:gridCol w:w="1683"/>
    </w:tblGrid>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jc w:val="center"/>
            <w:rPr>
              <w:rFonts w:ascii="Calibri" w:eastAsia="Times New Roman" w:hAnsi="Calibri" w:cs="Calibri"/>
              <w:color w:val="000000"/>
            </w:rPr>
          </w:pPr>
          <w:proofErr w:type="spellStart"/>
          <w:r w:rsidRPr="00DD66E6">
            <w:rPr>
              <w:rFonts w:ascii="Calibri" w:eastAsia="Times New Roman" w:hAnsi="Calibri" w:cs="Calibri"/>
              <w:color w:val="000000"/>
            </w:rPr>
            <w:t>Verzija</w:t>
          </w:r>
          <w:proofErr w:type="spellEnd"/>
          <w:r w:rsidRPr="00DD66E6">
            <w:rPr>
              <w:rFonts w:ascii="Calibri" w:eastAsia="Times New Roman" w:hAnsi="Calibri" w:cs="Calibri"/>
              <w:color w:val="000000"/>
            </w:rPr>
            <w:t>:</w:t>
          </w:r>
          <w:r w:rsidR="005F587B">
            <w:rPr>
              <w:rFonts w:ascii="Calibri" w:eastAsia="Times New Roman" w:hAnsi="Calibri" w:cs="Calibri"/>
              <w:color w:val="000000"/>
            </w:rPr>
            <w:t xml:space="preserve"> 1.1</w:t>
          </w:r>
        </w:p>
      </w:tc>
      <w:tc>
        <w:tcPr>
          <w:tcW w:w="4179" w:type="dxa"/>
          <w:tcBorders>
            <w:top w:val="single" w:sz="4" w:space="0" w:color="C00000"/>
            <w:left w:val="nil"/>
            <w:bottom w:val="single" w:sz="4" w:space="0" w:color="C00000"/>
            <w:right w:val="single" w:sz="4" w:space="0" w:color="C00000"/>
          </w:tcBorders>
          <w:shd w:val="clear" w:color="auto" w:fill="auto"/>
          <w:vAlign w:val="bottom"/>
          <w:hideMark/>
        </w:tcPr>
        <w:p w:rsidR="00C17796" w:rsidRPr="00DD66E6" w:rsidRDefault="00060F63" w:rsidP="00DD66E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Voditelj</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projekta</w:t>
          </w:r>
          <w:proofErr w:type="spellEnd"/>
          <w:r>
            <w:rPr>
              <w:rFonts w:ascii="Calibri" w:eastAsia="Times New Roman" w:hAnsi="Calibri" w:cs="Calibri"/>
              <w:color w:val="000000"/>
            </w:rPr>
            <w:t>:</w:t>
          </w:r>
        </w:p>
      </w:tc>
      <w:tc>
        <w:tcPr>
          <w:tcW w:w="1658" w:type="dxa"/>
          <w:tcBorders>
            <w:top w:val="single" w:sz="4" w:space="0" w:color="C00000"/>
            <w:left w:val="single" w:sz="4" w:space="0" w:color="C00000"/>
            <w:bottom w:val="single" w:sz="4" w:space="0" w:color="C00000"/>
            <w:right w:val="single" w:sz="4" w:space="0" w:color="C00000"/>
          </w:tcBorders>
        </w:tcPr>
        <w:p w:rsidR="00C17796" w:rsidRDefault="00C17796" w:rsidP="00DD66E6">
          <w:pPr>
            <w:pStyle w:val="Footer"/>
            <w:jc w:val="center"/>
          </w:pPr>
          <w:r>
            <w:t>Datum:</w:t>
          </w:r>
        </w:p>
      </w:tc>
      <w:tc>
        <w:tcPr>
          <w:tcW w:w="1683"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Default="00B70940" w:rsidP="00DD66E6">
          <w:pPr>
            <w:pStyle w:val="Footer"/>
            <w:jc w:val="center"/>
            <w:rPr>
              <w:noProof/>
            </w:rPr>
          </w:pPr>
          <w:sdt>
            <w:sdtPr>
              <w:id w:val="-396907066"/>
              <w:docPartObj>
                <w:docPartGallery w:val="Page Numbers (Bottom of Page)"/>
                <w:docPartUnique/>
              </w:docPartObj>
            </w:sdtPr>
            <w:sdtEndPr>
              <w:rPr>
                <w:noProof/>
              </w:rPr>
            </w:sdtEndPr>
            <w:sdtContent>
              <w:r w:rsidR="00C17796">
                <w:fldChar w:fldCharType="begin"/>
              </w:r>
              <w:r w:rsidR="00C17796">
                <w:instrText xml:space="preserve"> PAGE   \* MERGEFORMAT </w:instrText>
              </w:r>
              <w:r w:rsidR="00C17796">
                <w:fldChar w:fldCharType="separate"/>
              </w:r>
              <w:r w:rsidR="002C4197">
                <w:rPr>
                  <w:noProof/>
                </w:rPr>
                <w:t>3</w:t>
              </w:r>
              <w:r w:rsidR="00C17796">
                <w:rPr>
                  <w:noProof/>
                </w:rPr>
                <w:fldChar w:fldCharType="end"/>
              </w:r>
            </w:sdtContent>
          </w:sdt>
        </w:p>
        <w:p w:rsidR="00C17796" w:rsidRPr="00DD66E6" w:rsidRDefault="00C17796" w:rsidP="00DD66E6">
          <w:pPr>
            <w:spacing w:after="0" w:line="240" w:lineRule="auto"/>
            <w:jc w:val="center"/>
            <w:rPr>
              <w:rFonts w:ascii="Calibri" w:eastAsia="Times New Roman" w:hAnsi="Calibri" w:cs="Calibri"/>
              <w:color w:val="000000"/>
              <w:sz w:val="20"/>
              <w:szCs w:val="20"/>
            </w:rPr>
          </w:pPr>
        </w:p>
      </w:tc>
    </w:tr>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D93C1C" w:rsidP="00DD66E6">
          <w:pPr>
            <w:spacing w:after="0" w:line="240" w:lineRule="auto"/>
            <w:jc w:val="center"/>
            <w:rPr>
              <w:rFonts w:ascii="Calibri" w:eastAsia="Times New Roman" w:hAnsi="Calibri" w:cs="Calibri"/>
              <w:color w:val="000000"/>
            </w:rPr>
          </w:pPr>
          <w:r>
            <w:rPr>
              <w:rFonts w:ascii="Calibri" w:eastAsia="Times New Roman" w:hAnsi="Calibri" w:cs="Calibri"/>
              <w:color w:val="000000"/>
            </w:rPr>
            <w:t>PB_05</w:t>
          </w:r>
        </w:p>
      </w:tc>
      <w:tc>
        <w:tcPr>
          <w:tcW w:w="4179" w:type="dxa"/>
          <w:tcBorders>
            <w:top w:val="nil"/>
            <w:left w:val="nil"/>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rPr>
              <w:rFonts w:ascii="Calibri" w:eastAsia="Times New Roman" w:hAnsi="Calibri" w:cs="Calibri"/>
              <w:color w:val="000000"/>
            </w:rPr>
          </w:pPr>
          <w:proofErr w:type="spellStart"/>
          <w:r w:rsidRPr="00DD66E6">
            <w:rPr>
              <w:rFonts w:ascii="Calibri" w:eastAsia="Times New Roman" w:hAnsi="Calibri" w:cs="Calibri"/>
              <w:color w:val="000000"/>
            </w:rPr>
            <w:t>Lidija</w:t>
          </w:r>
          <w:proofErr w:type="spellEnd"/>
          <w:r w:rsidRPr="00DD66E6">
            <w:rPr>
              <w:rFonts w:ascii="Calibri" w:eastAsia="Times New Roman" w:hAnsi="Calibri" w:cs="Calibri"/>
              <w:color w:val="000000"/>
            </w:rPr>
            <w:t xml:space="preserve"> </w:t>
          </w:r>
          <w:proofErr w:type="spellStart"/>
          <w:r w:rsidRPr="00DD66E6">
            <w:rPr>
              <w:rFonts w:ascii="Calibri" w:eastAsia="Times New Roman" w:hAnsi="Calibri" w:cs="Calibri"/>
              <w:color w:val="000000"/>
            </w:rPr>
            <w:t>Lastave</w:t>
          </w:r>
          <w:r>
            <w:rPr>
              <w:rFonts w:ascii="Calibri" w:eastAsia="Times New Roman" w:hAnsi="Calibri" w:cs="Calibri"/>
              <w:color w:val="000000"/>
            </w:rPr>
            <w:t>c</w:t>
          </w:r>
          <w:proofErr w:type="spellEnd"/>
        </w:p>
      </w:tc>
      <w:tc>
        <w:tcPr>
          <w:tcW w:w="1658" w:type="dxa"/>
          <w:tcBorders>
            <w:top w:val="single" w:sz="4" w:space="0" w:color="C00000"/>
            <w:left w:val="single" w:sz="4" w:space="0" w:color="C00000"/>
            <w:bottom w:val="single" w:sz="4" w:space="0" w:color="C00000"/>
            <w:right w:val="single" w:sz="4" w:space="0" w:color="C00000"/>
          </w:tcBorders>
        </w:tcPr>
        <w:p w:rsidR="00C17796" w:rsidRPr="00DD66E6" w:rsidRDefault="005F587B" w:rsidP="005F587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05</w:t>
          </w:r>
          <w:r w:rsidR="00C17796">
            <w:rPr>
              <w:rFonts w:ascii="Calibri" w:eastAsia="Times New Roman" w:hAnsi="Calibri" w:cs="Calibri"/>
              <w:color w:val="000000"/>
              <w:sz w:val="20"/>
              <w:szCs w:val="20"/>
            </w:rPr>
            <w:t>.0</w:t>
          </w:r>
          <w:r>
            <w:rPr>
              <w:rFonts w:ascii="Calibri" w:eastAsia="Times New Roman" w:hAnsi="Calibri" w:cs="Calibri"/>
              <w:color w:val="000000"/>
              <w:sz w:val="20"/>
              <w:szCs w:val="20"/>
            </w:rPr>
            <w:t>4</w:t>
          </w:r>
          <w:r w:rsidR="00C17796">
            <w:rPr>
              <w:rFonts w:ascii="Calibri" w:eastAsia="Times New Roman" w:hAnsi="Calibri" w:cs="Calibri"/>
              <w:color w:val="000000"/>
              <w:sz w:val="20"/>
              <w:szCs w:val="20"/>
            </w:rPr>
            <w:t>.2014.</w:t>
          </w:r>
        </w:p>
      </w:tc>
      <w:tc>
        <w:tcPr>
          <w:tcW w:w="1683" w:type="dxa"/>
          <w:vMerge/>
          <w:tcBorders>
            <w:top w:val="single" w:sz="4" w:space="0" w:color="C00000"/>
            <w:left w:val="single" w:sz="4" w:space="0" w:color="C00000"/>
            <w:bottom w:val="single" w:sz="4" w:space="0" w:color="C00000"/>
            <w:right w:val="single" w:sz="4" w:space="0" w:color="C00000"/>
          </w:tcBorders>
          <w:vAlign w:val="center"/>
          <w:hideMark/>
        </w:tcPr>
        <w:p w:rsidR="00C17796" w:rsidRPr="00DD66E6" w:rsidRDefault="00C17796" w:rsidP="00DD66E6">
          <w:pPr>
            <w:spacing w:after="0" w:line="240" w:lineRule="auto"/>
            <w:rPr>
              <w:rFonts w:ascii="Calibri" w:eastAsia="Times New Roman" w:hAnsi="Calibri" w:cs="Calibri"/>
              <w:color w:val="000000"/>
              <w:sz w:val="20"/>
              <w:szCs w:val="20"/>
            </w:rPr>
          </w:pPr>
        </w:p>
      </w:tc>
    </w:tr>
  </w:tbl>
  <w:p w:rsidR="00DD66E6" w:rsidRDefault="00DD6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40" w:rsidRDefault="00B70940" w:rsidP="00DD66E6">
      <w:pPr>
        <w:spacing w:after="0" w:line="240" w:lineRule="auto"/>
      </w:pPr>
      <w:r>
        <w:separator/>
      </w:r>
    </w:p>
  </w:footnote>
  <w:footnote w:type="continuationSeparator" w:id="0">
    <w:p w:rsidR="00B70940" w:rsidRDefault="00B70940" w:rsidP="00DD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Header"/>
    </w:pPr>
    <w:r>
      <w:rPr>
        <w:noProof/>
      </w:rPr>
      <mc:AlternateContent>
        <mc:Choice Requires="wps">
          <w:drawing>
            <wp:anchor distT="0" distB="0" distL="114300" distR="114300" simplePos="0" relativeHeight="251659264" behindDoc="0" locked="0" layoutInCell="1" allowOverlap="1" wp14:anchorId="5A705748" wp14:editId="22D157F3">
              <wp:simplePos x="0" y="0"/>
              <wp:positionH relativeFrom="column">
                <wp:posOffset>-313200</wp:posOffset>
              </wp:positionH>
              <wp:positionV relativeFrom="paragraph">
                <wp:posOffset>240533</wp:posOffset>
              </wp:positionV>
              <wp:extent cx="6659593" cy="0"/>
              <wp:effectExtent l="38100" t="19050" r="65405" b="114300"/>
              <wp:wrapNone/>
              <wp:docPr id="2" name="Straight Connector 2"/>
              <wp:cNvGraphicFramePr/>
              <a:graphic xmlns:a="http://schemas.openxmlformats.org/drawingml/2006/main">
                <a:graphicData uri="http://schemas.microsoft.com/office/word/2010/wordprocessingShape">
                  <wps:wsp>
                    <wps:cNvCnPr/>
                    <wps:spPr>
                      <a:xfrm>
                        <a:off x="0" y="0"/>
                        <a:ext cx="6659593" cy="0"/>
                      </a:xfrm>
                      <a:prstGeom prst="line">
                        <a:avLst/>
                      </a:prstGeom>
                      <a:ln w="12700"/>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" strokecolor="#bc4542 [3045]" strokeweight="1pt">
              <v:shadow on="t" color="black" opacity="26214f" origin=",-.5" offset="0,3pt"/>
            </v:line>
          </w:pict>
        </mc:Fallback>
      </mc:AlternateContent>
    </w:r>
    <w:r w:rsidRPr="00DD66E6">
      <w:t xml:space="preserve">FOI                          </w:t>
    </w:r>
    <w:r>
      <w:t xml:space="preserve">              </w:t>
    </w:r>
    <w:r w:rsidRPr="00DD66E6">
      <w:t xml:space="preserve">        </w:t>
    </w:r>
    <w:proofErr w:type="spellStart"/>
    <w:r w:rsidRPr="00DD66E6">
      <w:rPr>
        <w:sz w:val="24"/>
        <w:szCs w:val="24"/>
      </w:rPr>
      <w:t>Projek</w:t>
    </w:r>
    <w:r w:rsidR="008278E5">
      <w:rPr>
        <w:sz w:val="24"/>
        <w:szCs w:val="24"/>
      </w:rPr>
      <w:t>at</w:t>
    </w:r>
    <w:proofErr w:type="spellEnd"/>
    <w:r w:rsidRPr="00DD66E6">
      <w:rPr>
        <w:sz w:val="24"/>
        <w:szCs w:val="24"/>
      </w:rPr>
      <w:t xml:space="preserve"> </w:t>
    </w:r>
    <w:proofErr w:type="spellStart"/>
    <w:r w:rsidRPr="00DD66E6">
      <w:rPr>
        <w:sz w:val="24"/>
        <w:szCs w:val="24"/>
      </w:rPr>
      <w:t>razvoja</w:t>
    </w:r>
    <w:proofErr w:type="spellEnd"/>
    <w:r w:rsidRPr="00DD66E6">
      <w:rPr>
        <w:sz w:val="24"/>
        <w:szCs w:val="24"/>
      </w:rPr>
      <w:t xml:space="preserve"> </w:t>
    </w:r>
    <w:proofErr w:type="spellStart"/>
    <w:proofErr w:type="gramStart"/>
    <w:r w:rsidR="00C739A4">
      <w:rPr>
        <w:sz w:val="24"/>
        <w:szCs w:val="24"/>
      </w:rPr>
      <w:t>aplikacija</w:t>
    </w:r>
    <w:proofErr w:type="spellEnd"/>
    <w:r w:rsidR="00C739A4">
      <w:rPr>
        <w:sz w:val="24"/>
        <w:szCs w:val="24"/>
      </w:rPr>
      <w:t xml:space="preserve"> </w:t>
    </w:r>
    <w:r w:rsidRPr="00DD66E6">
      <w:rPr>
        <w:sz w:val="24"/>
        <w:szCs w:val="24"/>
      </w:rPr>
      <w:t xml:space="preserve"> e</w:t>
    </w:r>
    <w:proofErr w:type="gramEnd"/>
    <w:r w:rsidRPr="00DD66E6">
      <w:rPr>
        <w:sz w:val="24"/>
        <w:szCs w:val="24"/>
      </w:rPr>
      <w:t>-</w:t>
    </w:r>
    <w:proofErr w:type="spellStart"/>
    <w:r w:rsidRPr="00DD66E6">
      <w:rPr>
        <w:sz w:val="24"/>
        <w:szCs w:val="24"/>
      </w:rPr>
      <w:t>Inspektor</w:t>
    </w:r>
    <w:proofErr w:type="spellEnd"/>
    <w:r w:rsidRPr="00DD66E6">
      <w:t xml:space="preserve">          </w:t>
    </w:r>
    <w:r w:rsidR="000517EF">
      <w:t xml:space="preserve">          </w:t>
    </w:r>
    <w:r w:rsidRPr="00DD66E6">
      <w:t xml:space="preserve">         Tim: Plan B</w:t>
    </w:r>
    <w:r w:rsidR="000517EF">
      <w:t xml:space="preserve"> (T27)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D2E46"/>
    <w:multiLevelType w:val="hybridMultilevel"/>
    <w:tmpl w:val="8B2E0798"/>
    <w:lvl w:ilvl="0" w:tplc="F842ACE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9623C"/>
    <w:multiLevelType w:val="hybridMultilevel"/>
    <w:tmpl w:val="27181DC0"/>
    <w:lvl w:ilvl="0" w:tplc="AED82F5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E5757"/>
    <w:multiLevelType w:val="hybridMultilevel"/>
    <w:tmpl w:val="52B0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719AD"/>
    <w:multiLevelType w:val="hybridMultilevel"/>
    <w:tmpl w:val="A4560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15BA4"/>
    <w:multiLevelType w:val="hybridMultilevel"/>
    <w:tmpl w:val="4E966904"/>
    <w:lvl w:ilvl="0" w:tplc="92FAF7B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67856"/>
    <w:multiLevelType w:val="hybridMultilevel"/>
    <w:tmpl w:val="46FA5540"/>
    <w:lvl w:ilvl="0" w:tplc="556CA9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A2F90"/>
    <w:multiLevelType w:val="hybridMultilevel"/>
    <w:tmpl w:val="A6D271CA"/>
    <w:lvl w:ilvl="0" w:tplc="1C822F2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46BEB"/>
    <w:multiLevelType w:val="hybridMultilevel"/>
    <w:tmpl w:val="6D888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76169"/>
    <w:multiLevelType w:val="hybridMultilevel"/>
    <w:tmpl w:val="096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2524F3"/>
    <w:multiLevelType w:val="hybridMultilevel"/>
    <w:tmpl w:val="204C62A2"/>
    <w:lvl w:ilvl="0" w:tplc="AB9AAC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4C1104"/>
    <w:multiLevelType w:val="hybridMultilevel"/>
    <w:tmpl w:val="E85C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A365E"/>
    <w:multiLevelType w:val="hybridMultilevel"/>
    <w:tmpl w:val="C13E1C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3BD657E"/>
    <w:multiLevelType w:val="hybridMultilevel"/>
    <w:tmpl w:val="634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C5B74"/>
    <w:multiLevelType w:val="multilevel"/>
    <w:tmpl w:val="67746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0"/>
  </w:num>
  <w:num w:numId="4">
    <w:abstractNumId w:val="11"/>
  </w:num>
  <w:num w:numId="5">
    <w:abstractNumId w:val="3"/>
  </w:num>
  <w:num w:numId="6">
    <w:abstractNumId w:val="13"/>
  </w:num>
  <w:num w:numId="7">
    <w:abstractNumId w:val="12"/>
  </w:num>
  <w:num w:numId="8">
    <w:abstractNumId w:val="2"/>
  </w:num>
  <w:num w:numId="9">
    <w:abstractNumId w:val="7"/>
  </w:num>
  <w:num w:numId="10">
    <w:abstractNumId w:val="8"/>
  </w:num>
  <w:num w:numId="11">
    <w:abstractNumId w:val="5"/>
  </w:num>
  <w:num w:numId="12">
    <w:abstractNumId w:val="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76"/>
    <w:rsid w:val="0001752D"/>
    <w:rsid w:val="000517EF"/>
    <w:rsid w:val="00056BB7"/>
    <w:rsid w:val="00060F63"/>
    <w:rsid w:val="000B03AD"/>
    <w:rsid w:val="000E06E2"/>
    <w:rsid w:val="00116910"/>
    <w:rsid w:val="00172284"/>
    <w:rsid w:val="00185B94"/>
    <w:rsid w:val="00186D12"/>
    <w:rsid w:val="001B0D1B"/>
    <w:rsid w:val="0020253E"/>
    <w:rsid w:val="00274B26"/>
    <w:rsid w:val="002944D3"/>
    <w:rsid w:val="002C4197"/>
    <w:rsid w:val="00352CE8"/>
    <w:rsid w:val="00363C87"/>
    <w:rsid w:val="003830DB"/>
    <w:rsid w:val="003B437A"/>
    <w:rsid w:val="004074A4"/>
    <w:rsid w:val="004542BC"/>
    <w:rsid w:val="004C638D"/>
    <w:rsid w:val="00580546"/>
    <w:rsid w:val="00580BB6"/>
    <w:rsid w:val="005C173D"/>
    <w:rsid w:val="005F587B"/>
    <w:rsid w:val="00635FA5"/>
    <w:rsid w:val="00650183"/>
    <w:rsid w:val="006B4949"/>
    <w:rsid w:val="006C0D2F"/>
    <w:rsid w:val="006E6B14"/>
    <w:rsid w:val="00721FF5"/>
    <w:rsid w:val="00807D15"/>
    <w:rsid w:val="00810EA0"/>
    <w:rsid w:val="008278E5"/>
    <w:rsid w:val="0088759A"/>
    <w:rsid w:val="00936CA9"/>
    <w:rsid w:val="00937CAF"/>
    <w:rsid w:val="009454D9"/>
    <w:rsid w:val="00973848"/>
    <w:rsid w:val="00987D50"/>
    <w:rsid w:val="009B4F95"/>
    <w:rsid w:val="00A02A2F"/>
    <w:rsid w:val="00A42538"/>
    <w:rsid w:val="00AA1E76"/>
    <w:rsid w:val="00AF1484"/>
    <w:rsid w:val="00B1357F"/>
    <w:rsid w:val="00B70940"/>
    <w:rsid w:val="00BD5C0D"/>
    <w:rsid w:val="00BE0404"/>
    <w:rsid w:val="00C141E0"/>
    <w:rsid w:val="00C17796"/>
    <w:rsid w:val="00C23A90"/>
    <w:rsid w:val="00C5005B"/>
    <w:rsid w:val="00C739A4"/>
    <w:rsid w:val="00C953DB"/>
    <w:rsid w:val="00CA58F5"/>
    <w:rsid w:val="00CA5EEE"/>
    <w:rsid w:val="00D44E46"/>
    <w:rsid w:val="00D81F4D"/>
    <w:rsid w:val="00D93C1C"/>
    <w:rsid w:val="00DA1B0C"/>
    <w:rsid w:val="00DD3558"/>
    <w:rsid w:val="00DD66E6"/>
    <w:rsid w:val="00E01547"/>
    <w:rsid w:val="00E063C8"/>
    <w:rsid w:val="00E604CE"/>
    <w:rsid w:val="00E713D5"/>
    <w:rsid w:val="00E857CA"/>
    <w:rsid w:val="00EB2419"/>
    <w:rsid w:val="00EC0CFF"/>
    <w:rsid w:val="00F3292E"/>
    <w:rsid w:val="00F850D5"/>
    <w:rsid w:val="00F93C8C"/>
    <w:rsid w:val="00F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6208">
      <w:bodyDiv w:val="1"/>
      <w:marLeft w:val="0"/>
      <w:marRight w:val="0"/>
      <w:marTop w:val="0"/>
      <w:marBottom w:val="0"/>
      <w:divBdr>
        <w:top w:val="none" w:sz="0" w:space="0" w:color="auto"/>
        <w:left w:val="none" w:sz="0" w:space="0" w:color="auto"/>
        <w:bottom w:val="none" w:sz="0" w:space="0" w:color="auto"/>
        <w:right w:val="none" w:sz="0" w:space="0" w:color="auto"/>
      </w:divBdr>
    </w:div>
    <w:div w:id="553195433">
      <w:bodyDiv w:val="1"/>
      <w:marLeft w:val="0"/>
      <w:marRight w:val="0"/>
      <w:marTop w:val="0"/>
      <w:marBottom w:val="0"/>
      <w:divBdr>
        <w:top w:val="none" w:sz="0" w:space="0" w:color="auto"/>
        <w:left w:val="none" w:sz="0" w:space="0" w:color="auto"/>
        <w:bottom w:val="none" w:sz="0" w:space="0" w:color="auto"/>
        <w:right w:val="none" w:sz="0" w:space="0" w:color="auto"/>
      </w:divBdr>
    </w:div>
    <w:div w:id="625549291">
      <w:bodyDiv w:val="1"/>
      <w:marLeft w:val="0"/>
      <w:marRight w:val="0"/>
      <w:marTop w:val="0"/>
      <w:marBottom w:val="0"/>
      <w:divBdr>
        <w:top w:val="none" w:sz="0" w:space="0" w:color="auto"/>
        <w:left w:val="none" w:sz="0" w:space="0" w:color="auto"/>
        <w:bottom w:val="none" w:sz="0" w:space="0" w:color="auto"/>
        <w:right w:val="none" w:sz="0" w:space="0" w:color="auto"/>
      </w:divBdr>
    </w:div>
    <w:div w:id="17128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taxation_customs/vi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taxation_customs/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Zlatko Stapić</dc:creator>
  <cp:lastModifiedBy>Lidija</cp:lastModifiedBy>
  <cp:revision>7</cp:revision>
  <dcterms:created xsi:type="dcterms:W3CDTF">2014-04-04T18:24:00Z</dcterms:created>
  <dcterms:modified xsi:type="dcterms:W3CDTF">2014-04-13T18:36:00Z</dcterms:modified>
</cp:coreProperties>
</file>