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D9" w:rsidRPr="00AF33E8" w:rsidRDefault="00715BD9" w:rsidP="00715BD9">
      <w:pPr>
        <w:pStyle w:val="Naslov2"/>
        <w:ind w:firstLine="0"/>
      </w:pPr>
      <w:bookmarkStart w:id="0" w:name="_Toc324287869"/>
      <w:bookmarkStart w:id="1" w:name="_Toc324718269"/>
      <w:bookmarkStart w:id="2" w:name="_Toc325822625"/>
      <w:bookmarkStart w:id="3" w:name="_Toc325953321"/>
      <w:bookmarkStart w:id="4" w:name="_Toc326099682"/>
      <w:bookmarkStart w:id="5" w:name="_Toc326100886"/>
      <w:bookmarkStart w:id="6" w:name="_Toc326106792"/>
      <w:bookmarkStart w:id="7" w:name="_Toc328556964"/>
      <w:r w:rsidRPr="00AF33E8">
        <w:t>DIZAJN TESTA SOFTWARE-</w:t>
      </w:r>
      <w:bookmarkEnd w:id="0"/>
      <w:bookmarkEnd w:id="1"/>
      <w:r w:rsidRPr="00AF33E8">
        <w:t xml:space="preserve">A </w:t>
      </w:r>
      <w:bookmarkEnd w:id="2"/>
      <w:bookmarkEnd w:id="3"/>
      <w:bookmarkEnd w:id="4"/>
      <w:bookmarkEnd w:id="5"/>
      <w:bookmarkEnd w:id="6"/>
      <w:bookmarkEnd w:id="7"/>
    </w:p>
    <w:p w:rsidR="00715BD9" w:rsidRDefault="00715BD9" w:rsidP="00715BD9">
      <w:pPr>
        <w:pStyle w:val="Naslov3"/>
        <w:ind w:left="0"/>
      </w:pPr>
      <w:bookmarkStart w:id="8" w:name="_Toc325822626"/>
      <w:bookmarkStart w:id="9" w:name="_Toc325953322"/>
      <w:bookmarkStart w:id="10" w:name="_Toc326099683"/>
      <w:bookmarkStart w:id="11" w:name="_Toc326100887"/>
      <w:bookmarkStart w:id="12" w:name="_Toc326106793"/>
      <w:bookmarkStart w:id="13" w:name="_Toc328556965"/>
      <w:r w:rsidRPr="00297071">
        <w:t xml:space="preserve">DIZAJN TESTA </w:t>
      </w:r>
      <w:bookmarkEnd w:id="8"/>
      <w:bookmarkEnd w:id="9"/>
      <w:bookmarkEnd w:id="10"/>
      <w:bookmarkEnd w:id="11"/>
      <w:bookmarkEnd w:id="12"/>
      <w:bookmarkEnd w:id="13"/>
      <w:r w:rsidR="00707F47">
        <w:t xml:space="preserve"> IS-a</w:t>
      </w:r>
    </w:p>
    <w:p w:rsidR="00715BD9" w:rsidRDefault="00715BD9" w:rsidP="00715BD9">
      <w:r>
        <w:t xml:space="preserve">Razlog testiranja </w:t>
      </w:r>
      <w:proofErr w:type="spellStart"/>
      <w:r w:rsidRPr="00E47543">
        <w:rPr>
          <w:i/>
        </w:rPr>
        <w:t>software</w:t>
      </w:r>
      <w:proofErr w:type="spellEnd"/>
      <w:r>
        <w:t>-a je kvaliteta i kupac.</w:t>
      </w:r>
    </w:p>
    <w:p w:rsidR="00715BD9" w:rsidRDefault="00715BD9" w:rsidP="00715BD9">
      <w:pPr>
        <w:jc w:val="both"/>
      </w:pPr>
      <w:r>
        <w:t xml:space="preserve">Testiranje programske podrške zamišljeno je kao slučajno okidanje objekata kroz program. Tu su objekti koji mijenjaju stanja i ne zna se što se događa unutar objekta zbog toga što je on </w:t>
      </w:r>
      <w:proofErr w:type="spellStart"/>
      <w:r w:rsidRPr="00C04580">
        <w:t>enkapsuliran</w:t>
      </w:r>
      <w:proofErr w:type="spellEnd"/>
      <w:r>
        <w:t xml:space="preserve">, a sa slučajnim okidanjem tih objekata provocira se odgovor objekta. </w:t>
      </w:r>
    </w:p>
    <w:p w:rsidR="00715BD9" w:rsidRDefault="00715BD9" w:rsidP="00715BD9">
      <w:proofErr w:type="spellStart"/>
      <w:r>
        <w:t>Enkapsulacija</w:t>
      </w:r>
      <w:proofErr w:type="spellEnd"/>
      <w:r>
        <w:t xml:space="preserve"> ili </w:t>
      </w:r>
      <w:proofErr w:type="spellStart"/>
      <w:r>
        <w:t>učahurivanje</w:t>
      </w:r>
      <w:proofErr w:type="spellEnd"/>
      <w:r>
        <w:t xml:space="preserve"> je svojstvo objekata da ga se može </w:t>
      </w:r>
      <w:proofErr w:type="spellStart"/>
      <w:r>
        <w:t>prozrijeti</w:t>
      </w:r>
      <w:proofErr w:type="spellEnd"/>
      <w:r>
        <w:t>, ali se ne zna u kojem je on unutrašnjem stanju.</w:t>
      </w:r>
    </w:p>
    <w:p w:rsidR="00715BD9" w:rsidRDefault="00715BD9" w:rsidP="00715BD9">
      <w:r>
        <w:t xml:space="preserve">Provjera rada </w:t>
      </w:r>
      <w:proofErr w:type="spellStart"/>
      <w:r w:rsidRPr="00E47543">
        <w:rPr>
          <w:i/>
        </w:rPr>
        <w:t>software</w:t>
      </w:r>
      <w:proofErr w:type="spellEnd"/>
      <w:r>
        <w:t xml:space="preserve">-a izvedena je u funkcijskoj paradigmi, što u prijevodu znači „jesi li crn ili bijel“. </w:t>
      </w:r>
      <w:proofErr w:type="spellStart"/>
      <w:r w:rsidRPr="00E47543">
        <w:rPr>
          <w:i/>
        </w:rPr>
        <w:t>Software</w:t>
      </w:r>
      <w:proofErr w:type="spellEnd"/>
      <w:r>
        <w:t xml:space="preserve"> ima samo jedan točan rezultat, a svi ostali su pogrešni.</w:t>
      </w:r>
    </w:p>
    <w:p w:rsidR="00715BD9" w:rsidRDefault="00715BD9" w:rsidP="00715BD9">
      <w:r>
        <w:t xml:space="preserve">U primjeru na Slici </w:t>
      </w:r>
      <w:r w:rsidR="00707F47">
        <w:t>xl</w:t>
      </w:r>
      <w:r>
        <w:t>., testiraju se objekti koji mijenjaju stanja. Operacije ili metode koje te klase imaju su:</w:t>
      </w:r>
    </w:p>
    <w:p w:rsidR="00715BD9" w:rsidRDefault="00715BD9" w:rsidP="00715BD9">
      <w:r>
        <w:t xml:space="preserve">Otvori sustav prema ulozi korisnika; Otvori grafičko sučelje administratora; Otvori senzor </w:t>
      </w:r>
      <w:proofErr w:type="spellStart"/>
      <w:r>
        <w:t>meteo</w:t>
      </w:r>
      <w:proofErr w:type="spellEnd"/>
      <w:r>
        <w:t xml:space="preserve"> stanja; Prikaži reprezentaciju vlage; Zatvori ulogu korisnika.</w:t>
      </w:r>
    </w:p>
    <w:p w:rsidR="00715BD9" w:rsidRDefault="00715BD9" w:rsidP="00715BD9">
      <w:pPr>
        <w:jc w:val="both"/>
      </w:pPr>
      <w:r>
        <w:t xml:space="preserve">To bi bio minimalni broj operacija prikazanog testa </w:t>
      </w:r>
      <w:proofErr w:type="spellStart"/>
      <w:r w:rsidRPr="00E47543">
        <w:rPr>
          <w:i/>
        </w:rPr>
        <w:t>software</w:t>
      </w:r>
      <w:proofErr w:type="spellEnd"/>
      <w:r>
        <w:t xml:space="preserve">-a, kao prolaz od vrha do dna programa, u hijerarhijskom smislu, iako je moguće napraviti puno varijacija testa </w:t>
      </w:r>
      <w:proofErr w:type="spellStart"/>
      <w:r w:rsidRPr="00E47543">
        <w:rPr>
          <w:i/>
        </w:rPr>
        <w:t>software</w:t>
      </w:r>
      <w:proofErr w:type="spellEnd"/>
      <w:r>
        <w:t>-a programske podrške.</w:t>
      </w:r>
      <w:r>
        <w:rPr>
          <w:rStyle w:val="Referencafusnote"/>
        </w:rPr>
        <w:footnoteReference w:id="1"/>
      </w:r>
    </w:p>
    <w:p w:rsidR="00715BD9" w:rsidRDefault="00715BD9" w:rsidP="00715BD9">
      <w:pPr>
        <w:jc w:val="both"/>
      </w:pPr>
      <w:r>
        <w:t xml:space="preserve">Razrada programa testa </w:t>
      </w:r>
      <w:proofErr w:type="spellStart"/>
      <w:r w:rsidRPr="00E47543">
        <w:rPr>
          <w:i/>
        </w:rPr>
        <w:t>software</w:t>
      </w:r>
      <w:proofErr w:type="spellEnd"/>
      <w:r>
        <w:t>-a programske podrške u pogledu programskog koda je veliki posao i u ovom se radu taj pogled na model programske podrške ne razmatra.</w:t>
      </w:r>
    </w:p>
    <w:bookmarkStart w:id="14" w:name="_Toc326106615"/>
    <w:bookmarkStart w:id="15" w:name="_Toc326329158"/>
    <w:p w:rsidR="00715BD9" w:rsidRDefault="00707F47" w:rsidP="00715BD9">
      <w:pPr>
        <w:pStyle w:val="Opisslike"/>
      </w:pPr>
      <w:r>
        <w:object w:dxaOrig="11271" w:dyaOrig="7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295.15pt" o:ole="">
            <v:imagedata r:id="rId7" o:title=""/>
          </v:shape>
          <o:OLEObject Type="Embed" ProgID="Visio.Drawing.11" ShapeID="_x0000_i1025" DrawAspect="Content" ObjectID="_1466203645" r:id="rId8"/>
        </w:object>
      </w:r>
    </w:p>
    <w:p w:rsidR="00715BD9" w:rsidRDefault="00715BD9" w:rsidP="00715BD9">
      <w:pPr>
        <w:pStyle w:val="Opisslike"/>
      </w:pPr>
      <w:bookmarkStart w:id="16" w:name="_Toc327034039"/>
      <w:bookmarkStart w:id="17" w:name="_Toc327034741"/>
      <w:bookmarkStart w:id="18" w:name="_Toc327035395"/>
      <w:bookmarkStart w:id="19" w:name="_Toc328557224"/>
      <w:r>
        <w:t xml:space="preserve">Slika </w:t>
      </w:r>
      <w:r w:rsidR="00707F47">
        <w:t>xl</w:t>
      </w:r>
      <w:r w:rsidRPr="00ED54E2">
        <w:t>.</w:t>
      </w:r>
      <w:r>
        <w:t xml:space="preserve"> </w:t>
      </w:r>
      <w:r w:rsidRPr="00ED54E2">
        <w:t xml:space="preserve">Primjer testa </w:t>
      </w:r>
      <w:r>
        <w:t>p</w:t>
      </w:r>
      <w:r w:rsidRPr="00ED54E2">
        <w:t xml:space="preserve">rogramske </w:t>
      </w:r>
      <w:r>
        <w:t>podrške</w:t>
      </w:r>
      <w:r w:rsidRPr="00ED54E2">
        <w:t>.</w:t>
      </w:r>
      <w:bookmarkEnd w:id="16"/>
      <w:bookmarkEnd w:id="17"/>
      <w:bookmarkEnd w:id="18"/>
      <w:bookmarkEnd w:id="19"/>
    </w:p>
    <w:p w:rsidR="00715BD9" w:rsidRPr="00632357" w:rsidRDefault="00715BD9" w:rsidP="00715BD9"/>
    <w:p w:rsidR="00715BD9" w:rsidRDefault="00715BD9" w:rsidP="00715BD9">
      <w:pPr>
        <w:pStyle w:val="Naslov3"/>
        <w:numPr>
          <w:ilvl w:val="1"/>
          <w:numId w:val="1"/>
        </w:numPr>
        <w:ind w:left="567" w:firstLine="0"/>
      </w:pPr>
      <w:bookmarkStart w:id="20" w:name="_Toc325822627"/>
      <w:bookmarkStart w:id="21" w:name="_Toc325953323"/>
      <w:bookmarkStart w:id="22" w:name="_Toc326099684"/>
      <w:bookmarkStart w:id="23" w:name="_Toc326100888"/>
      <w:bookmarkStart w:id="24" w:name="_Toc326106794"/>
      <w:bookmarkStart w:id="25" w:name="_Toc328556966"/>
      <w:bookmarkEnd w:id="14"/>
      <w:bookmarkEnd w:id="15"/>
      <w:r>
        <w:t xml:space="preserve">IZRAČUN POUZDANOSTI </w:t>
      </w:r>
      <w:bookmarkEnd w:id="20"/>
      <w:bookmarkEnd w:id="21"/>
      <w:bookmarkEnd w:id="22"/>
      <w:bookmarkEnd w:id="23"/>
      <w:bookmarkEnd w:id="24"/>
      <w:bookmarkEnd w:id="25"/>
    </w:p>
    <w:p w:rsidR="00715BD9" w:rsidRDefault="00715BD9" w:rsidP="00715BD9">
      <w:pPr>
        <w:jc w:val="both"/>
      </w:pPr>
      <w:r>
        <w:t xml:space="preserve">Zbog kupca i kvalitete </w:t>
      </w:r>
      <w:proofErr w:type="spellStart"/>
      <w:r w:rsidRPr="00E47543">
        <w:rPr>
          <w:i/>
        </w:rPr>
        <w:t>software</w:t>
      </w:r>
      <w:proofErr w:type="spellEnd"/>
      <w:r>
        <w:t xml:space="preserve">-a, razmotrit će se postavka izračuna pouzdanosti </w:t>
      </w:r>
      <w:proofErr w:type="spellStart"/>
      <w:r w:rsidRPr="00E47543">
        <w:rPr>
          <w:i/>
        </w:rPr>
        <w:t>software</w:t>
      </w:r>
      <w:proofErr w:type="spellEnd"/>
      <w:r>
        <w:t>-a programske podrške.</w:t>
      </w:r>
    </w:p>
    <w:p w:rsidR="00715BD9" w:rsidRDefault="00715BD9" w:rsidP="00715BD9">
      <w:pPr>
        <w:pStyle w:val="Naslov4"/>
        <w:numPr>
          <w:ilvl w:val="2"/>
          <w:numId w:val="1"/>
        </w:numPr>
        <w:ind w:left="851" w:firstLine="0"/>
      </w:pPr>
      <w:r>
        <w:t>POSTAVA  IZRAČUNA  POUZDANOSTI SOFTWARE-A</w:t>
      </w:r>
    </w:p>
    <w:p w:rsidR="00715BD9" w:rsidRDefault="00715BD9" w:rsidP="00715BD9">
      <w:pPr>
        <w:jc w:val="both"/>
      </w:pPr>
      <w:r>
        <w:t xml:space="preserve">Za izračun pouzdanosti </w:t>
      </w:r>
      <w:proofErr w:type="spellStart"/>
      <w:r w:rsidRPr="00E47543">
        <w:rPr>
          <w:i/>
        </w:rPr>
        <w:t>software</w:t>
      </w:r>
      <w:proofErr w:type="spellEnd"/>
      <w:r>
        <w:t xml:space="preserve">-a </w:t>
      </w:r>
      <w:r w:rsidR="00707F47">
        <w:t>IS-a</w:t>
      </w:r>
      <w:r>
        <w:t>, koriste se temelji teorije pouzdanosti, čija bi definicija odgovarala za naš slučaj testa.</w:t>
      </w:r>
    </w:p>
    <w:p w:rsidR="00715BD9" w:rsidRDefault="00715BD9" w:rsidP="00715BD9">
      <w:pPr>
        <w:jc w:val="both"/>
      </w:pPr>
      <w:r>
        <w:t>„Postoji više određenja pojma pouzdanosti, ali će se ovdje navesti i analizirati, te naknadno rabiti jedna djelomično pojednostavljena, ali za većinu elektroničke tehnike vrlo prikladna definicija. Ona se odnosi se na sastavne dijelove i uređaje koji mogu imati samo dva stanja: ispravno (radno sposobno stanje) i neispravno (stanje u otkazu).“</w:t>
      </w:r>
      <w:r>
        <w:rPr>
          <w:rStyle w:val="Referencafusnote"/>
        </w:rPr>
        <w:footnoteReference w:id="2"/>
      </w:r>
    </w:p>
    <w:p w:rsidR="00715BD9" w:rsidRDefault="00715BD9" w:rsidP="00715BD9">
      <w:pPr>
        <w:jc w:val="both"/>
      </w:pPr>
      <w:r>
        <w:t>Tako, ta definicija odgovara i za izračun pouzdanosti programske podrške, zbog karakteristike razmatranja da ima samo jedno ispravno stanje, a sva ostala stanja su pogrešna. Tako proizlazi:</w:t>
      </w:r>
    </w:p>
    <w:p w:rsidR="00715BD9" w:rsidRDefault="00715BD9" w:rsidP="00715BD9">
      <w:pPr>
        <w:jc w:val="both"/>
      </w:pPr>
      <w:r>
        <w:t xml:space="preserve">„Pouzdanost je vjerojatnost da će sredstvo (element, uređaj, sustav pa tako i  </w:t>
      </w:r>
      <w:proofErr w:type="spellStart"/>
      <w:r>
        <w:t>software</w:t>
      </w:r>
      <w:proofErr w:type="spellEnd"/>
      <w:r>
        <w:t>) izvršiti zahtijevanu zadaću tijekom zadanog razdoblja vremena, ako se eksploatira u zadanim uvjetima okoline.</w:t>
      </w:r>
    </w:p>
    <w:p w:rsidR="00715BD9" w:rsidRDefault="00715BD9" w:rsidP="00715BD9">
      <w:r>
        <w:t>U ovoj definiciji mogu se uočiti četiri bitne odrednice: vjerojatnost, zahtijevana zadaća (misija), zadano razdoblje vremena, zadani radni uvjeti.</w:t>
      </w:r>
    </w:p>
    <w:p w:rsidR="00715BD9" w:rsidRDefault="00715BD9" w:rsidP="00715BD9">
      <w:pPr>
        <w:jc w:val="both"/>
      </w:pPr>
      <w:r>
        <w:t xml:space="preserve">Pouzdanost je stohastička, slučajna veličina, sa svim posljedicama koje iz te činjenice proizlaze, kao što su vjerojatnost događaja, statističko određivanje, rizici u procjenama, veličina uzorka za procjenu vrijednosti parametara raspodjele, neodređenost procjena </w:t>
      </w:r>
      <w:proofErr w:type="spellStart"/>
      <w:r>
        <w:t>itd</w:t>
      </w:r>
      <w:proofErr w:type="spellEnd"/>
      <w:r>
        <w:t>. Zahtijevana zadaća ili misija se za svako sredstvo (sustav, uređaj, element) posebno precizno opisuje i dovodi u vezu s otkazima koji sredstvo dovode u stanje funkcionalne neispravnosti. Ovi se otkazi obično nazivaju relevantni otkazi, bitni, značajni ili suštinski. U relevantne se otkaze ne ubrajaju greške poslužitelja ni utjecaj nepredviđenih radnih uvjeta ili okoline. Radni se uvjeti definiraju za svako sredstvo prema stvarnim, operativnim uvjetima pod kojima će sredstvo izvršavati zadatak. Konačno, u definiciji je i parametar zadanoga vremena, što znači da je pouzdanost vremenski promjenjiva funkcija.</w:t>
      </w:r>
    </w:p>
    <w:p w:rsidR="00715BD9" w:rsidRDefault="00715BD9" w:rsidP="00715BD9">
      <w:r>
        <w:t>Navedena se definicija može formalno izraziti kao:</w:t>
      </w:r>
    </w:p>
    <w:p w:rsidR="00715BD9" w:rsidRDefault="00715BD9" w:rsidP="00715BD9">
      <w:pPr>
        <w:jc w:val="center"/>
      </w:pPr>
      <w:r>
        <w:rPr>
          <w:noProof/>
          <w:lang w:eastAsia="hr-HR"/>
        </w:rPr>
        <w:drawing>
          <wp:inline distT="0" distB="0" distL="0" distR="0">
            <wp:extent cx="1514475" cy="414609"/>
            <wp:effectExtent l="19050" t="0" r="9525" b="0"/>
            <wp:docPr id="13"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517426" cy="415417"/>
                    </a:xfrm>
                    <a:prstGeom prst="rect">
                      <a:avLst/>
                    </a:prstGeom>
                    <a:noFill/>
                    <a:ln w="9525">
                      <a:noFill/>
                      <a:miter lim="800000"/>
                      <a:headEnd/>
                      <a:tailEnd/>
                    </a:ln>
                  </pic:spPr>
                </pic:pic>
              </a:graphicData>
            </a:graphic>
          </wp:inline>
        </w:drawing>
      </w:r>
    </w:p>
    <w:p w:rsidR="00715BD9" w:rsidRDefault="00715BD9" w:rsidP="00715BD9">
      <w:pPr>
        <w:spacing w:line="480" w:lineRule="auto"/>
        <w:jc w:val="center"/>
      </w:pPr>
      <w:r>
        <w:t>„</w:t>
      </w:r>
      <w:r>
        <w:rPr>
          <w:rStyle w:val="Referencafusnote"/>
        </w:rPr>
        <w:footnoteReference w:id="3"/>
      </w:r>
    </w:p>
    <w:p w:rsidR="00715BD9" w:rsidRDefault="00715BD9" w:rsidP="00715BD9">
      <w:r>
        <w:t xml:space="preserve">U našem slučaju, izračun pouzdanosti programske podrške pri testu </w:t>
      </w:r>
      <w:proofErr w:type="spellStart"/>
      <w:r w:rsidRPr="00E47543">
        <w:rPr>
          <w:i/>
        </w:rPr>
        <w:t>software</w:t>
      </w:r>
      <w:proofErr w:type="spellEnd"/>
      <w:r>
        <w:t xml:space="preserve">-a, na temelju pretpostavke da </w:t>
      </w:r>
      <w:proofErr w:type="spellStart"/>
      <w:r w:rsidRPr="00E47543">
        <w:rPr>
          <w:i/>
        </w:rPr>
        <w:t>software</w:t>
      </w:r>
      <w:proofErr w:type="spellEnd"/>
      <w:r>
        <w:t xml:space="preserve"> nije otkazao 10 dana bi bio:</w:t>
      </w:r>
    </w:p>
    <w:p w:rsidR="00715BD9" w:rsidRDefault="00715BD9" w:rsidP="00715BD9">
      <w:pPr>
        <w:jc w:val="center"/>
      </w:pPr>
      <w:r>
        <w:t xml:space="preserve">R(t)=1(10x24 </w:t>
      </w:r>
      <w:r>
        <w:sym w:font="Symbol" w:char="F0C9"/>
      </w:r>
      <w:r>
        <w:t xml:space="preserve"> 240)/1</w:t>
      </w:r>
    </w:p>
    <w:p w:rsidR="00715BD9" w:rsidRDefault="00715BD9" w:rsidP="00715BD9">
      <w:pPr>
        <w:jc w:val="center"/>
      </w:pPr>
      <w:r>
        <w:t>R(t)=100%</w:t>
      </w:r>
    </w:p>
    <w:p w:rsidR="00715BD9" w:rsidRDefault="00715BD9" w:rsidP="00715BD9">
      <w:r>
        <w:t>pri čemu je:</w:t>
      </w:r>
    </w:p>
    <w:p w:rsidR="00715BD9" w:rsidRDefault="00715BD9" w:rsidP="00715BD9">
      <w:r>
        <w:t>R(t) - pouzdanost, p - vjerojatnost da sredstvo nije otkazalo, t - tekuće vrijeme, od trenutka kada se na ispravnom sredstvu započne s opažanjem, T - vrijeme rada bez otkaza, ZRU - zadani radni uvjeti.</w:t>
      </w:r>
    </w:p>
    <w:p w:rsidR="00715BD9" w:rsidRDefault="00715BD9" w:rsidP="00715BD9">
      <w:r>
        <w:t xml:space="preserve">Tako je zadati test </w:t>
      </w:r>
      <w:proofErr w:type="spellStart"/>
      <w:r w:rsidRPr="00E47543">
        <w:rPr>
          <w:i/>
        </w:rPr>
        <w:t>software</w:t>
      </w:r>
      <w:proofErr w:type="spellEnd"/>
      <w:r>
        <w:t xml:space="preserve">-a izvršen s pouzdanošću od 100%. </w:t>
      </w:r>
    </w:p>
    <w:p w:rsidR="00715BD9" w:rsidRDefault="00715BD9" w:rsidP="00715BD9"/>
    <w:p w:rsidR="00715BD9" w:rsidRDefault="00715BD9" w:rsidP="00715BD9">
      <w:pPr>
        <w:pStyle w:val="Naslov4"/>
      </w:pPr>
      <w:r>
        <w:t xml:space="preserve">15.2.2. </w:t>
      </w:r>
      <w:r w:rsidRPr="00EF39CE">
        <w:t>FUNKCIJE GUSTOĆE OTKAZA, POUZDANOST I INTE</w:t>
      </w:r>
      <w:r>
        <w:t>N</w:t>
      </w:r>
      <w:r w:rsidRPr="00EF39CE">
        <w:t>ZITET OTKAZA</w:t>
      </w:r>
    </w:p>
    <w:p w:rsidR="00715BD9" w:rsidRDefault="00715BD9" w:rsidP="00715BD9">
      <w:pPr>
        <w:ind w:firstLine="0"/>
      </w:pPr>
      <w:r>
        <w:t>SIMULACIJA:</w:t>
      </w:r>
      <w:r>
        <w:rPr>
          <w:rStyle w:val="Referencafusnote"/>
        </w:rPr>
        <w:footnoteReference w:id="4"/>
      </w:r>
    </w:p>
    <w:p w:rsidR="00715BD9" w:rsidRDefault="00715BD9" w:rsidP="00715BD9">
      <w:pPr>
        <w:ind w:firstLine="0"/>
        <w:jc w:val="both"/>
      </w:pPr>
      <w:r>
        <w:t xml:space="preserve">Na pet koraka testa </w:t>
      </w:r>
      <w:proofErr w:type="spellStart"/>
      <w:r w:rsidRPr="00AF5EE5">
        <w:rPr>
          <w:i/>
        </w:rPr>
        <w:t>software</w:t>
      </w:r>
      <w:proofErr w:type="spellEnd"/>
      <w:r>
        <w:t>-a, izvršeno je ispitivanje pouzdanosti tijekom 200 sati, a broj otkaza je mjeren i bilježen u intervalima od po 10 sati. Dobiveni su sljedeći pretpostavljeni  rezultati:</w:t>
      </w:r>
    </w:p>
    <w:p w:rsidR="00715BD9" w:rsidRPr="00D12C1D" w:rsidRDefault="00715BD9" w:rsidP="00715BD9">
      <w:pPr>
        <w:pStyle w:val="Opisslike"/>
      </w:pPr>
      <w:bookmarkStart w:id="26" w:name="_Toc326099708"/>
      <w:bookmarkStart w:id="27" w:name="_Toc326100912"/>
      <w:bookmarkStart w:id="28" w:name="_Toc326106588"/>
      <w:bookmarkStart w:id="29" w:name="_Toc328557171"/>
      <w:r w:rsidRPr="00D12C1D">
        <w:t xml:space="preserve">Tablica </w:t>
      </w:r>
      <w:fldSimple w:instr=" SEQ Tablica \* ARABIC ">
        <w:r>
          <w:rPr>
            <w:noProof/>
          </w:rPr>
          <w:t>15</w:t>
        </w:r>
      </w:fldSimple>
      <w:r w:rsidRPr="00D12C1D">
        <w:t>.</w:t>
      </w:r>
      <w:r>
        <w:t xml:space="preserve"> Broj otkaza mjeren i bilježen u intervalu od po 10 sati</w:t>
      </w:r>
      <w:bookmarkEnd w:id="26"/>
      <w:bookmarkEnd w:id="27"/>
      <w:bookmarkEnd w:id="28"/>
      <w:bookmarkEnd w:id="29"/>
    </w:p>
    <w:tbl>
      <w:tblPr>
        <w:tblStyle w:val="Reetkatablice"/>
        <w:tblW w:w="0" w:type="auto"/>
        <w:tblLook w:val="04A0"/>
      </w:tblPr>
      <w:tblGrid>
        <w:gridCol w:w="1048"/>
        <w:gridCol w:w="827"/>
        <w:gridCol w:w="828"/>
        <w:gridCol w:w="828"/>
        <w:gridCol w:w="829"/>
        <w:gridCol w:w="829"/>
        <w:gridCol w:w="829"/>
        <w:gridCol w:w="829"/>
        <w:gridCol w:w="829"/>
        <w:gridCol w:w="829"/>
        <w:gridCol w:w="783"/>
      </w:tblGrid>
      <w:tr w:rsidR="00715BD9" w:rsidTr="00853E82">
        <w:trPr>
          <w:trHeight w:hRule="exact" w:val="680"/>
        </w:trPr>
        <w:tc>
          <w:tcPr>
            <w:tcW w:w="1048" w:type="dxa"/>
            <w:vAlign w:val="center"/>
          </w:tcPr>
          <w:p w:rsidR="00715BD9" w:rsidRDefault="00715BD9" w:rsidP="00853E82">
            <w:pPr>
              <w:ind w:firstLine="0"/>
            </w:pPr>
            <w:proofErr w:type="spellStart"/>
            <w:r>
              <w:t>Vremen</w:t>
            </w:r>
            <w:proofErr w:type="spellEnd"/>
            <w:r>
              <w:t>. interval</w:t>
            </w:r>
          </w:p>
        </w:tc>
        <w:tc>
          <w:tcPr>
            <w:tcW w:w="827" w:type="dxa"/>
          </w:tcPr>
          <w:p w:rsidR="00715BD9" w:rsidRDefault="00715BD9" w:rsidP="00853E82">
            <w:r>
              <w:t>1</w:t>
            </w:r>
          </w:p>
        </w:tc>
        <w:tc>
          <w:tcPr>
            <w:tcW w:w="828" w:type="dxa"/>
          </w:tcPr>
          <w:p w:rsidR="00715BD9" w:rsidRDefault="00715BD9" w:rsidP="00853E82">
            <w:r>
              <w:t>2</w:t>
            </w:r>
          </w:p>
        </w:tc>
        <w:tc>
          <w:tcPr>
            <w:tcW w:w="828" w:type="dxa"/>
          </w:tcPr>
          <w:p w:rsidR="00715BD9" w:rsidRDefault="00715BD9" w:rsidP="00853E82">
            <w:r>
              <w:t>3</w:t>
            </w:r>
          </w:p>
        </w:tc>
        <w:tc>
          <w:tcPr>
            <w:tcW w:w="829" w:type="dxa"/>
          </w:tcPr>
          <w:p w:rsidR="00715BD9" w:rsidRDefault="00715BD9" w:rsidP="00853E82">
            <w:r>
              <w:t>4</w:t>
            </w:r>
          </w:p>
        </w:tc>
        <w:tc>
          <w:tcPr>
            <w:tcW w:w="829" w:type="dxa"/>
          </w:tcPr>
          <w:p w:rsidR="00715BD9" w:rsidRDefault="00715BD9" w:rsidP="00853E82">
            <w:r>
              <w:t>5</w:t>
            </w:r>
          </w:p>
        </w:tc>
        <w:tc>
          <w:tcPr>
            <w:tcW w:w="829" w:type="dxa"/>
          </w:tcPr>
          <w:p w:rsidR="00715BD9" w:rsidRDefault="00715BD9" w:rsidP="00853E82">
            <w:r>
              <w:t>6</w:t>
            </w:r>
          </w:p>
        </w:tc>
        <w:tc>
          <w:tcPr>
            <w:tcW w:w="829" w:type="dxa"/>
          </w:tcPr>
          <w:p w:rsidR="00715BD9" w:rsidRDefault="00715BD9" w:rsidP="00853E82">
            <w:r>
              <w:t>7</w:t>
            </w:r>
          </w:p>
        </w:tc>
        <w:tc>
          <w:tcPr>
            <w:tcW w:w="829" w:type="dxa"/>
          </w:tcPr>
          <w:p w:rsidR="00715BD9" w:rsidRDefault="00715BD9" w:rsidP="00853E82">
            <w:r>
              <w:t>8</w:t>
            </w:r>
          </w:p>
        </w:tc>
        <w:tc>
          <w:tcPr>
            <w:tcW w:w="829" w:type="dxa"/>
          </w:tcPr>
          <w:p w:rsidR="00715BD9" w:rsidRDefault="00715BD9" w:rsidP="00853E82">
            <w:r>
              <w:t>9</w:t>
            </w:r>
          </w:p>
        </w:tc>
        <w:tc>
          <w:tcPr>
            <w:tcW w:w="783" w:type="dxa"/>
          </w:tcPr>
          <w:p w:rsidR="00715BD9" w:rsidRDefault="00715BD9" w:rsidP="00853E82">
            <w:r>
              <w:t>10</w:t>
            </w:r>
          </w:p>
        </w:tc>
      </w:tr>
      <w:tr w:rsidR="00715BD9" w:rsidTr="00853E82">
        <w:trPr>
          <w:trHeight w:hRule="exact" w:val="680"/>
        </w:trPr>
        <w:tc>
          <w:tcPr>
            <w:tcW w:w="1048" w:type="dxa"/>
            <w:vAlign w:val="center"/>
          </w:tcPr>
          <w:p w:rsidR="00715BD9" w:rsidRDefault="00715BD9" w:rsidP="00853E82">
            <w:pPr>
              <w:ind w:firstLine="0"/>
            </w:pPr>
            <w:r>
              <w:t>Broj otkaza</w:t>
            </w:r>
          </w:p>
        </w:tc>
        <w:tc>
          <w:tcPr>
            <w:tcW w:w="827" w:type="dxa"/>
          </w:tcPr>
          <w:p w:rsidR="00715BD9" w:rsidRDefault="00715BD9" w:rsidP="00853E82">
            <w:r>
              <w:t>0</w:t>
            </w:r>
          </w:p>
        </w:tc>
        <w:tc>
          <w:tcPr>
            <w:tcW w:w="828" w:type="dxa"/>
          </w:tcPr>
          <w:p w:rsidR="00715BD9" w:rsidRDefault="00715BD9" w:rsidP="00853E82">
            <w:r>
              <w:t>0</w:t>
            </w:r>
          </w:p>
        </w:tc>
        <w:tc>
          <w:tcPr>
            <w:tcW w:w="828"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783" w:type="dxa"/>
          </w:tcPr>
          <w:p w:rsidR="00715BD9" w:rsidRDefault="00715BD9" w:rsidP="00853E82">
            <w:r>
              <w:t>0</w:t>
            </w:r>
          </w:p>
        </w:tc>
      </w:tr>
      <w:tr w:rsidR="00715BD9" w:rsidTr="00853E82">
        <w:trPr>
          <w:trHeight w:hRule="exact" w:val="680"/>
        </w:trPr>
        <w:tc>
          <w:tcPr>
            <w:tcW w:w="1048" w:type="dxa"/>
            <w:vAlign w:val="center"/>
          </w:tcPr>
          <w:p w:rsidR="00715BD9" w:rsidRDefault="00715BD9" w:rsidP="00853E82">
            <w:pPr>
              <w:ind w:firstLine="0"/>
            </w:pPr>
            <w:proofErr w:type="spellStart"/>
            <w:r>
              <w:t>Vremen</w:t>
            </w:r>
            <w:proofErr w:type="spellEnd"/>
            <w:r>
              <w:t>. interval</w:t>
            </w:r>
          </w:p>
        </w:tc>
        <w:tc>
          <w:tcPr>
            <w:tcW w:w="827" w:type="dxa"/>
          </w:tcPr>
          <w:p w:rsidR="00715BD9" w:rsidRDefault="00715BD9" w:rsidP="00853E82">
            <w:r>
              <w:t>11</w:t>
            </w:r>
          </w:p>
        </w:tc>
        <w:tc>
          <w:tcPr>
            <w:tcW w:w="828" w:type="dxa"/>
          </w:tcPr>
          <w:p w:rsidR="00715BD9" w:rsidRDefault="00715BD9" w:rsidP="00853E82">
            <w:r>
              <w:t>12</w:t>
            </w:r>
          </w:p>
        </w:tc>
        <w:tc>
          <w:tcPr>
            <w:tcW w:w="828" w:type="dxa"/>
          </w:tcPr>
          <w:p w:rsidR="00715BD9" w:rsidRDefault="00715BD9" w:rsidP="00853E82">
            <w:r>
              <w:t>13</w:t>
            </w:r>
          </w:p>
        </w:tc>
        <w:tc>
          <w:tcPr>
            <w:tcW w:w="829" w:type="dxa"/>
          </w:tcPr>
          <w:p w:rsidR="00715BD9" w:rsidRDefault="00715BD9" w:rsidP="00853E82">
            <w:r>
              <w:t>14</w:t>
            </w:r>
          </w:p>
        </w:tc>
        <w:tc>
          <w:tcPr>
            <w:tcW w:w="829" w:type="dxa"/>
          </w:tcPr>
          <w:p w:rsidR="00715BD9" w:rsidRDefault="00715BD9" w:rsidP="00853E82">
            <w:r>
              <w:t>15</w:t>
            </w:r>
          </w:p>
        </w:tc>
        <w:tc>
          <w:tcPr>
            <w:tcW w:w="829" w:type="dxa"/>
          </w:tcPr>
          <w:p w:rsidR="00715BD9" w:rsidRDefault="00715BD9" w:rsidP="00853E82">
            <w:r>
              <w:t>16</w:t>
            </w:r>
          </w:p>
        </w:tc>
        <w:tc>
          <w:tcPr>
            <w:tcW w:w="829" w:type="dxa"/>
          </w:tcPr>
          <w:p w:rsidR="00715BD9" w:rsidRDefault="00715BD9" w:rsidP="00853E82">
            <w:r>
              <w:t>17</w:t>
            </w:r>
          </w:p>
        </w:tc>
        <w:tc>
          <w:tcPr>
            <w:tcW w:w="829" w:type="dxa"/>
          </w:tcPr>
          <w:p w:rsidR="00715BD9" w:rsidRDefault="00715BD9" w:rsidP="00853E82">
            <w:r>
              <w:t>18</w:t>
            </w:r>
          </w:p>
        </w:tc>
        <w:tc>
          <w:tcPr>
            <w:tcW w:w="829" w:type="dxa"/>
          </w:tcPr>
          <w:p w:rsidR="00715BD9" w:rsidRDefault="00715BD9" w:rsidP="00853E82">
            <w:r>
              <w:t>19</w:t>
            </w:r>
          </w:p>
        </w:tc>
        <w:tc>
          <w:tcPr>
            <w:tcW w:w="783" w:type="dxa"/>
          </w:tcPr>
          <w:p w:rsidR="00715BD9" w:rsidRDefault="00715BD9" w:rsidP="00853E82">
            <w:r>
              <w:t>20</w:t>
            </w:r>
          </w:p>
        </w:tc>
      </w:tr>
      <w:tr w:rsidR="00715BD9" w:rsidTr="00853E82">
        <w:trPr>
          <w:trHeight w:hRule="exact" w:val="680"/>
        </w:trPr>
        <w:tc>
          <w:tcPr>
            <w:tcW w:w="1048" w:type="dxa"/>
            <w:vAlign w:val="center"/>
          </w:tcPr>
          <w:p w:rsidR="00715BD9" w:rsidRDefault="00715BD9" w:rsidP="00853E82">
            <w:pPr>
              <w:ind w:firstLine="0"/>
            </w:pPr>
            <w:r>
              <w:t>Broj otkaza</w:t>
            </w:r>
          </w:p>
        </w:tc>
        <w:tc>
          <w:tcPr>
            <w:tcW w:w="827" w:type="dxa"/>
          </w:tcPr>
          <w:p w:rsidR="00715BD9" w:rsidRDefault="00715BD9" w:rsidP="00853E82">
            <w:r>
              <w:t>0</w:t>
            </w:r>
          </w:p>
        </w:tc>
        <w:tc>
          <w:tcPr>
            <w:tcW w:w="828" w:type="dxa"/>
          </w:tcPr>
          <w:p w:rsidR="00715BD9" w:rsidRDefault="00715BD9" w:rsidP="00853E82">
            <w:r>
              <w:t>0</w:t>
            </w:r>
          </w:p>
        </w:tc>
        <w:tc>
          <w:tcPr>
            <w:tcW w:w="828"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829" w:type="dxa"/>
          </w:tcPr>
          <w:p w:rsidR="00715BD9" w:rsidRDefault="00715BD9" w:rsidP="00853E82">
            <w:r>
              <w:t>0</w:t>
            </w:r>
          </w:p>
        </w:tc>
        <w:tc>
          <w:tcPr>
            <w:tcW w:w="783" w:type="dxa"/>
          </w:tcPr>
          <w:p w:rsidR="00715BD9" w:rsidRDefault="00715BD9" w:rsidP="00853E82">
            <w:r>
              <w:t>0</w:t>
            </w:r>
          </w:p>
        </w:tc>
      </w:tr>
    </w:tbl>
    <w:p w:rsidR="00715BD9" w:rsidRDefault="00715BD9" w:rsidP="00715BD9">
      <w:pPr>
        <w:jc w:val="both"/>
      </w:pPr>
      <w:r>
        <w:t>Temeljem rezultata ispitivanja odrede se funkcije gustoće otkaza, pouzdanosti i intenziteta otkaza, pa ih je moguće grafički prikazati.</w:t>
      </w:r>
    </w:p>
    <w:p w:rsidR="00715BD9" w:rsidRDefault="00715BD9" w:rsidP="00715BD9">
      <w:pPr>
        <w:ind w:firstLine="0"/>
      </w:pPr>
      <w:r>
        <w:t>SIMULACIJA:</w:t>
      </w:r>
    </w:p>
    <w:p w:rsidR="00715BD9" w:rsidRDefault="00715BD9" w:rsidP="00715BD9">
      <w:r>
        <w:t>Postavka izračuna rabeći izraze za statističko izračunavanje pokazatelja pouzdanosti:</w:t>
      </w:r>
    </w:p>
    <w:p w:rsidR="00715BD9" w:rsidRDefault="00715BD9" w:rsidP="00715BD9">
      <w:pPr>
        <w:jc w:val="center"/>
      </w:pPr>
      <w:r>
        <w:rPr>
          <w:noProof/>
          <w:lang w:eastAsia="hr-HR"/>
        </w:rPr>
        <w:drawing>
          <wp:inline distT="0" distB="0" distL="0" distR="0">
            <wp:extent cx="5760720" cy="561651"/>
            <wp:effectExtent l="19050" t="0" r="0" b="0"/>
            <wp:docPr id="26"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60720" cy="561651"/>
                    </a:xfrm>
                    <a:prstGeom prst="rect">
                      <a:avLst/>
                    </a:prstGeom>
                    <a:noFill/>
                    <a:ln w="9525">
                      <a:noFill/>
                      <a:miter lim="800000"/>
                      <a:headEnd/>
                      <a:tailEnd/>
                    </a:ln>
                  </pic:spPr>
                </pic:pic>
              </a:graphicData>
            </a:graphic>
          </wp:inline>
        </w:drawing>
      </w:r>
    </w:p>
    <w:p w:rsidR="00715BD9" w:rsidRDefault="00715BD9" w:rsidP="00715BD9">
      <w:r>
        <w:t>izračunavaju se njihove vrijednosti za svako vremensko razdoblje.</w:t>
      </w:r>
    </w:p>
    <w:p w:rsidR="00715BD9" w:rsidRPr="00C166F7" w:rsidRDefault="00715BD9" w:rsidP="00715BD9">
      <w:pPr>
        <w:pStyle w:val="Opisslike"/>
      </w:pPr>
      <w:bookmarkStart w:id="30" w:name="_Toc326099709"/>
      <w:bookmarkStart w:id="31" w:name="_Toc326100913"/>
      <w:bookmarkStart w:id="32" w:name="_Toc326106589"/>
      <w:bookmarkStart w:id="33" w:name="_Toc328557172"/>
      <w:r w:rsidRPr="00C166F7">
        <w:t xml:space="preserve">Tablica </w:t>
      </w:r>
      <w:fldSimple w:instr=" SEQ Tablica \* ARABIC ">
        <w:r>
          <w:rPr>
            <w:noProof/>
          </w:rPr>
          <w:t>16</w:t>
        </w:r>
      </w:fldSimple>
      <w:r w:rsidRPr="00C166F7">
        <w:t>.</w:t>
      </w:r>
      <w:r>
        <w:t xml:space="preserve"> </w:t>
      </w:r>
      <w:r w:rsidRPr="00C166F7">
        <w:t>Vrijednosti za izračun</w:t>
      </w:r>
      <w:r>
        <w:t xml:space="preserve"> funkcije gustoće</w:t>
      </w:r>
      <w:bookmarkEnd w:id="30"/>
      <w:bookmarkEnd w:id="31"/>
      <w:bookmarkEnd w:id="32"/>
      <w:r>
        <w:t>.</w:t>
      </w:r>
      <w:bookmarkEnd w:id="33"/>
    </w:p>
    <w:tbl>
      <w:tblPr>
        <w:tblStyle w:val="Reetkatablice"/>
        <w:tblW w:w="0" w:type="auto"/>
        <w:tblLook w:val="04A0"/>
      </w:tblPr>
      <w:tblGrid>
        <w:gridCol w:w="1857"/>
        <w:gridCol w:w="1857"/>
        <w:gridCol w:w="1858"/>
        <w:gridCol w:w="1858"/>
        <w:gridCol w:w="1858"/>
      </w:tblGrid>
      <w:tr w:rsidR="00715BD9" w:rsidTr="000C06CA">
        <w:trPr>
          <w:trHeight w:hRule="exact" w:val="680"/>
        </w:trPr>
        <w:tc>
          <w:tcPr>
            <w:tcW w:w="1857" w:type="dxa"/>
            <w:vAlign w:val="center"/>
          </w:tcPr>
          <w:p w:rsidR="00715BD9" w:rsidRDefault="00715BD9" w:rsidP="000C06CA">
            <w:pPr>
              <w:jc w:val="center"/>
            </w:pPr>
            <w:r>
              <w:t>Vremenski interval t</w:t>
            </w:r>
          </w:p>
        </w:tc>
        <w:tc>
          <w:tcPr>
            <w:tcW w:w="1857" w:type="dxa"/>
            <w:vAlign w:val="center"/>
          </w:tcPr>
          <w:p w:rsidR="00715BD9" w:rsidRDefault="00715BD9" w:rsidP="000C06CA">
            <w:pPr>
              <w:jc w:val="center"/>
            </w:pPr>
            <w:r>
              <w:t xml:space="preserve">Broj otkaza </w:t>
            </w:r>
            <w:r>
              <w:sym w:font="Symbol" w:char="F044"/>
            </w:r>
            <w:r>
              <w:t>n(t,</w:t>
            </w:r>
            <w:r>
              <w:sym w:font="Symbol" w:char="F044"/>
            </w:r>
            <w:r>
              <w:t xml:space="preserve"> t)</w:t>
            </w:r>
          </w:p>
        </w:tc>
        <w:tc>
          <w:tcPr>
            <w:tcW w:w="1858" w:type="dxa"/>
            <w:vAlign w:val="center"/>
          </w:tcPr>
          <w:p w:rsidR="00715BD9" w:rsidRDefault="00715BD9" w:rsidP="000C06CA">
            <w:pPr>
              <w:jc w:val="center"/>
            </w:pPr>
            <w:r>
              <w:t>F(t)</w:t>
            </w:r>
          </w:p>
        </w:tc>
        <w:tc>
          <w:tcPr>
            <w:tcW w:w="1858" w:type="dxa"/>
            <w:vAlign w:val="center"/>
          </w:tcPr>
          <w:p w:rsidR="00715BD9" w:rsidRDefault="00715BD9" w:rsidP="000C06CA">
            <w:pPr>
              <w:jc w:val="center"/>
            </w:pPr>
            <w:r>
              <w:t>R(t)</w:t>
            </w:r>
          </w:p>
        </w:tc>
        <w:tc>
          <w:tcPr>
            <w:tcW w:w="1858" w:type="dxa"/>
            <w:vAlign w:val="center"/>
          </w:tcPr>
          <w:p w:rsidR="00715BD9" w:rsidRDefault="00715BD9" w:rsidP="000C06CA">
            <w:pPr>
              <w:jc w:val="center"/>
            </w:pPr>
            <w:r>
              <w:sym w:font="Symbol" w:char="F06C"/>
            </w:r>
            <w:r>
              <w:t>(t)</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0</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1</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2</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3</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4</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5</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6</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7</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8</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9</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10</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bl>
    <w:p w:rsidR="00715BD9" w:rsidRDefault="00715BD9" w:rsidP="00715BD9"/>
    <w:p w:rsidR="00715BD9" w:rsidRDefault="00715BD9" w:rsidP="00715BD9">
      <w:pPr>
        <w:jc w:val="both"/>
      </w:pPr>
      <w:r>
        <w:t>Temeljem rezultata ispitivanja odrede se funkcije gustoće otkaza, pouzdanosti i intenziteta otkaza, te ih je moguće grafički prikazati, kao postavke grafičkog izračuna.</w:t>
      </w:r>
      <w:r w:rsidRPr="00392CAA">
        <w:t xml:space="preserve">  </w:t>
      </w:r>
    </w:p>
    <w:p w:rsidR="00715BD9" w:rsidRDefault="00715BD9" w:rsidP="00715BD9"/>
    <w:p w:rsidR="00715BD9" w:rsidRDefault="00715BD9" w:rsidP="00715BD9">
      <w:pPr>
        <w:ind w:firstLine="0"/>
        <w:jc w:val="center"/>
      </w:pPr>
      <w:r>
        <w:rPr>
          <w:noProof/>
          <w:lang w:eastAsia="hr-HR"/>
        </w:rPr>
        <w:drawing>
          <wp:inline distT="0" distB="0" distL="0" distR="0">
            <wp:extent cx="4219048" cy="2495238"/>
            <wp:effectExtent l="19050" t="19050" r="10052" b="19362"/>
            <wp:docPr id="67" name="Slika 66"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1" cstate="print"/>
                    <a:stretch>
                      <a:fillRect/>
                    </a:stretch>
                  </pic:blipFill>
                  <pic:spPr>
                    <a:xfrm>
                      <a:off x="0" y="0"/>
                      <a:ext cx="4219048" cy="2495238"/>
                    </a:xfrm>
                    <a:prstGeom prst="rect">
                      <a:avLst/>
                    </a:prstGeom>
                    <a:ln>
                      <a:solidFill>
                        <a:schemeClr val="accent1"/>
                      </a:solidFill>
                    </a:ln>
                  </pic:spPr>
                </pic:pic>
              </a:graphicData>
            </a:graphic>
          </wp:inline>
        </w:drawing>
      </w:r>
    </w:p>
    <w:p w:rsidR="00715BD9" w:rsidRDefault="00715BD9" w:rsidP="00715BD9">
      <w:pPr>
        <w:pStyle w:val="Opisslike"/>
      </w:pPr>
      <w:bookmarkStart w:id="34" w:name="_Toc326106616"/>
    </w:p>
    <w:p w:rsidR="00715BD9" w:rsidRPr="00ED54E2" w:rsidRDefault="00715BD9" w:rsidP="00715BD9">
      <w:pPr>
        <w:pStyle w:val="Opisslike"/>
      </w:pPr>
      <w:bookmarkStart w:id="35" w:name="_Toc327034040"/>
      <w:bookmarkStart w:id="36" w:name="_Toc327034742"/>
      <w:bookmarkStart w:id="37" w:name="_Toc327035396"/>
      <w:bookmarkStart w:id="38" w:name="_Toc328557225"/>
      <w:r>
        <w:t xml:space="preserve">Slika </w:t>
      </w:r>
      <w:proofErr w:type="spellStart"/>
      <w:r w:rsidR="00707F47">
        <w:t>bb</w:t>
      </w:r>
      <w:proofErr w:type="spellEnd"/>
      <w:r w:rsidRPr="00ED54E2">
        <w:t>.</w:t>
      </w:r>
      <w:r>
        <w:t xml:space="preserve"> </w:t>
      </w:r>
      <w:r w:rsidRPr="00ED54E2">
        <w:t xml:space="preserve">Funkcija gustoće otkaza programske </w:t>
      </w:r>
      <w:r>
        <w:t>podrške</w:t>
      </w:r>
      <w:r w:rsidRPr="00ED54E2">
        <w:t>.</w:t>
      </w:r>
      <w:bookmarkEnd w:id="35"/>
      <w:bookmarkEnd w:id="36"/>
      <w:bookmarkEnd w:id="37"/>
      <w:bookmarkEnd w:id="38"/>
    </w:p>
    <w:p w:rsidR="00715BD9" w:rsidRDefault="00715BD9" w:rsidP="00715BD9">
      <w:pPr>
        <w:pStyle w:val="Opisslike"/>
      </w:pPr>
    </w:p>
    <w:bookmarkEnd w:id="34"/>
    <w:p w:rsidR="00715BD9" w:rsidRDefault="00715BD9" w:rsidP="00715BD9">
      <w:pPr>
        <w:ind w:firstLine="0"/>
        <w:jc w:val="center"/>
      </w:pPr>
      <w:r>
        <w:rPr>
          <w:noProof/>
          <w:lang w:eastAsia="hr-HR"/>
        </w:rPr>
        <w:drawing>
          <wp:inline distT="0" distB="0" distL="0" distR="0">
            <wp:extent cx="4114286" cy="2647619"/>
            <wp:effectExtent l="19050" t="19050" r="19564" b="19381"/>
            <wp:docPr id="68" name="Slika 67"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2" cstate="print"/>
                    <a:stretch>
                      <a:fillRect/>
                    </a:stretch>
                  </pic:blipFill>
                  <pic:spPr>
                    <a:xfrm>
                      <a:off x="0" y="0"/>
                      <a:ext cx="4114286" cy="2647619"/>
                    </a:xfrm>
                    <a:prstGeom prst="rect">
                      <a:avLst/>
                    </a:prstGeom>
                    <a:ln>
                      <a:solidFill>
                        <a:schemeClr val="accent1"/>
                      </a:solidFill>
                    </a:ln>
                  </pic:spPr>
                </pic:pic>
              </a:graphicData>
            </a:graphic>
          </wp:inline>
        </w:drawing>
      </w:r>
    </w:p>
    <w:p w:rsidR="00715BD9" w:rsidRDefault="00715BD9" w:rsidP="00715BD9">
      <w:pPr>
        <w:pStyle w:val="Opisslike"/>
      </w:pPr>
      <w:bookmarkStart w:id="39" w:name="_Toc326106617"/>
    </w:p>
    <w:p w:rsidR="00715BD9" w:rsidRDefault="00715BD9" w:rsidP="00715BD9">
      <w:pPr>
        <w:pStyle w:val="Opisslike"/>
      </w:pPr>
      <w:bookmarkStart w:id="40" w:name="_Toc327034041"/>
      <w:bookmarkStart w:id="41" w:name="_Toc327034743"/>
      <w:bookmarkStart w:id="42" w:name="_Toc327035397"/>
      <w:bookmarkStart w:id="43" w:name="_Toc328557226"/>
      <w:r>
        <w:t xml:space="preserve">Slika </w:t>
      </w:r>
      <w:fldSimple w:instr=" SEQ Slika \* ARABIC ">
        <w:r>
          <w:rPr>
            <w:noProof/>
          </w:rPr>
          <w:t>23</w:t>
        </w:r>
      </w:fldSimple>
      <w:r w:rsidRPr="00052C36">
        <w:t>.</w:t>
      </w:r>
      <w:r>
        <w:t xml:space="preserve"> </w:t>
      </w:r>
      <w:r w:rsidRPr="00052C36">
        <w:t xml:space="preserve">Funkcija pouzdanosti programske </w:t>
      </w:r>
      <w:r>
        <w:t>podrške</w:t>
      </w:r>
      <w:r w:rsidRPr="00052C36">
        <w:t>.</w:t>
      </w:r>
      <w:bookmarkEnd w:id="40"/>
      <w:bookmarkEnd w:id="41"/>
      <w:bookmarkEnd w:id="42"/>
      <w:bookmarkEnd w:id="43"/>
    </w:p>
    <w:bookmarkEnd w:id="39"/>
    <w:p w:rsidR="00715BD9" w:rsidRDefault="00715BD9" w:rsidP="00715BD9">
      <w:pPr>
        <w:ind w:firstLine="0"/>
        <w:jc w:val="center"/>
      </w:pPr>
      <w:r>
        <w:rPr>
          <w:noProof/>
          <w:lang w:eastAsia="hr-HR"/>
        </w:rPr>
        <w:drawing>
          <wp:inline distT="0" distB="0" distL="0" distR="0">
            <wp:extent cx="4400000" cy="2571429"/>
            <wp:effectExtent l="19050" t="19050" r="19600" b="19371"/>
            <wp:docPr id="69" name="Slika 68"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3" cstate="print"/>
                    <a:stretch>
                      <a:fillRect/>
                    </a:stretch>
                  </pic:blipFill>
                  <pic:spPr>
                    <a:xfrm>
                      <a:off x="0" y="0"/>
                      <a:ext cx="4400000" cy="2571429"/>
                    </a:xfrm>
                    <a:prstGeom prst="rect">
                      <a:avLst/>
                    </a:prstGeom>
                    <a:ln>
                      <a:solidFill>
                        <a:schemeClr val="accent1"/>
                      </a:solidFill>
                    </a:ln>
                  </pic:spPr>
                </pic:pic>
              </a:graphicData>
            </a:graphic>
          </wp:inline>
        </w:drawing>
      </w:r>
    </w:p>
    <w:p w:rsidR="00715BD9" w:rsidRDefault="00715BD9" w:rsidP="00715BD9">
      <w:pPr>
        <w:pStyle w:val="Opisslike"/>
      </w:pPr>
      <w:bookmarkStart w:id="44" w:name="_Toc326106618"/>
    </w:p>
    <w:p w:rsidR="00715BD9" w:rsidRDefault="00715BD9" w:rsidP="00715BD9">
      <w:pPr>
        <w:pStyle w:val="Opisslike"/>
      </w:pPr>
      <w:bookmarkStart w:id="45" w:name="_Toc327034042"/>
      <w:bookmarkStart w:id="46" w:name="_Toc327034744"/>
      <w:bookmarkStart w:id="47" w:name="_Toc327035398"/>
      <w:bookmarkStart w:id="48" w:name="_Toc328557227"/>
      <w:r>
        <w:t xml:space="preserve">Slika </w:t>
      </w:r>
      <w:fldSimple w:instr=" SEQ Slika \* ARABIC ">
        <w:r>
          <w:rPr>
            <w:noProof/>
          </w:rPr>
          <w:t>24</w:t>
        </w:r>
      </w:fldSimple>
      <w:r w:rsidRPr="00052C36">
        <w:t>.</w:t>
      </w:r>
      <w:r>
        <w:t xml:space="preserve"> </w:t>
      </w:r>
      <w:r w:rsidRPr="00052C36">
        <w:t>Funkcija inte</w:t>
      </w:r>
      <w:r>
        <w:t>n</w:t>
      </w:r>
      <w:r w:rsidRPr="00052C36">
        <w:t xml:space="preserve">ziteta otkaza programske </w:t>
      </w:r>
      <w:r>
        <w:t>podrške</w:t>
      </w:r>
      <w:r w:rsidRPr="00052C36">
        <w:t>.</w:t>
      </w:r>
      <w:bookmarkEnd w:id="45"/>
      <w:bookmarkEnd w:id="46"/>
      <w:bookmarkEnd w:id="47"/>
      <w:bookmarkEnd w:id="48"/>
    </w:p>
    <w:bookmarkEnd w:id="44"/>
    <w:p w:rsidR="00715BD9" w:rsidRDefault="00715BD9" w:rsidP="00715BD9">
      <w:pPr>
        <w:jc w:val="both"/>
      </w:pPr>
    </w:p>
    <w:p w:rsidR="00715BD9" w:rsidRDefault="00715BD9" w:rsidP="00715BD9">
      <w:pPr>
        <w:jc w:val="both"/>
      </w:pPr>
      <w:r>
        <w:t>Ovim dosadašnjim prikazom uspostavljeni su analitički izrazi za pouzdanost i intenzitet otkaza s grafičkim prikazom istih. Funkcija gustoće otkaza konstantna je za razdoblje vremena t1&lt;t&lt;t2.</w:t>
      </w:r>
    </w:p>
    <w:p w:rsidR="00715BD9" w:rsidRDefault="00715BD9" w:rsidP="00715BD9">
      <w:pPr>
        <w:jc w:val="both"/>
      </w:pPr>
      <w:r>
        <w:t xml:space="preserve">Ovo su neki od pogleda formalno analitičkih izraza na model dizajna testa </w:t>
      </w:r>
      <w:proofErr w:type="spellStart"/>
      <w:r w:rsidRPr="00AF5EE5">
        <w:rPr>
          <w:i/>
        </w:rPr>
        <w:t>software</w:t>
      </w:r>
      <w:proofErr w:type="spellEnd"/>
      <w:r>
        <w:t xml:space="preserve">-a. </w:t>
      </w:r>
    </w:p>
    <w:p w:rsidR="00715BD9" w:rsidRDefault="00715BD9" w:rsidP="00707F47">
      <w:pPr>
        <w:jc w:val="both"/>
      </w:pPr>
      <w:r>
        <w:t>Temeljem rezultata izračuna, određene su funkcije gustoće otkaza, pouzdanosti i intenziteta otkaza, te se može zaključiti da je sa ovim formalno postavljenim izračunom,  programska podrška 100% zadovoljila uvjete testiranja.</w:t>
      </w:r>
      <w:r w:rsidR="00707F47">
        <w:t xml:space="preserve"> </w:t>
      </w:r>
    </w:p>
    <w:p w:rsidR="007E15D9" w:rsidRDefault="007E15D9"/>
    <w:sectPr w:rsidR="007E15D9" w:rsidSect="00715B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F5B" w:rsidRDefault="00B34F5B" w:rsidP="00715BD9">
      <w:pPr>
        <w:spacing w:before="0" w:after="0" w:line="240" w:lineRule="auto"/>
      </w:pPr>
      <w:r>
        <w:separator/>
      </w:r>
    </w:p>
  </w:endnote>
  <w:endnote w:type="continuationSeparator" w:id="0">
    <w:p w:rsidR="00B34F5B" w:rsidRDefault="00B34F5B" w:rsidP="00715BD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F5B" w:rsidRDefault="00B34F5B" w:rsidP="00715BD9">
      <w:pPr>
        <w:spacing w:before="0" w:after="0" w:line="240" w:lineRule="auto"/>
      </w:pPr>
      <w:r>
        <w:separator/>
      </w:r>
    </w:p>
  </w:footnote>
  <w:footnote w:type="continuationSeparator" w:id="0">
    <w:p w:rsidR="00B34F5B" w:rsidRDefault="00B34F5B" w:rsidP="00715BD9">
      <w:pPr>
        <w:spacing w:before="0" w:after="0" w:line="240" w:lineRule="auto"/>
      </w:pPr>
      <w:r>
        <w:continuationSeparator/>
      </w:r>
    </w:p>
  </w:footnote>
  <w:footnote w:id="1">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Prema literaturi u popisu literature[1</w:t>
      </w:r>
      <w:r>
        <w:rPr>
          <w:sz w:val="18"/>
          <w:szCs w:val="18"/>
        </w:rPr>
        <w:t>.</w:t>
      </w:r>
      <w:r w:rsidRPr="00F64D42">
        <w:rPr>
          <w:sz w:val="18"/>
          <w:szCs w:val="18"/>
        </w:rPr>
        <w:t>]</w:t>
      </w:r>
    </w:p>
  </w:footnote>
  <w:footnote w:id="2">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 w:id="3">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 w:id="4">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02825"/>
    <w:multiLevelType w:val="multilevel"/>
    <w:tmpl w:val="75F6F0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rsids>
    <w:rsidRoot w:val="00715BD9"/>
    <w:rsid w:val="006A5701"/>
    <w:rsid w:val="00707F47"/>
    <w:rsid w:val="00715BD9"/>
    <w:rsid w:val="007E15D9"/>
    <w:rsid w:val="0084182D"/>
    <w:rsid w:val="00853E82"/>
    <w:rsid w:val="009558BE"/>
    <w:rsid w:val="00B34F5B"/>
    <w:rsid w:val="00B8021A"/>
    <w:rsid w:val="00E96678"/>
    <w:rsid w:val="00EC5A9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line="360" w:lineRule="auto"/>
        <w:ind w:firstLine="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D9"/>
    <w:pPr>
      <w:spacing w:before="120" w:after="120"/>
      <w:ind w:firstLine="709"/>
      <w:jc w:val="left"/>
    </w:pPr>
    <w:rPr>
      <w:rFonts w:ascii="Arial" w:hAnsi="Arial"/>
    </w:rPr>
  </w:style>
  <w:style w:type="paragraph" w:styleId="Naslov2">
    <w:name w:val="heading 2"/>
    <w:basedOn w:val="Normal"/>
    <w:next w:val="Normal"/>
    <w:link w:val="Naslov2Char"/>
    <w:uiPriority w:val="9"/>
    <w:unhideWhenUsed/>
    <w:qFormat/>
    <w:rsid w:val="00715BD9"/>
    <w:pPr>
      <w:keepNext/>
      <w:keepLines/>
      <w:spacing w:before="0" w:after="0"/>
      <w:outlineLvl w:val="1"/>
    </w:pPr>
    <w:rPr>
      <w:rFonts w:asciiTheme="majorHAnsi" w:eastAsiaTheme="majorEastAsia" w:hAnsiTheme="majorHAnsi" w:cstheme="majorBidi"/>
      <w:b/>
      <w:bCs/>
      <w:color w:val="002060"/>
      <w:sz w:val="26"/>
      <w:szCs w:val="26"/>
    </w:rPr>
  </w:style>
  <w:style w:type="paragraph" w:styleId="Naslov3">
    <w:name w:val="heading 3"/>
    <w:basedOn w:val="Normal"/>
    <w:next w:val="Normal"/>
    <w:link w:val="Naslov3Char"/>
    <w:uiPriority w:val="9"/>
    <w:unhideWhenUsed/>
    <w:qFormat/>
    <w:rsid w:val="00715BD9"/>
    <w:pPr>
      <w:keepNext/>
      <w:keepLines/>
      <w:spacing w:before="200" w:after="0"/>
      <w:ind w:left="3402" w:firstLine="0"/>
      <w:outlineLvl w:val="2"/>
    </w:pPr>
    <w:rPr>
      <w:rFonts w:asciiTheme="majorHAnsi" w:eastAsiaTheme="majorEastAsia" w:hAnsiTheme="majorHAnsi" w:cstheme="majorBidi"/>
      <w:b/>
      <w:bCs/>
      <w:color w:val="5B9BD5" w:themeColor="accent1"/>
    </w:rPr>
  </w:style>
  <w:style w:type="paragraph" w:styleId="Naslov4">
    <w:name w:val="heading 4"/>
    <w:basedOn w:val="Normal"/>
    <w:next w:val="Normal"/>
    <w:link w:val="Naslov4Char"/>
    <w:uiPriority w:val="9"/>
    <w:unhideWhenUsed/>
    <w:qFormat/>
    <w:rsid w:val="00715BD9"/>
    <w:pPr>
      <w:keepNext/>
      <w:keepLines/>
      <w:tabs>
        <w:tab w:val="left" w:pos="142"/>
      </w:tabs>
      <w:spacing w:before="200" w:after="0"/>
      <w:outlineLvl w:val="3"/>
    </w:pPr>
    <w:rPr>
      <w:rFonts w:asciiTheme="majorHAnsi" w:eastAsiaTheme="majorEastAsia" w:hAnsiTheme="majorHAnsi" w:cstheme="majorBidi"/>
      <w:b/>
      <w:bCs/>
      <w:i/>
      <w:iCs/>
      <w:color w:val="5B9BD5"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715BD9"/>
    <w:rPr>
      <w:rFonts w:asciiTheme="majorHAnsi" w:eastAsiaTheme="majorEastAsia" w:hAnsiTheme="majorHAnsi" w:cstheme="majorBidi"/>
      <w:b/>
      <w:bCs/>
      <w:color w:val="002060"/>
      <w:sz w:val="26"/>
      <w:szCs w:val="26"/>
    </w:rPr>
  </w:style>
  <w:style w:type="character" w:customStyle="1" w:styleId="Naslov3Char">
    <w:name w:val="Naslov 3 Char"/>
    <w:basedOn w:val="Zadanifontodlomka"/>
    <w:link w:val="Naslov3"/>
    <w:uiPriority w:val="9"/>
    <w:rsid w:val="00715BD9"/>
    <w:rPr>
      <w:rFonts w:asciiTheme="majorHAnsi" w:eastAsiaTheme="majorEastAsia" w:hAnsiTheme="majorHAnsi" w:cstheme="majorBidi"/>
      <w:b/>
      <w:bCs/>
      <w:color w:val="5B9BD5" w:themeColor="accent1"/>
    </w:rPr>
  </w:style>
  <w:style w:type="character" w:customStyle="1" w:styleId="Naslov4Char">
    <w:name w:val="Naslov 4 Char"/>
    <w:basedOn w:val="Zadanifontodlomka"/>
    <w:link w:val="Naslov4"/>
    <w:uiPriority w:val="9"/>
    <w:rsid w:val="00715BD9"/>
    <w:rPr>
      <w:rFonts w:asciiTheme="majorHAnsi" w:eastAsiaTheme="majorEastAsia" w:hAnsiTheme="majorHAnsi" w:cstheme="majorBidi"/>
      <w:b/>
      <w:bCs/>
      <w:i/>
      <w:iCs/>
      <w:color w:val="5B9BD5" w:themeColor="accent1"/>
    </w:rPr>
  </w:style>
  <w:style w:type="table" w:styleId="Reetkatablice">
    <w:name w:val="Table Grid"/>
    <w:basedOn w:val="Obinatablica"/>
    <w:uiPriority w:val="59"/>
    <w:rsid w:val="00715BD9"/>
    <w:pPr>
      <w:spacing w:line="240" w:lineRule="auto"/>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pisslike">
    <w:name w:val="caption"/>
    <w:basedOn w:val="Normal"/>
    <w:next w:val="Normal"/>
    <w:uiPriority w:val="35"/>
    <w:unhideWhenUsed/>
    <w:qFormat/>
    <w:rsid w:val="00715BD9"/>
    <w:pPr>
      <w:spacing w:before="0" w:after="200" w:line="240" w:lineRule="auto"/>
      <w:jc w:val="center"/>
    </w:pPr>
    <w:rPr>
      <w:b/>
      <w:bCs/>
      <w:color w:val="5B9BD5" w:themeColor="accent1"/>
    </w:rPr>
  </w:style>
  <w:style w:type="paragraph" w:styleId="Tekstfusnote">
    <w:name w:val="footnote text"/>
    <w:basedOn w:val="Normal"/>
    <w:link w:val="TekstfusnoteChar"/>
    <w:uiPriority w:val="99"/>
    <w:unhideWhenUsed/>
    <w:rsid w:val="00715BD9"/>
    <w:pPr>
      <w:spacing w:before="0" w:after="0" w:line="240" w:lineRule="auto"/>
    </w:pPr>
    <w:rPr>
      <w:sz w:val="20"/>
      <w:szCs w:val="20"/>
    </w:rPr>
  </w:style>
  <w:style w:type="character" w:customStyle="1" w:styleId="TekstfusnoteChar">
    <w:name w:val="Tekst fusnote Char"/>
    <w:basedOn w:val="Zadanifontodlomka"/>
    <w:link w:val="Tekstfusnote"/>
    <w:uiPriority w:val="99"/>
    <w:rsid w:val="00715BD9"/>
    <w:rPr>
      <w:rFonts w:ascii="Arial" w:hAnsi="Arial"/>
      <w:sz w:val="20"/>
      <w:szCs w:val="20"/>
    </w:rPr>
  </w:style>
  <w:style w:type="character" w:styleId="Referencafusnote">
    <w:name w:val="footnote reference"/>
    <w:basedOn w:val="Zadanifontodlomka"/>
    <w:uiPriority w:val="99"/>
    <w:semiHidden/>
    <w:unhideWhenUsed/>
    <w:rsid w:val="00715BD9"/>
    <w:rPr>
      <w:vertAlign w:val="superscript"/>
    </w:rPr>
  </w:style>
  <w:style w:type="paragraph" w:styleId="Tekstbalonia">
    <w:name w:val="Balloon Text"/>
    <w:basedOn w:val="Normal"/>
    <w:link w:val="TekstbaloniaChar"/>
    <w:uiPriority w:val="99"/>
    <w:semiHidden/>
    <w:unhideWhenUsed/>
    <w:rsid w:val="00715BD9"/>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715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 Zdunić</dc:creator>
  <cp:lastModifiedBy>Tomislav Zdunić</cp:lastModifiedBy>
  <cp:revision>3</cp:revision>
  <dcterms:created xsi:type="dcterms:W3CDTF">2014-07-06T23:46:00Z</dcterms:created>
  <dcterms:modified xsi:type="dcterms:W3CDTF">2014-07-07T00:01:00Z</dcterms:modified>
</cp:coreProperties>
</file>