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i/>
          <w:color w:val="5A5D51"/>
          <w:sz w:val="20"/>
        </w:rPr>
        <w:t>Úvod do toxikologie 2026 · Individuální/skupinový úkol</w:t>
      </w:r>
    </w:p>
    <w:p>
      <w:pPr>
        <w:spacing w:after="280"/>
        <w:jc w:val="center"/>
      </w:pPr>
      <w:r>
        <w:rPr>
          <w:b/>
          <w:color w:val="2A3F2D"/>
          <w:sz w:val="40"/>
        </w:rPr>
        <w:t>Toxikokinetika a toxikodynamika aktuálně užívané drogy (užívaných drog)</w:t>
      </w:r>
    </w:p>
    <w:p>
      <w:pPr>
        <w:spacing w:after="200"/>
      </w:pPr>
      <w:r>
        <w:rPr>
          <w:b/>
          <w:sz w:val="22"/>
        </w:rPr>
        <w:t xml:space="preserve">Číslo studujícího: </w:t>
      </w:r>
      <w:r>
        <w:rPr>
          <w:sz w:val="22"/>
        </w:rPr>
        <w:t>_______________</w:t>
      </w:r>
    </w:p>
    <w:p>
      <w:pPr>
        <w:spacing w:after="200"/>
      </w:pPr>
      <w:r>
        <w:rPr>
          <w:b/>
          <w:sz w:val="22"/>
        </w:rPr>
        <w:t xml:space="preserve">Přidělená látka: </w:t>
      </w:r>
      <w:r>
        <w:rPr>
          <w:sz w:val="22"/>
        </w:rPr>
        <w:t>_____________________________________________</w:t>
      </w:r>
    </w:p>
    <w:p>
      <w:pPr>
        <w:spacing w:after="80"/>
      </w:pPr>
    </w:p>
    <w:p>
      <w:pPr>
        <w:spacing w:after="160"/>
      </w:pPr>
      <w:r>
        <w:rPr>
          <w:b w:val="0"/>
          <w:i/>
          <w:color w:val="5A5D51"/>
          <w:sz w:val="20"/>
        </w:rPr>
        <w:t>Zpracujte samostatně/ve skupině níže uvedené okruhy pro svou přidělenou látku/vaše přidělené látky. Využijte znalosti a koncepty probrané v přednáškách 1–4 a odkazujte se na ně přímo (např. „viz Henderson–Hasselbalchova rovnice, přednáška 3“). Doporučený rozsah: 2–3 normostrany textu (bez obrázků a seznamu zdrojů) na jednu látku.</w:t>
      </w:r>
    </w:p>
    <w:p>
      <w:pPr>
        <w:spacing w:before="280" w:after="120"/>
      </w:pPr>
      <w:r>
        <w:rPr>
          <w:b/>
          <w:color w:val="2A3F2D"/>
          <w:sz w:val="30"/>
        </w:rPr>
        <w:t>1. Identifikace látky</w:t>
      </w:r>
    </w:p>
    <w:p>
      <w:pPr>
        <w:pStyle w:val="ListBullet"/>
        <w:spacing w:after="100"/>
      </w:pPr>
      <w:r>
        <w:rPr>
          <w:sz w:val="22"/>
        </w:rPr>
        <w:t>Název (čj i aj), běžné slangové názvy</w:t>
      </w:r>
    </w:p>
    <w:p>
      <w:pPr>
        <w:pStyle w:val="ListBullet"/>
        <w:spacing w:after="100"/>
      </w:pPr>
      <w:r>
        <w:rPr>
          <w:sz w:val="22"/>
        </w:rPr>
        <w:t>Chemická třída a strukturní vzorec, CAS číslo</w:t>
      </w:r>
    </w:p>
    <w:p>
      <w:pPr>
        <w:pStyle w:val="ListBullet"/>
        <w:spacing w:after="100"/>
      </w:pPr>
      <w:r>
        <w:rPr>
          <w:sz w:val="22"/>
        </w:rPr>
        <w:t>Legální status v ČR (návyková látka dle zákona, léčivo, NPS…)</w:t>
      </w:r>
    </w:p>
    <w:p>
      <w:pPr>
        <w:spacing w:after="3600"/>
        <w:pBdr>
          <w:bottom w:val="single" w:sz="4" w:space="1" w:color="D6D6C6"/>
        </w:pBdr>
      </w:pPr>
    </w:p>
    <w:p>
      <w:pPr>
        <w:spacing w:before="280" w:after="120"/>
      </w:pPr>
      <w:r>
        <w:rPr>
          <w:b/>
          <w:color w:val="2A3F2D"/>
          <w:sz w:val="30"/>
        </w:rPr>
        <w:t>2. Toxikokinetika</w:t>
      </w:r>
    </w:p>
    <w:p>
      <w:pPr>
        <w:pStyle w:val="ListBullet"/>
        <w:spacing w:after="100"/>
      </w:pPr>
      <w:r>
        <w:rPr>
          <w:sz w:val="22"/>
        </w:rPr>
        <w:t>Cesta vstupu typická pro rekreační/zneužívající užití (p.o., inhalace/kouření, intranazálně, injekčně…) a co to znamená pro rychlost nástupu účinku</w:t>
      </w:r>
    </w:p>
    <w:p>
      <w:pPr>
        <w:pStyle w:val="ListBullet"/>
        <w:spacing w:after="100"/>
      </w:pPr>
      <w:r>
        <w:rPr>
          <w:sz w:val="22"/>
        </w:rPr>
        <w:t>Ionizace a pKa — jak ovlivňuje vstřebávání</w:t>
      </w:r>
    </w:p>
    <w:p>
      <w:pPr>
        <w:pStyle w:val="ListBullet"/>
        <w:spacing w:after="100"/>
      </w:pPr>
      <w:r>
        <w:rPr>
          <w:sz w:val="22"/>
        </w:rPr>
        <w:t>Distribuce — lipofilita, vazba na plazmatické proteiny, průchod hematoencefalickou bariérou (klíčové u látek působících na CNS), případný depot</w:t>
      </w:r>
    </w:p>
    <w:p>
      <w:pPr>
        <w:pStyle w:val="ListBullet"/>
        <w:spacing w:after="100"/>
      </w:pPr>
      <w:r>
        <w:rPr>
          <w:sz w:val="22"/>
        </w:rPr>
        <w:t>Biotransformace — které enzymy (CYP, jiné), vzniká aktivní/toxický metabolit? Jde o detoxikaci, nebo bioaktivaci?</w:t>
      </w:r>
    </w:p>
    <w:p>
      <w:pPr>
        <w:pStyle w:val="ListBullet"/>
        <w:spacing w:after="100"/>
      </w:pPr>
      <w:r>
        <w:rPr>
          <w:sz w:val="22"/>
        </w:rPr>
        <w:t>Eliminace — kinetika (řád), přibližný biologický poločas, význam pro dobu detekovatelnosti</w:t>
      </w:r>
    </w:p>
    <w:p>
      <w:pPr>
        <w:spacing w:after="3600"/>
        <w:pBdr>
          <w:bottom w:val="single" w:sz="4" w:space="1" w:color="D6D6C6"/>
        </w:pBdr>
      </w:pPr>
    </w:p>
    <w:p>
      <w:r>
        <w:br w:type="page"/>
      </w:r>
    </w:p>
    <w:p>
      <w:pPr>
        <w:spacing w:before="280" w:after="120"/>
      </w:pPr>
      <w:r>
        <w:rPr>
          <w:b/>
          <w:color w:val="2A3F2D"/>
          <w:sz w:val="30"/>
        </w:rPr>
        <w:t>3. Toxikodynamika</w:t>
      </w:r>
    </w:p>
    <w:p>
      <w:pPr>
        <w:pStyle w:val="ListBullet"/>
        <w:spacing w:after="100"/>
      </w:pPr>
      <w:r>
        <w:rPr>
          <w:sz w:val="22"/>
        </w:rPr>
        <w:t>Molekulární cíl — receptor, iontový kanál, enzym, transportér</w:t>
      </w:r>
    </w:p>
    <w:p>
      <w:pPr>
        <w:pStyle w:val="ListBullet"/>
        <w:spacing w:after="100"/>
      </w:pPr>
      <w:r>
        <w:rPr>
          <w:sz w:val="22"/>
        </w:rPr>
        <w:t>Typ interakce — agonista, antagonista, inhibitor zpětného vychytávání…</w:t>
      </w:r>
    </w:p>
    <w:p>
      <w:pPr>
        <w:pStyle w:val="ListBullet"/>
        <w:spacing w:after="100"/>
      </w:pPr>
      <w:r>
        <w:rPr>
          <w:sz w:val="22"/>
        </w:rPr>
        <w:t>Mechanismus akutní toxicity a předávkování — co se děje na buněčné/orgánové úrovni</w:t>
      </w:r>
    </w:p>
    <w:p>
      <w:pPr>
        <w:pStyle w:val="ListBullet"/>
        <w:spacing w:after="100"/>
      </w:pPr>
      <w:r>
        <w:rPr>
          <w:sz w:val="22"/>
        </w:rPr>
        <w:t>Tolerance a závislost — mechanismus (např. down-regulace receptorů), abstinenční příznaky</w:t>
      </w:r>
    </w:p>
    <w:p>
      <w:pPr>
        <w:spacing w:after="3600"/>
        <w:pBdr>
          <w:bottom w:val="single" w:sz="4" w:space="1" w:color="D6D6C6"/>
        </w:pBdr>
      </w:pPr>
    </w:p>
    <w:p>
      <w:pPr>
        <w:spacing w:before="280" w:after="120"/>
      </w:pPr>
      <w:r>
        <w:rPr>
          <w:b/>
          <w:color w:val="2A3F2D"/>
          <w:sz w:val="30"/>
        </w:rPr>
        <w:t>4. Reálný rozměr</w:t>
      </w:r>
    </w:p>
    <w:p>
      <w:pPr>
        <w:pStyle w:val="ListBullet"/>
        <w:spacing w:after="100"/>
      </w:pPr>
      <w:r>
        <w:rPr>
          <w:sz w:val="22"/>
        </w:rPr>
        <w:t>Konkrétní kazuistika nebo epidemiologická data (reálný případ otravy/úmrtí, pokud dohledatelný)</w:t>
      </w:r>
    </w:p>
    <w:p>
      <w:pPr>
        <w:pStyle w:val="ListBullet"/>
        <w:spacing w:after="100"/>
      </w:pPr>
      <w:r>
        <w:rPr>
          <w:sz w:val="22"/>
        </w:rPr>
        <w:t>Významné lékové/drogové interakce (často přes sdílený CYP enzym)</w:t>
      </w:r>
    </w:p>
    <w:p>
      <w:pPr>
        <w:pStyle w:val="ListBullet"/>
        <w:spacing w:after="100"/>
      </w:pPr>
      <w:r>
        <w:rPr>
          <w:sz w:val="22"/>
        </w:rPr>
        <w:t>Antidotum nebo léčba, pokud existuje</w:t>
      </w:r>
    </w:p>
    <w:p>
      <w:pPr>
        <w:spacing w:after="3600"/>
        <w:pBdr>
          <w:bottom w:val="single" w:sz="4" w:space="1" w:color="D6D6C6"/>
        </w:pBdr>
      </w:pPr>
    </w:p>
    <w:p>
      <w:pPr>
        <w:spacing w:before="280" w:after="120"/>
      </w:pPr>
      <w:r>
        <w:rPr>
          <w:b/>
          <w:color w:val="2A3F2D"/>
          <w:sz w:val="30"/>
        </w:rPr>
        <w:t>5. Použité zdroje</w:t>
      </w:r>
    </w:p>
    <w:p>
      <w:pPr>
        <w:spacing w:after="160"/>
      </w:pPr>
      <w:r>
        <w:rPr>
          <w:b w:val="0"/>
          <w:i/>
          <w:color w:val="5A5D51"/>
          <w:sz w:val="20"/>
        </w:rPr>
        <w:t>Uveďte minimálně 4 odborné zdroje (ne Wikipedii). Postupujte podle doporučeného schématu práce s literaturou na stránce úkolu — chemická data (PubChem/DrugBank) → toxikologický kontext (TIS/PubMed) → epidemiologický rozměr (EMCDDA/NMS ČR) → případně s kritickým odstupem (Erowid).</w:t>
      </w:r>
    </w:p>
    <w:p>
      <w:pPr>
        <w:spacing w:after="3600"/>
        <w:pBdr>
          <w:bottom w:val="single" w:sz="4" w:space="1" w:color="D6D6C6"/>
        </w:pBdr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color w:val="1E201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