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7E41" w14:textId="1FCB71D7" w:rsidR="007A4C26" w:rsidRDefault="007A4C26" w:rsidP="007A4C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38550738" wp14:editId="127EA6A3">
            <wp:extent cx="5759450" cy="914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0D4" w14:textId="56CB0C57" w:rsidR="007A4C26" w:rsidRDefault="007A4C26" w:rsidP="007A4C26">
      <w:pPr>
        <w:jc w:val="center"/>
        <w:rPr>
          <w:rFonts w:ascii="Arial" w:hAnsi="Arial" w:cs="Arial"/>
          <w:sz w:val="24"/>
          <w:szCs w:val="24"/>
        </w:rPr>
      </w:pPr>
    </w:p>
    <w:p w14:paraId="46A54271" w14:textId="78FB3786" w:rsidR="00833887" w:rsidRDefault="00833887" w:rsidP="007A4C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Wydział Elektroniki i Technik Informacyjnych</w:t>
      </w:r>
    </w:p>
    <w:p w14:paraId="1AE32E09" w14:textId="77777777" w:rsidR="007A4C26" w:rsidRDefault="007A4C26" w:rsidP="007A4C26">
      <w:pPr>
        <w:jc w:val="center"/>
        <w:rPr>
          <w:rFonts w:ascii="Arial" w:hAnsi="Arial" w:cs="Arial"/>
          <w:sz w:val="24"/>
          <w:szCs w:val="24"/>
        </w:rPr>
      </w:pPr>
    </w:p>
    <w:p w14:paraId="1869C7FE" w14:textId="0EFBDF5D" w:rsidR="007A4C26" w:rsidRDefault="007A4C26" w:rsidP="007A4C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3102CB35" wp14:editId="596190C6">
            <wp:extent cx="5759450" cy="12573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2202" w14:textId="64325964" w:rsidR="007A4C26" w:rsidRDefault="007A4C26" w:rsidP="007A4C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kierunku </w:t>
      </w:r>
      <w:r w:rsidR="00133AE2">
        <w:rPr>
          <w:rFonts w:ascii="Arial" w:hAnsi="Arial" w:cs="Arial"/>
          <w:sz w:val="24"/>
          <w:szCs w:val="24"/>
        </w:rPr>
        <w:t>Telekomunikacja</w:t>
      </w:r>
    </w:p>
    <w:p w14:paraId="44676C2F" w14:textId="0157D746" w:rsidR="007A4C26" w:rsidRDefault="007A4C26" w:rsidP="007A4C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specjalności </w:t>
      </w:r>
      <w:r w:rsidR="00AF1074">
        <w:rPr>
          <w:rFonts w:ascii="Arial" w:hAnsi="Arial" w:cs="Arial"/>
          <w:sz w:val="24"/>
          <w:szCs w:val="24"/>
        </w:rPr>
        <w:t>Teleinformatyka i Zarządzanie</w:t>
      </w:r>
    </w:p>
    <w:p w14:paraId="4EAE2F86" w14:textId="77777777" w:rsidR="007A4C26" w:rsidRDefault="007A4C26" w:rsidP="007A4C26">
      <w:pPr>
        <w:jc w:val="center"/>
        <w:rPr>
          <w:rFonts w:ascii="Arial" w:hAnsi="Arial" w:cs="Arial"/>
          <w:sz w:val="28"/>
          <w:szCs w:val="28"/>
        </w:rPr>
      </w:pPr>
    </w:p>
    <w:p w14:paraId="313F410D" w14:textId="77777777" w:rsidR="006E2953" w:rsidRDefault="00265E9B" w:rsidP="007A4C2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Aplikacja </w:t>
      </w:r>
      <w:r w:rsidR="00B44556">
        <w:rPr>
          <w:rFonts w:ascii="Arial" w:hAnsi="Arial" w:cs="Arial"/>
          <w:sz w:val="28"/>
          <w:szCs w:val="28"/>
        </w:rPr>
        <w:t xml:space="preserve">do </w:t>
      </w:r>
      <w:r>
        <w:rPr>
          <w:rFonts w:ascii="Arial" w:hAnsi="Arial" w:cs="Arial"/>
          <w:sz w:val="28"/>
          <w:szCs w:val="28"/>
        </w:rPr>
        <w:t>zarządzania warunkami</w:t>
      </w:r>
      <w:r w:rsidR="00930DED">
        <w:rPr>
          <w:rFonts w:ascii="Arial" w:hAnsi="Arial" w:cs="Arial"/>
          <w:sz w:val="28"/>
          <w:szCs w:val="28"/>
        </w:rPr>
        <w:t xml:space="preserve"> </w:t>
      </w:r>
    </w:p>
    <w:p w14:paraId="7B440F95" w14:textId="77777777" w:rsidR="006E2953" w:rsidRDefault="00930DED" w:rsidP="007A4C2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technicznymi</w:t>
      </w:r>
      <w:r w:rsidR="00B44556">
        <w:rPr>
          <w:rFonts w:ascii="Arial" w:hAnsi="Arial" w:cs="Arial"/>
          <w:sz w:val="28"/>
          <w:szCs w:val="28"/>
        </w:rPr>
        <w:t xml:space="preserve"> w pomieszczeniach biurowych </w:t>
      </w:r>
    </w:p>
    <w:p w14:paraId="0B620977" w14:textId="62AF545B" w:rsidR="007A4C26" w:rsidRDefault="00B44556" w:rsidP="007A4C2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oparta na architekturze mikrousługowej</w:t>
      </w:r>
    </w:p>
    <w:p w14:paraId="4B11CF48" w14:textId="77777777" w:rsidR="007A4C26" w:rsidRDefault="007A4C26" w:rsidP="007A4C26">
      <w:pPr>
        <w:jc w:val="center"/>
        <w:rPr>
          <w:rFonts w:ascii="Arial" w:hAnsi="Arial" w:cs="Arial"/>
          <w:sz w:val="28"/>
          <w:szCs w:val="28"/>
        </w:rPr>
      </w:pPr>
    </w:p>
    <w:p w14:paraId="0549C7B7" w14:textId="77777777" w:rsidR="007A4C26" w:rsidRDefault="007A4C26" w:rsidP="007A4C26">
      <w:pPr>
        <w:jc w:val="center"/>
        <w:rPr>
          <w:rFonts w:ascii="Arial" w:hAnsi="Arial" w:cs="Arial"/>
          <w:sz w:val="24"/>
          <w:szCs w:val="24"/>
        </w:rPr>
      </w:pPr>
    </w:p>
    <w:p w14:paraId="7A7F60B0" w14:textId="14AAC3C6" w:rsidR="007A4C26" w:rsidRDefault="006E2953" w:rsidP="007A4C26">
      <w:pPr>
        <w:spacing w:after="0"/>
        <w:jc w:val="center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Stanisław Skrzypek</w:t>
      </w:r>
    </w:p>
    <w:p w14:paraId="03AD3C66" w14:textId="1AC489A2" w:rsidR="007A4C26" w:rsidRPr="002D438E" w:rsidRDefault="007A4C26" w:rsidP="007A4C2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D438E">
        <w:rPr>
          <w:rFonts w:ascii="Arial" w:hAnsi="Arial" w:cs="Arial"/>
          <w:sz w:val="24"/>
          <w:szCs w:val="24"/>
          <w:lang w:val="en-US"/>
        </w:rPr>
        <w:t xml:space="preserve">Numer albumu </w:t>
      </w:r>
      <w:r w:rsidR="006E2953" w:rsidRPr="002D438E">
        <w:rPr>
          <w:rFonts w:ascii="Arial" w:hAnsi="Arial" w:cs="Arial"/>
          <w:sz w:val="24"/>
          <w:szCs w:val="24"/>
          <w:lang w:val="en-US"/>
        </w:rPr>
        <w:t>300501</w:t>
      </w:r>
    </w:p>
    <w:p w14:paraId="27F2BD4B" w14:textId="77777777" w:rsidR="007A4C26" w:rsidRPr="002D438E" w:rsidRDefault="007A4C26" w:rsidP="007A4C2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654AE7B" w14:textId="77777777" w:rsidR="007A4C26" w:rsidRPr="002D438E" w:rsidRDefault="007A4C26" w:rsidP="007A4C26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2D438E">
        <w:rPr>
          <w:rFonts w:ascii="Arial" w:hAnsi="Arial" w:cs="Arial"/>
          <w:sz w:val="24"/>
          <w:szCs w:val="24"/>
          <w:lang w:val="en-US"/>
        </w:rPr>
        <w:t>promotor</w:t>
      </w:r>
    </w:p>
    <w:p w14:paraId="19B65C0F" w14:textId="4DD48584" w:rsidR="007A4C26" w:rsidRPr="00C139D5" w:rsidRDefault="00C139D5" w:rsidP="007A4C2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139D5">
        <w:rPr>
          <w:rFonts w:ascii="Arial" w:hAnsi="Arial" w:cs="Arial"/>
          <w:sz w:val="24"/>
          <w:szCs w:val="24"/>
          <w:lang w:val="en-US"/>
        </w:rPr>
        <w:t>D</w:t>
      </w:r>
      <w:r w:rsidR="004C06F5" w:rsidRPr="00C139D5">
        <w:rPr>
          <w:rFonts w:ascii="Arial" w:hAnsi="Arial" w:cs="Arial"/>
          <w:sz w:val="24"/>
          <w:szCs w:val="24"/>
          <w:lang w:val="en-US"/>
        </w:rPr>
        <w:t xml:space="preserve">r hab. </w:t>
      </w:r>
      <w:r w:rsidR="004C06F5" w:rsidRPr="00C139D5">
        <w:rPr>
          <w:rFonts w:ascii="Arial" w:hAnsi="Arial" w:cs="Arial"/>
          <w:sz w:val="24"/>
          <w:szCs w:val="24"/>
        </w:rPr>
        <w:t xml:space="preserve">Inż. Prof. </w:t>
      </w:r>
      <w:r w:rsidRPr="00C139D5">
        <w:rPr>
          <w:rFonts w:ascii="Arial" w:hAnsi="Arial" w:cs="Arial"/>
          <w:sz w:val="24"/>
          <w:szCs w:val="24"/>
        </w:rPr>
        <w:t>Artur Tomaszewski</w:t>
      </w:r>
    </w:p>
    <w:p w14:paraId="03F667D8" w14:textId="77777777" w:rsidR="007A4C26" w:rsidRPr="00C139D5" w:rsidRDefault="007A4C26" w:rsidP="007A4C26">
      <w:pPr>
        <w:jc w:val="center"/>
        <w:rPr>
          <w:rFonts w:ascii="Arial" w:hAnsi="Arial" w:cs="Arial"/>
          <w:sz w:val="24"/>
          <w:szCs w:val="24"/>
        </w:rPr>
      </w:pPr>
    </w:p>
    <w:p w14:paraId="1EFA8C62" w14:textId="77777777" w:rsidR="007A4C26" w:rsidRPr="00C139D5" w:rsidRDefault="007A4C26" w:rsidP="007A4C2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CE846F3" w14:textId="77777777" w:rsidR="007A4C26" w:rsidRPr="00C139D5" w:rsidRDefault="007A4C26" w:rsidP="007A4C2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5F6865C" w14:textId="77777777" w:rsidR="007A4C26" w:rsidRPr="00C139D5" w:rsidRDefault="007A4C26" w:rsidP="007A4C26">
      <w:pPr>
        <w:jc w:val="center"/>
        <w:rPr>
          <w:rFonts w:ascii="Arial" w:hAnsi="Arial" w:cs="Arial"/>
          <w:sz w:val="24"/>
          <w:szCs w:val="24"/>
        </w:rPr>
      </w:pPr>
    </w:p>
    <w:p w14:paraId="1D8D4619" w14:textId="77777777" w:rsidR="007A4C26" w:rsidRPr="00C139D5" w:rsidRDefault="007A4C26" w:rsidP="007A4C26">
      <w:pPr>
        <w:jc w:val="center"/>
        <w:rPr>
          <w:rFonts w:ascii="Arial" w:hAnsi="Arial" w:cs="Arial"/>
          <w:sz w:val="24"/>
          <w:szCs w:val="24"/>
        </w:rPr>
      </w:pPr>
    </w:p>
    <w:p w14:paraId="4FC6FC48" w14:textId="77777777" w:rsidR="007A4C26" w:rsidRPr="00C139D5" w:rsidRDefault="007A4C26" w:rsidP="007A4C26">
      <w:pPr>
        <w:jc w:val="center"/>
        <w:rPr>
          <w:rFonts w:ascii="Arial" w:hAnsi="Arial" w:cs="Arial"/>
          <w:sz w:val="24"/>
          <w:szCs w:val="24"/>
        </w:rPr>
      </w:pPr>
    </w:p>
    <w:p w14:paraId="1FC92FC6" w14:textId="0326CDC7" w:rsidR="007A4C26" w:rsidRDefault="00C139D5" w:rsidP="007A4C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Warszawa 2022</w:t>
      </w:r>
    </w:p>
    <w:p w14:paraId="706E46B0" w14:textId="77777777" w:rsidR="007A4C26" w:rsidRDefault="007A4C26" w:rsidP="00791196"/>
    <w:p w14:paraId="021AC6FF" w14:textId="52FEF091" w:rsidR="000A7F5F" w:rsidRDefault="00333576" w:rsidP="000A7F5F">
      <w:pPr>
        <w:pStyle w:val="Nagwek1"/>
      </w:pPr>
      <w:bookmarkStart w:id="0" w:name="_Toc92090798"/>
      <w:r>
        <w:lastRenderedPageBreak/>
        <w:t>Streszczenie</w:t>
      </w:r>
      <w:bookmarkEnd w:id="0"/>
    </w:p>
    <w:p w14:paraId="79091858" w14:textId="498E5811" w:rsidR="00FB3CFD" w:rsidRDefault="00D413D6" w:rsidP="00FB3CFD">
      <w:pPr>
        <w:spacing w:line="240" w:lineRule="auto"/>
        <w:rPr>
          <w:sz w:val="24"/>
          <w:szCs w:val="24"/>
        </w:rPr>
      </w:pPr>
      <w:r w:rsidRPr="00FB3CFD">
        <w:rPr>
          <w:sz w:val="24"/>
          <w:szCs w:val="24"/>
        </w:rPr>
        <w:t>B</w:t>
      </w:r>
      <w:r w:rsidR="00134676" w:rsidRPr="00FB3CFD">
        <w:rPr>
          <w:sz w:val="24"/>
          <w:szCs w:val="24"/>
        </w:rPr>
        <w:t xml:space="preserve">rak odpowiedniego zarządzania energią w budynkach biurowych </w:t>
      </w:r>
      <w:r w:rsidR="00555B40" w:rsidRPr="00FB3CFD">
        <w:rPr>
          <w:sz w:val="24"/>
          <w:szCs w:val="24"/>
        </w:rPr>
        <w:t xml:space="preserve">od wielu lat </w:t>
      </w:r>
      <w:r w:rsidR="006F6658" w:rsidRPr="00FB3CFD">
        <w:rPr>
          <w:sz w:val="24"/>
          <w:szCs w:val="24"/>
        </w:rPr>
        <w:t>powodował</w:t>
      </w:r>
      <w:r w:rsidR="00555B40" w:rsidRPr="00FB3CFD">
        <w:rPr>
          <w:sz w:val="24"/>
          <w:szCs w:val="24"/>
        </w:rPr>
        <w:t xml:space="preserve"> straty</w:t>
      </w:r>
      <w:r w:rsidR="00496845" w:rsidRPr="00FB3CFD">
        <w:rPr>
          <w:sz w:val="24"/>
          <w:szCs w:val="24"/>
        </w:rPr>
        <w:t xml:space="preserve"> zarówno finansowe, jak i środowiskowe.</w:t>
      </w:r>
      <w:r w:rsidR="00C4228E" w:rsidRPr="00FB3CFD">
        <w:rPr>
          <w:sz w:val="24"/>
          <w:szCs w:val="24"/>
        </w:rPr>
        <w:t xml:space="preserve"> Dodatkowo, w wyniku nieodpowiednich warunków panujących w pomieszczeniach pracy</w:t>
      </w:r>
      <w:r w:rsidR="00E2190F" w:rsidRPr="00FB3CFD">
        <w:rPr>
          <w:sz w:val="24"/>
          <w:szCs w:val="24"/>
        </w:rPr>
        <w:t xml:space="preserve">, </w:t>
      </w:r>
      <w:r w:rsidR="0080233B" w:rsidRPr="00FB3CFD">
        <w:rPr>
          <w:sz w:val="24"/>
          <w:szCs w:val="24"/>
        </w:rPr>
        <w:t xml:space="preserve">osoby w nich przebywające nie </w:t>
      </w:r>
      <w:r w:rsidR="00626236" w:rsidRPr="00FB3CFD">
        <w:rPr>
          <w:sz w:val="24"/>
          <w:szCs w:val="24"/>
        </w:rPr>
        <w:t>mogły pracować w efektywny sposób.</w:t>
      </w:r>
      <w:r w:rsidR="00496845" w:rsidRPr="00FB3CFD">
        <w:rPr>
          <w:sz w:val="24"/>
          <w:szCs w:val="24"/>
        </w:rPr>
        <w:t xml:space="preserve"> Celem </w:t>
      </w:r>
      <w:r w:rsidR="007A437F" w:rsidRPr="00FB3CFD">
        <w:rPr>
          <w:sz w:val="24"/>
          <w:szCs w:val="24"/>
        </w:rPr>
        <w:t xml:space="preserve">tej </w:t>
      </w:r>
      <w:r w:rsidR="00496845" w:rsidRPr="00FB3CFD">
        <w:rPr>
          <w:sz w:val="24"/>
          <w:szCs w:val="24"/>
        </w:rPr>
        <w:t xml:space="preserve">pracy było </w:t>
      </w:r>
      <w:r w:rsidR="007A437F" w:rsidRPr="00FB3CFD">
        <w:rPr>
          <w:sz w:val="24"/>
          <w:szCs w:val="24"/>
        </w:rPr>
        <w:t xml:space="preserve">zaproponowanie rozwiązania, za pomocą którego można byłoby </w:t>
      </w:r>
      <w:r w:rsidR="000957BC" w:rsidRPr="00FB3CFD">
        <w:rPr>
          <w:sz w:val="24"/>
          <w:szCs w:val="24"/>
        </w:rPr>
        <w:t xml:space="preserve">mierzyć </w:t>
      </w:r>
      <w:r w:rsidR="008F6059" w:rsidRPr="00FB3CFD">
        <w:rPr>
          <w:sz w:val="24"/>
          <w:szCs w:val="24"/>
        </w:rPr>
        <w:t xml:space="preserve">wartości </w:t>
      </w:r>
      <w:r w:rsidR="00087D54" w:rsidRPr="00FB3CFD">
        <w:rPr>
          <w:sz w:val="24"/>
          <w:szCs w:val="24"/>
        </w:rPr>
        <w:t>kluczow</w:t>
      </w:r>
      <w:r w:rsidR="008F6059" w:rsidRPr="00FB3CFD">
        <w:rPr>
          <w:sz w:val="24"/>
          <w:szCs w:val="24"/>
        </w:rPr>
        <w:t>ych</w:t>
      </w:r>
      <w:r w:rsidR="00087D54" w:rsidRPr="00FB3CFD">
        <w:rPr>
          <w:sz w:val="24"/>
          <w:szCs w:val="24"/>
        </w:rPr>
        <w:t xml:space="preserve"> parametr</w:t>
      </w:r>
      <w:r w:rsidR="008F6059" w:rsidRPr="00FB3CFD">
        <w:rPr>
          <w:sz w:val="24"/>
          <w:szCs w:val="24"/>
        </w:rPr>
        <w:t>ów</w:t>
      </w:r>
      <w:r w:rsidR="00087D54" w:rsidRPr="00FB3CFD">
        <w:rPr>
          <w:sz w:val="24"/>
          <w:szCs w:val="24"/>
        </w:rPr>
        <w:t xml:space="preserve"> </w:t>
      </w:r>
      <w:r w:rsidR="00626236" w:rsidRPr="00FB3CFD">
        <w:rPr>
          <w:sz w:val="24"/>
          <w:szCs w:val="24"/>
        </w:rPr>
        <w:t>pomieszcze</w:t>
      </w:r>
      <w:r w:rsidR="00860BDB" w:rsidRPr="00FB3CFD">
        <w:rPr>
          <w:sz w:val="24"/>
          <w:szCs w:val="24"/>
        </w:rPr>
        <w:t>ń</w:t>
      </w:r>
      <w:r w:rsidR="00626236" w:rsidRPr="00FB3CFD">
        <w:rPr>
          <w:sz w:val="24"/>
          <w:szCs w:val="24"/>
        </w:rPr>
        <w:t xml:space="preserve"> biurowych</w:t>
      </w:r>
      <w:r w:rsidR="002B1BC3" w:rsidRPr="00FB3CFD">
        <w:rPr>
          <w:sz w:val="24"/>
          <w:szCs w:val="24"/>
        </w:rPr>
        <w:t>, po czym podejmować stosowne działania</w:t>
      </w:r>
      <w:r w:rsidR="00C475F7" w:rsidRPr="00FB3CFD">
        <w:rPr>
          <w:sz w:val="24"/>
          <w:szCs w:val="24"/>
        </w:rPr>
        <w:t xml:space="preserve"> mające na celu zarówno poprawienie komfortu pracowników, jak i redukcję zużywanej energii. </w:t>
      </w:r>
      <w:r w:rsidR="00100FED" w:rsidRPr="00FB3CFD">
        <w:rPr>
          <w:sz w:val="24"/>
          <w:szCs w:val="24"/>
        </w:rPr>
        <w:t xml:space="preserve">Wykonano przegląd już istniejących prac naukowych dotyczących optymalnej wartości </w:t>
      </w:r>
      <w:r w:rsidR="004D7E72" w:rsidRPr="00FB3CFD">
        <w:rPr>
          <w:sz w:val="24"/>
          <w:szCs w:val="24"/>
        </w:rPr>
        <w:t xml:space="preserve">temperatury oraz natężenia światła w pomieszczeniach biurowych. </w:t>
      </w:r>
      <w:r w:rsidR="00727ABA" w:rsidRPr="00FB3CFD">
        <w:rPr>
          <w:sz w:val="24"/>
          <w:szCs w:val="24"/>
        </w:rPr>
        <w:t xml:space="preserve">Przygotowano </w:t>
      </w:r>
      <w:r w:rsidR="009A42F3" w:rsidRPr="00FB3CFD">
        <w:rPr>
          <w:sz w:val="24"/>
          <w:szCs w:val="24"/>
        </w:rPr>
        <w:t xml:space="preserve">system informatyczny oparty na architekturze mikrousługowej, </w:t>
      </w:r>
      <w:r w:rsidR="00B247B0" w:rsidRPr="00FB3CFD">
        <w:rPr>
          <w:sz w:val="24"/>
          <w:szCs w:val="24"/>
        </w:rPr>
        <w:t>który przyjmuje aktualne pomiary</w:t>
      </w:r>
      <w:r w:rsidR="005E5ACF" w:rsidRPr="00FB3CFD">
        <w:rPr>
          <w:sz w:val="24"/>
          <w:szCs w:val="24"/>
        </w:rPr>
        <w:t xml:space="preserve"> i je przetwarza. Przygotowano zestaw czujników</w:t>
      </w:r>
      <w:r w:rsidR="00F666D2" w:rsidRPr="00FB3CFD">
        <w:rPr>
          <w:sz w:val="24"/>
          <w:szCs w:val="24"/>
        </w:rPr>
        <w:t>, które</w:t>
      </w:r>
      <w:r w:rsidR="005E5ACF" w:rsidRPr="00FB3CFD">
        <w:rPr>
          <w:sz w:val="24"/>
          <w:szCs w:val="24"/>
        </w:rPr>
        <w:t xml:space="preserve"> </w:t>
      </w:r>
      <w:r w:rsidR="00F666D2" w:rsidRPr="00FB3CFD">
        <w:rPr>
          <w:sz w:val="24"/>
          <w:szCs w:val="24"/>
        </w:rPr>
        <w:t>wykonują pomiary oraz przesyłają je do systemu.</w:t>
      </w:r>
      <w:r w:rsidR="00FB3CFD">
        <w:rPr>
          <w:sz w:val="24"/>
          <w:szCs w:val="24"/>
        </w:rPr>
        <w:t xml:space="preserve"> </w:t>
      </w:r>
    </w:p>
    <w:p w14:paraId="2C5213CC" w14:textId="77777777" w:rsidR="00217BAB" w:rsidRDefault="00217B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11F309" w14:textId="2C74D78A" w:rsidR="008C0906" w:rsidRDefault="008C0906" w:rsidP="00621C20">
      <w:pPr>
        <w:pStyle w:val="Nagwek1"/>
      </w:pPr>
      <w:bookmarkStart w:id="1" w:name="_Toc92090799"/>
      <w:r>
        <w:lastRenderedPageBreak/>
        <w:t>Summary</w:t>
      </w:r>
      <w:bookmarkEnd w:id="1"/>
    </w:p>
    <w:p w14:paraId="00AEC0FE" w14:textId="77777777" w:rsidR="008C0906" w:rsidRPr="000B47CC" w:rsidRDefault="008C0906" w:rsidP="008C0906">
      <w:pPr>
        <w:spacing w:line="240" w:lineRule="auto"/>
        <w:rPr>
          <w:sz w:val="24"/>
          <w:szCs w:val="24"/>
          <w:lang w:val="en-US"/>
        </w:rPr>
      </w:pPr>
      <w:r w:rsidRPr="00B96936">
        <w:rPr>
          <w:sz w:val="24"/>
          <w:szCs w:val="24"/>
          <w:lang w:val="en-US"/>
        </w:rPr>
        <w:t>Lack of proper Energy m</w:t>
      </w:r>
      <w:r>
        <w:rPr>
          <w:sz w:val="24"/>
          <w:szCs w:val="24"/>
          <w:lang w:val="en-US"/>
        </w:rPr>
        <w:t xml:space="preserve">anagement in office buildings has caused both financial, as well as environmental loss in many a year. Furthermore, as a result of inadequate room conditions, people staying in those rooms could not work effectively. </w:t>
      </w:r>
      <w:r w:rsidRPr="00621C20">
        <w:rPr>
          <w:sz w:val="24"/>
          <w:szCs w:val="24"/>
          <w:lang w:val="en-US"/>
        </w:rPr>
        <w:t xml:space="preserve">The aim of this </w:t>
      </w:r>
      <w:r>
        <w:rPr>
          <w:sz w:val="24"/>
          <w:szCs w:val="24"/>
          <w:lang w:val="en-US"/>
        </w:rPr>
        <w:t xml:space="preserve">paper </w:t>
      </w:r>
      <w:r w:rsidRPr="00621C20">
        <w:rPr>
          <w:sz w:val="24"/>
          <w:szCs w:val="24"/>
          <w:lang w:val="en-US"/>
        </w:rPr>
        <w:t>was to propose a solution by which it would be possible to measure the values ​​of key parameters of office premises, and then take appropriate actions aimed at both improving the comfort of employees and reducing energy consumption.</w:t>
      </w:r>
      <w:r>
        <w:rPr>
          <w:sz w:val="24"/>
          <w:szCs w:val="24"/>
          <w:lang w:val="en-US"/>
        </w:rPr>
        <w:t xml:space="preserve"> </w:t>
      </w:r>
      <w:r w:rsidRPr="000B47CC">
        <w:rPr>
          <w:sz w:val="24"/>
          <w:szCs w:val="24"/>
          <w:lang w:val="en-US"/>
        </w:rPr>
        <w:t>A review of the already existing scientific works on the optimal value of temperature and light intensity in offices was carried out</w:t>
      </w:r>
      <w:r>
        <w:rPr>
          <w:sz w:val="24"/>
          <w:szCs w:val="24"/>
          <w:lang w:val="en-US"/>
        </w:rPr>
        <w:t xml:space="preserve">. </w:t>
      </w:r>
      <w:r w:rsidRPr="00C73C08">
        <w:rPr>
          <w:sz w:val="24"/>
          <w:szCs w:val="24"/>
          <w:lang w:val="en-US"/>
        </w:rPr>
        <w:t>An IT system based on a microservice architecture was prepared, which takes current measurements and processes them</w:t>
      </w:r>
      <w:r>
        <w:rPr>
          <w:sz w:val="24"/>
          <w:szCs w:val="24"/>
          <w:lang w:val="en-US"/>
        </w:rPr>
        <w:t xml:space="preserve">. </w:t>
      </w:r>
      <w:r w:rsidRPr="00217BAB">
        <w:rPr>
          <w:sz w:val="24"/>
          <w:szCs w:val="24"/>
          <w:lang w:val="en-US"/>
        </w:rPr>
        <w:t>A set of sensors has been prepared that perform the measurements and send them to the system</w:t>
      </w:r>
      <w:r>
        <w:rPr>
          <w:sz w:val="24"/>
          <w:szCs w:val="24"/>
          <w:lang w:val="en-US"/>
        </w:rPr>
        <w:t>.</w:t>
      </w:r>
    </w:p>
    <w:p w14:paraId="197D8D9F" w14:textId="4B2E748A" w:rsidR="008C0906" w:rsidRDefault="008C0906">
      <w:pPr>
        <w:rPr>
          <w:lang w:val="en-US"/>
        </w:rPr>
      </w:pPr>
      <w:r>
        <w:rPr>
          <w:lang w:val="en-US"/>
        </w:rPr>
        <w:br w:type="page"/>
      </w:r>
    </w:p>
    <w:p w14:paraId="34ABC413" w14:textId="4ECC7E31" w:rsidR="00EF7BF4" w:rsidRPr="00C73C08" w:rsidRDefault="00EF7BF4" w:rsidP="00621C20">
      <w:pPr>
        <w:pStyle w:val="Nagwek1"/>
      </w:pPr>
      <w:bookmarkStart w:id="2" w:name="_Toc92090800"/>
      <w:r w:rsidRPr="00C73C08">
        <w:lastRenderedPageBreak/>
        <w:t>Oświadczenie o autorstwie pracy</w:t>
      </w:r>
      <w:bookmarkEnd w:id="2"/>
    </w:p>
    <w:p w14:paraId="2CA2EC0C" w14:textId="46CE0AC5" w:rsidR="00EF7BF4" w:rsidRDefault="00EF7BF4" w:rsidP="00EF7BF4">
      <w:pPr>
        <w:rPr>
          <w:color w:val="FF0000"/>
        </w:rPr>
      </w:pPr>
      <w:r w:rsidRPr="00EF7BF4">
        <w:rPr>
          <w:color w:val="FF0000"/>
        </w:rPr>
        <w:t>Oświadczenie o autorstwie pracy</w:t>
      </w:r>
      <w:r w:rsidR="00FC4186">
        <w:rPr>
          <w:color w:val="FF0000"/>
        </w:rPr>
        <w:t xml:space="preserve"> </w:t>
      </w:r>
      <w:r w:rsidR="008F2828">
        <w:rPr>
          <w:color w:val="FF0000"/>
        </w:rPr>
        <w:t>–</w:t>
      </w:r>
      <w:r w:rsidR="00FC4186">
        <w:rPr>
          <w:color w:val="FF0000"/>
        </w:rPr>
        <w:t xml:space="preserve"> </w:t>
      </w:r>
      <w:r w:rsidR="008F2828">
        <w:rPr>
          <w:color w:val="FF0000"/>
        </w:rPr>
        <w:t>przed wyslaniem pdf-a dolacz strone z oświadczeniem np. za pomocą merga online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8937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DE24D" w14:textId="77777777" w:rsidR="00ED3E04" w:rsidRDefault="00ED3E04">
          <w:pPr>
            <w:pStyle w:val="Nagwekspisutreci"/>
          </w:pPr>
        </w:p>
        <w:p w14:paraId="2E07FC98" w14:textId="77777777" w:rsidR="00ED3E04" w:rsidRDefault="00ED3E0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l-PL"/>
            </w:rPr>
          </w:pPr>
          <w:r>
            <w:br w:type="page"/>
          </w:r>
        </w:p>
        <w:p w14:paraId="4117888C" w14:textId="405F95F0" w:rsidR="003F0B26" w:rsidRDefault="003F0B26">
          <w:pPr>
            <w:pStyle w:val="Nagwekspisutreci"/>
          </w:pPr>
          <w:r>
            <w:lastRenderedPageBreak/>
            <w:t>Spis treści</w:t>
          </w:r>
        </w:p>
        <w:p w14:paraId="775785A4" w14:textId="1E0DAF7B" w:rsidR="008F2828" w:rsidRDefault="003F0B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90798" w:history="1">
            <w:r w:rsidR="008F2828" w:rsidRPr="00B60C8D">
              <w:rPr>
                <w:rStyle w:val="Hipercze"/>
                <w:noProof/>
              </w:rPr>
              <w:t>Streszczenie</w:t>
            </w:r>
            <w:r w:rsidR="008F2828">
              <w:rPr>
                <w:noProof/>
                <w:webHidden/>
              </w:rPr>
              <w:tab/>
            </w:r>
            <w:r w:rsidR="008F2828">
              <w:rPr>
                <w:noProof/>
                <w:webHidden/>
              </w:rPr>
              <w:fldChar w:fldCharType="begin"/>
            </w:r>
            <w:r w:rsidR="008F2828">
              <w:rPr>
                <w:noProof/>
                <w:webHidden/>
              </w:rPr>
              <w:instrText xml:space="preserve"> PAGEREF _Toc92090798 \h </w:instrText>
            </w:r>
            <w:r w:rsidR="008F2828">
              <w:rPr>
                <w:noProof/>
                <w:webHidden/>
              </w:rPr>
            </w:r>
            <w:r w:rsidR="008F2828">
              <w:rPr>
                <w:noProof/>
                <w:webHidden/>
              </w:rPr>
              <w:fldChar w:fldCharType="separate"/>
            </w:r>
            <w:r w:rsidR="008F2828">
              <w:rPr>
                <w:noProof/>
                <w:webHidden/>
              </w:rPr>
              <w:t>2</w:t>
            </w:r>
            <w:r w:rsidR="008F2828">
              <w:rPr>
                <w:noProof/>
                <w:webHidden/>
              </w:rPr>
              <w:fldChar w:fldCharType="end"/>
            </w:r>
          </w:hyperlink>
        </w:p>
        <w:p w14:paraId="73AEC9A7" w14:textId="4EE17498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799" w:history="1">
            <w:r w:rsidRPr="00B60C8D">
              <w:rPr>
                <w:rStyle w:val="Hipercze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B0D39" w14:textId="33D38A87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0" w:history="1">
            <w:r w:rsidRPr="00B60C8D">
              <w:rPr>
                <w:rStyle w:val="Hipercze"/>
                <w:noProof/>
              </w:rPr>
              <w:t>Oświadczenie o autorstwie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F96E" w14:textId="336470E8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1" w:history="1">
            <w:r w:rsidRPr="00B60C8D">
              <w:rPr>
                <w:rStyle w:val="Hipercze"/>
                <w:noProof/>
              </w:rPr>
              <w:t>Temat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D3DD" w14:textId="00897AD2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2" w:history="1">
            <w:r w:rsidRPr="00B60C8D">
              <w:rPr>
                <w:rStyle w:val="Hipercze"/>
                <w:noProof/>
              </w:rPr>
              <w:t>Istniejące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BC7F" w14:textId="090B5F2E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3" w:history="1">
            <w:r w:rsidRPr="00B60C8D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2DAD" w14:textId="4F763B90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4" w:history="1">
            <w:r w:rsidRPr="00B60C8D">
              <w:rPr>
                <w:rStyle w:val="Hipercze"/>
                <w:noProof/>
              </w:rPr>
              <w:t>Przegląd wykorzystywanych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2203" w14:textId="02E65FAD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5" w:history="1">
            <w:r w:rsidRPr="00B60C8D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909A" w14:textId="79471CB5" w:rsidR="008F2828" w:rsidRDefault="008F282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6" w:history="1">
            <w:r w:rsidRPr="00B60C8D">
              <w:rPr>
                <w:rStyle w:val="Hipercze"/>
                <w:noProof/>
              </w:rPr>
              <w:t>Przechowywane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30AC" w14:textId="3AFAEB25" w:rsidR="008F2828" w:rsidRDefault="008F282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7" w:history="1">
            <w:r w:rsidRPr="00B60C8D">
              <w:rPr>
                <w:rStyle w:val="Hipercze"/>
                <w:noProof/>
              </w:rPr>
              <w:t>Styki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1053" w14:textId="6596531B" w:rsidR="008F2828" w:rsidRDefault="008F282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8" w:history="1">
            <w:r w:rsidRPr="00B60C8D">
              <w:rPr>
                <w:rStyle w:val="Hipercze"/>
                <w:noProof/>
              </w:rPr>
              <w:t>Możliwości rozszerzenia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11D3" w14:textId="77CABF74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09" w:history="1">
            <w:r w:rsidRPr="00B60C8D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A50A" w14:textId="72CF0875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10" w:history="1">
            <w:r w:rsidRPr="00B60C8D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6538" w14:textId="034CF1AD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11" w:history="1">
            <w:r w:rsidRPr="00B60C8D">
              <w:rPr>
                <w:rStyle w:val="Hipercze"/>
                <w:noProof/>
              </w:rPr>
              <w:t>Wykaz symboli i skrótów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0776" w14:textId="7235260E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12" w:history="1">
            <w:r w:rsidRPr="00B60C8D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05D9" w14:textId="2DDB391D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13" w:history="1">
            <w:r w:rsidRPr="00B60C8D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105A" w14:textId="458DFFB5" w:rsidR="008F2828" w:rsidRDefault="008F28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090814" w:history="1">
            <w:r w:rsidRPr="00B60C8D">
              <w:rPr>
                <w:rStyle w:val="Hipercze"/>
                <w:noProof/>
              </w:rPr>
              <w:t>Spis załączników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3D60" w14:textId="68802136" w:rsidR="003F0B26" w:rsidRDefault="003F0B26">
          <w:r>
            <w:rPr>
              <w:b/>
              <w:bCs/>
            </w:rPr>
            <w:fldChar w:fldCharType="end"/>
          </w:r>
        </w:p>
      </w:sdtContent>
    </w:sdt>
    <w:p w14:paraId="5755CEC8" w14:textId="77777777" w:rsidR="003F0B26" w:rsidRPr="003F0B26" w:rsidRDefault="003F0B26" w:rsidP="003F0B26"/>
    <w:p w14:paraId="5E1429E0" w14:textId="77777777" w:rsidR="00CF1175" w:rsidRDefault="00CF11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F08C3E" w14:textId="6CB45B01" w:rsidR="00D43579" w:rsidRDefault="00D43579" w:rsidP="00D43579">
      <w:pPr>
        <w:pStyle w:val="Nagwek1"/>
      </w:pPr>
      <w:bookmarkStart w:id="3" w:name="_Toc92090801"/>
      <w:r>
        <w:lastRenderedPageBreak/>
        <w:t>Temat pracy</w:t>
      </w:r>
      <w:bookmarkEnd w:id="3"/>
    </w:p>
    <w:p w14:paraId="3142F036" w14:textId="6229722C" w:rsidR="00D43579" w:rsidRDefault="00D43579" w:rsidP="00D43579">
      <w:r>
        <w:t xml:space="preserve">Tematem niniejszej pracy jest </w:t>
      </w:r>
      <w:r w:rsidR="000E059A">
        <w:t xml:space="preserve">utworzona w ramach </w:t>
      </w:r>
      <w:r w:rsidR="003934F4">
        <w:t>seminarium dyplomowego aplikacja do zarządzania warunkami technicznymi w pomieszczeniach biurowych oparta na architekturze mikrousługowej.</w:t>
      </w:r>
      <w:r w:rsidR="002C148B">
        <w:t xml:space="preserve"> </w:t>
      </w:r>
      <w:r w:rsidR="005F6B59">
        <w:t xml:space="preserve">Produkt ma na celu </w:t>
      </w:r>
      <w:r w:rsidR="00105CF1">
        <w:t xml:space="preserve">poprawę </w:t>
      </w:r>
      <w:r w:rsidR="005F6B59">
        <w:t xml:space="preserve">warunków panujących </w:t>
      </w:r>
      <w:r w:rsidR="009115DB">
        <w:t xml:space="preserve">w pomieszczeniach przeznaczonych do </w:t>
      </w:r>
      <w:r w:rsidR="003A50C8">
        <w:t xml:space="preserve">pracy </w:t>
      </w:r>
      <w:r w:rsidR="009115DB">
        <w:t>codziennej.</w:t>
      </w:r>
      <w:r w:rsidR="003A50C8">
        <w:t xml:space="preserve"> </w:t>
      </w:r>
      <w:r w:rsidR="00F6008D">
        <w:t xml:space="preserve">Wybrane parametry </w:t>
      </w:r>
      <w:r w:rsidR="00105CF1">
        <w:t xml:space="preserve">przeznaczone </w:t>
      </w:r>
      <w:r w:rsidR="00F6008D">
        <w:t xml:space="preserve">do </w:t>
      </w:r>
      <w:r w:rsidR="00105CF1">
        <w:t xml:space="preserve">optymalizacji to kolejno: temperatura, </w:t>
      </w:r>
      <w:r w:rsidR="0048229C">
        <w:t xml:space="preserve">natężenie światła oraz jakość powietrza. </w:t>
      </w:r>
    </w:p>
    <w:p w14:paraId="6B0DF632" w14:textId="7CABA3BA" w:rsidR="0048229C" w:rsidRDefault="000B3FAB" w:rsidP="00D43579">
      <w:r>
        <w:t xml:space="preserve">Implementacja </w:t>
      </w:r>
      <w:r w:rsidR="003C622F">
        <w:t xml:space="preserve">projektu przewiduje umieszczenie w badanych pomieszczeniach </w:t>
      </w:r>
      <w:r w:rsidR="00CA5E08">
        <w:t xml:space="preserve">odpowiedniego rodzaju </w:t>
      </w:r>
      <w:r w:rsidR="003C622F">
        <w:t>czujników</w:t>
      </w:r>
      <w:r w:rsidR="00CA5E08">
        <w:t xml:space="preserve">, które będą na bieżąco monitorować stan </w:t>
      </w:r>
      <w:r w:rsidR="00697C25">
        <w:t xml:space="preserve">danej </w:t>
      </w:r>
      <w:r w:rsidR="00CA5E08">
        <w:t xml:space="preserve">przestrzeni. </w:t>
      </w:r>
      <w:r w:rsidR="00C022D0">
        <w:t xml:space="preserve">Zintegrowany z czujnikami system informacyjny </w:t>
      </w:r>
      <w:r w:rsidR="00D91FB6">
        <w:t xml:space="preserve">powinien odczytywać przesyłane pomiary, a następnie je interpretować. Wynik interpretacji powinien być widoczny </w:t>
      </w:r>
      <w:r w:rsidR="00EF79BE">
        <w:t xml:space="preserve">dla zainteresowanych osób. </w:t>
      </w:r>
      <w:r w:rsidR="009D0F21">
        <w:t>W wiadomości</w:t>
      </w:r>
      <w:r w:rsidR="00965424">
        <w:t xml:space="preserve"> będą znajdować się informacje dotyczące akcji, które należy podjąć, aby </w:t>
      </w:r>
      <w:r w:rsidR="00171CDE">
        <w:t>umożliwić ustalenie się badanych parametrów na właściwym poziomie.</w:t>
      </w:r>
    </w:p>
    <w:p w14:paraId="1A417ABD" w14:textId="7ECB91B5" w:rsidR="00171CDE" w:rsidRDefault="006C4374" w:rsidP="00D43579">
      <w:r>
        <w:t xml:space="preserve">Utworzenie aplikacji miało </w:t>
      </w:r>
      <w:r w:rsidR="005F7E13">
        <w:t>przyczynić się do osiągnięcia dwóch głównych celów, stawianych</w:t>
      </w:r>
      <w:r w:rsidR="00746022">
        <w:t xml:space="preserve"> od początku przygotowywania pracy:</w:t>
      </w:r>
    </w:p>
    <w:p w14:paraId="62A1D293" w14:textId="044A7D30" w:rsidR="00746022" w:rsidRDefault="00746022" w:rsidP="00746022">
      <w:pPr>
        <w:pStyle w:val="Akapitzlist"/>
        <w:numPr>
          <w:ilvl w:val="0"/>
          <w:numId w:val="2"/>
        </w:numPr>
      </w:pPr>
      <w:r>
        <w:t xml:space="preserve">Poprawa warunków pracy </w:t>
      </w:r>
      <w:r w:rsidR="006B01C6">
        <w:t>–</w:t>
      </w:r>
      <w:r>
        <w:t xml:space="preserve"> </w:t>
      </w:r>
      <w:r w:rsidR="006B01C6">
        <w:t>badania</w:t>
      </w:r>
      <w:sdt>
        <w:sdtPr>
          <w:id w:val="552041790"/>
          <w:citation/>
        </w:sdtPr>
        <w:sdtEndPr/>
        <w:sdtContent>
          <w:r w:rsidR="004C39DD">
            <w:fldChar w:fldCharType="begin"/>
          </w:r>
          <w:r w:rsidR="004C39DD">
            <w:instrText xml:space="preserve"> CITATION Ose12 \l 1045 </w:instrText>
          </w:r>
          <w:r w:rsidR="004C39DD">
            <w:fldChar w:fldCharType="separate"/>
          </w:r>
          <w:r w:rsidR="00E041A7">
            <w:rPr>
              <w:noProof/>
            </w:rPr>
            <w:t xml:space="preserve"> (Oseland i Burton, 2012)</w:t>
          </w:r>
          <w:r w:rsidR="004C39DD">
            <w:fldChar w:fldCharType="end"/>
          </w:r>
        </w:sdtContent>
      </w:sdt>
      <w:r w:rsidR="004C39DD">
        <w:t xml:space="preserve"> </w:t>
      </w:r>
      <w:r w:rsidR="006B01C6">
        <w:t>dowodzą</w:t>
      </w:r>
      <w:r w:rsidR="00730AE4">
        <w:t xml:space="preserve">, że </w:t>
      </w:r>
      <w:r w:rsidR="00DB2A4A">
        <w:t xml:space="preserve">warunki panujące w pomieszczeniach do pracy mają wpływ na efektywność pracowników. </w:t>
      </w:r>
      <w:r w:rsidR="003E2B66">
        <w:t xml:space="preserve">Utrzymanie </w:t>
      </w:r>
      <w:r w:rsidR="00A53270">
        <w:t>ich na optymalnym poziomie może spowodować wzrost wydajności do 2,5%</w:t>
      </w:r>
    </w:p>
    <w:p w14:paraId="041FE045" w14:textId="13B09C2E" w:rsidR="00A53270" w:rsidRDefault="00A53270" w:rsidP="00746022">
      <w:pPr>
        <w:pStyle w:val="Akapitzlist"/>
        <w:numPr>
          <w:ilvl w:val="0"/>
          <w:numId w:val="2"/>
        </w:numPr>
      </w:pPr>
      <w:r>
        <w:t xml:space="preserve">Redukcja </w:t>
      </w:r>
      <w:r w:rsidR="001A65C0">
        <w:t xml:space="preserve">zużywanej energii – </w:t>
      </w:r>
      <w:r w:rsidR="00A47D87">
        <w:t xml:space="preserve">w praktyce często zdarza się, że </w:t>
      </w:r>
      <w:r w:rsidR="00E46457">
        <w:t xml:space="preserve">po zakończeniu pracy zostawiane są włączone światła na całą noc. </w:t>
      </w:r>
      <w:r w:rsidR="00932C88">
        <w:t>Innym przykładem może być sytuacja</w:t>
      </w:r>
      <w:r w:rsidR="002F5A6E">
        <w:t>, w której</w:t>
      </w:r>
      <w:r w:rsidR="00932C88">
        <w:t xml:space="preserve"> pomieszczenie jest ogrzewane, mimo iż nikt z niego nie korzysta. </w:t>
      </w:r>
      <w:r w:rsidR="00CB7BAB">
        <w:t xml:space="preserve">Przy wsparciu aplikacji będzie możliwe </w:t>
      </w:r>
      <w:r w:rsidR="00503B30">
        <w:t xml:space="preserve">zapobieganie takim wydarzeniom, co w konsekwencji </w:t>
      </w:r>
      <w:r w:rsidR="00CB7BAB">
        <w:t>ogranicz</w:t>
      </w:r>
      <w:r w:rsidR="004637E9">
        <w:t>y</w:t>
      </w:r>
      <w:r w:rsidR="00AE7171">
        <w:t xml:space="preserve"> zużyci</w:t>
      </w:r>
      <w:r w:rsidR="004637E9">
        <w:t>e</w:t>
      </w:r>
      <w:r w:rsidR="00AE7171">
        <w:t xml:space="preserve"> energii</w:t>
      </w:r>
    </w:p>
    <w:p w14:paraId="44B77F0A" w14:textId="6D4721B8" w:rsidR="004637E9" w:rsidRDefault="00B27639" w:rsidP="004637E9">
      <w:r>
        <w:t xml:space="preserve">Zgodnie </w:t>
      </w:r>
      <w:r w:rsidR="0095153B">
        <w:t xml:space="preserve">z wynikami badań opublikowanymi przez </w:t>
      </w:r>
      <w:r w:rsidR="00F67996">
        <w:t>IMT (</w:t>
      </w:r>
      <w:r w:rsidR="00F67996" w:rsidRPr="00F67996">
        <w:rPr>
          <w:i/>
          <w:iCs/>
        </w:rPr>
        <w:t>Institute for market transformation</w:t>
      </w:r>
      <w:r w:rsidR="00F67996">
        <w:rPr>
          <w:i/>
          <w:iCs/>
        </w:rPr>
        <w:t>)</w:t>
      </w:r>
      <w:r w:rsidR="00FF60D0">
        <w:rPr>
          <w:i/>
          <w:iCs/>
        </w:rPr>
        <w:t xml:space="preserve"> </w:t>
      </w:r>
      <w:r w:rsidR="0098733F">
        <w:t xml:space="preserve">z 2016 roku </w:t>
      </w:r>
      <w:r w:rsidR="006B2772">
        <w:t>około 40% całkowitej konsumpcji energii przypada na zasilanie budynków</w:t>
      </w:r>
      <w:sdt>
        <w:sdtPr>
          <w:rPr>
            <w:i/>
            <w:iCs/>
          </w:rPr>
          <w:id w:val="121588321"/>
          <w:citation/>
        </w:sdtPr>
        <w:sdtEndPr/>
        <w:sdtContent>
          <w:r w:rsidR="00FF60D0">
            <w:rPr>
              <w:i/>
              <w:iCs/>
            </w:rPr>
            <w:fldChar w:fldCharType="begin"/>
          </w:r>
          <w:r w:rsidR="00FF60D0">
            <w:rPr>
              <w:i/>
              <w:iCs/>
            </w:rPr>
            <w:instrText xml:space="preserve"> CITATION Ins16 \l 1045 </w:instrText>
          </w:r>
          <w:r w:rsidR="00FF60D0">
            <w:rPr>
              <w:i/>
              <w:iCs/>
            </w:rPr>
            <w:fldChar w:fldCharType="separate"/>
          </w:r>
          <w:r w:rsidR="00E041A7">
            <w:rPr>
              <w:i/>
              <w:iCs/>
              <w:noProof/>
            </w:rPr>
            <w:t xml:space="preserve"> </w:t>
          </w:r>
          <w:r w:rsidR="00E041A7">
            <w:rPr>
              <w:noProof/>
            </w:rPr>
            <w:t>(transformation, 2016)</w:t>
          </w:r>
          <w:r w:rsidR="00FF60D0">
            <w:rPr>
              <w:i/>
              <w:iCs/>
            </w:rPr>
            <w:fldChar w:fldCharType="end"/>
          </w:r>
        </w:sdtContent>
      </w:sdt>
      <w:r w:rsidR="007B723A">
        <w:rPr>
          <w:i/>
          <w:iCs/>
        </w:rPr>
        <w:t>.</w:t>
      </w:r>
      <w:r w:rsidR="007B723A">
        <w:t xml:space="preserve"> Przekłada się to w ciągu roku na wydatek rzędu 450</w:t>
      </w:r>
      <w:r w:rsidR="00A42466">
        <w:t xml:space="preserve"> mil</w:t>
      </w:r>
      <w:r w:rsidR="002B1AC4">
        <w:t>i</w:t>
      </w:r>
      <w:r w:rsidR="00A42466">
        <w:t>ardów dolarów</w:t>
      </w:r>
      <w:r w:rsidR="002B1AC4">
        <w:t xml:space="preserve">. Najsłabiej zagospodarowane </w:t>
      </w:r>
      <w:r w:rsidR="00D45CB4">
        <w:t xml:space="preserve">budowle zużywały od trzech do siedmiu razy </w:t>
      </w:r>
      <w:r w:rsidR="00175B2B">
        <w:t xml:space="preserve">więcej energii </w:t>
      </w:r>
      <w:r w:rsidR="0082731A">
        <w:t xml:space="preserve">od tych najbardziej oszczędnych. </w:t>
      </w:r>
      <w:r w:rsidR="00C9718B">
        <w:t xml:space="preserve">Istnieje zatem </w:t>
      </w:r>
      <w:r w:rsidR="0018292E">
        <w:t>potrzeba przygotowania i wdrożenia rozwiązań, które z jednej strony nie</w:t>
      </w:r>
      <w:r w:rsidR="00B8101A">
        <w:t xml:space="preserve"> byłyby obciążające finansowo, z drugiej strony zaś ograniczające już istniejące koszty. </w:t>
      </w:r>
    </w:p>
    <w:p w14:paraId="7F7A5BA4" w14:textId="77777777" w:rsidR="00300AE3" w:rsidRDefault="00300A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C165F7" w14:textId="707172EB" w:rsidR="00F54FF2" w:rsidRDefault="00CF1175" w:rsidP="00320232">
      <w:pPr>
        <w:pStyle w:val="Nagwek1"/>
      </w:pPr>
      <w:bookmarkStart w:id="4" w:name="_Toc92090802"/>
      <w:r>
        <w:lastRenderedPageBreak/>
        <w:t>Istniejące rozwiązania</w:t>
      </w:r>
      <w:bookmarkStart w:id="5" w:name="_Toc92090803"/>
      <w:bookmarkEnd w:id="4"/>
    </w:p>
    <w:p w14:paraId="5C8F43CB" w14:textId="0D19BCE2" w:rsidR="003A233E" w:rsidRPr="003A233E" w:rsidRDefault="00940B04">
      <w:r>
        <w:t>Firma Sharp przygotowała podobne rozwiązanie</w:t>
      </w:r>
      <w:r w:rsidR="004F7012">
        <w:t xml:space="preserve">, za pomocą którego można mierzyć kluczowe parametry </w:t>
      </w:r>
      <w:r w:rsidR="00F5130F">
        <w:t xml:space="preserve">danego pomieszczenia, przesyłać je </w:t>
      </w:r>
      <w:r w:rsidR="00391515">
        <w:t>na platformy chmurowe i je analizować (</w:t>
      </w:r>
      <w:hyperlink r:id="rId10" w:history="1">
        <w:r w:rsidR="00391515">
          <w:rPr>
            <w:rStyle w:val="Hipercze"/>
          </w:rPr>
          <w:t>Monitor do współpracy w systemie Windows (sharp.pl)</w:t>
        </w:r>
      </w:hyperlink>
      <w:r w:rsidR="00391515">
        <w:t xml:space="preserve">). </w:t>
      </w:r>
      <w:r w:rsidR="00BC2A9D">
        <w:t>Różnica</w:t>
      </w:r>
      <w:r w:rsidR="00A617C2">
        <w:t xml:space="preserve"> między tym produktem a rozwiązaniem proponowanym w tej pracy polega na tym, że </w:t>
      </w:r>
      <w:r w:rsidR="003D4D0B">
        <w:t xml:space="preserve">w rozwiązaniu firmy Sharp </w:t>
      </w:r>
      <w:r w:rsidR="00A47C36">
        <w:t xml:space="preserve">czujniki są wbudowane </w:t>
      </w:r>
      <w:r w:rsidR="003E6913">
        <w:t xml:space="preserve">w monitor służący jako centrum telekonferencyjne. </w:t>
      </w:r>
      <w:r w:rsidR="0066329D">
        <w:t xml:space="preserve">W ten sposób </w:t>
      </w:r>
      <w:r w:rsidR="008D545F">
        <w:t xml:space="preserve">wykonywane pomiary stają się niejako dodatkiem do </w:t>
      </w:r>
      <w:r w:rsidR="00866C49">
        <w:t>monitora, niż głównym celem wstawienia</w:t>
      </w:r>
      <w:r w:rsidR="00F162E4">
        <w:t xml:space="preserve"> urządzenia do konkretnej sali. W konse</w:t>
      </w:r>
      <w:r w:rsidR="00E37595">
        <w:t>kwencji, wykonywanie pomiarów w wielu salach wiązałoby się z koniecznością zakupu</w:t>
      </w:r>
      <w:r w:rsidR="00371140">
        <w:t xml:space="preserve"> drogiego monitora dla każdej z nich. </w:t>
      </w:r>
      <w:r w:rsidR="00EB7A67">
        <w:t>Proponowane w tej pracy rozwiązanie zawiera jedynie zestaw czujników</w:t>
      </w:r>
      <w:r w:rsidR="00825FB4">
        <w:t xml:space="preserve"> przesyłających pomiary do systemu, bez innych dodatków, co znacznie minimalizuje koszt wdrożenia takiego rozwiązania.</w:t>
      </w:r>
    </w:p>
    <w:p w14:paraId="47307140" w14:textId="77777777" w:rsidR="00A47C36" w:rsidRDefault="00A47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809E4C" w14:textId="6B917B34" w:rsidR="00320232" w:rsidRDefault="00320232" w:rsidP="00320232">
      <w:pPr>
        <w:pStyle w:val="Nagwek1"/>
      </w:pPr>
      <w:r>
        <w:lastRenderedPageBreak/>
        <w:t>Założenia</w:t>
      </w:r>
      <w:bookmarkEnd w:id="5"/>
    </w:p>
    <w:p w14:paraId="148CDBA2" w14:textId="07BCAAFF" w:rsidR="00320232" w:rsidRDefault="007A0127" w:rsidP="00320232">
      <w:r>
        <w:t>Funkcjonalność i architektura systemu została</w:t>
      </w:r>
      <w:r w:rsidR="00BA61A5">
        <w:t xml:space="preserve"> utworzona w oparciu o kilka istotnych założeń:</w:t>
      </w:r>
    </w:p>
    <w:p w14:paraId="5E0556A8" w14:textId="72875F72" w:rsidR="00BF49D1" w:rsidRDefault="00B35ACB" w:rsidP="00BF49D1">
      <w:pPr>
        <w:pStyle w:val="Akapitzlist"/>
        <w:numPr>
          <w:ilvl w:val="0"/>
          <w:numId w:val="3"/>
        </w:numPr>
      </w:pPr>
      <w:r>
        <w:t xml:space="preserve">Łatwość wdrożenia – system powinien być gotowy do </w:t>
      </w:r>
      <w:r w:rsidR="00BF49D1">
        <w:t xml:space="preserve">wdrożenia na środowisko chmurowe. </w:t>
      </w:r>
      <w:r w:rsidR="00F40674">
        <w:t>Organizacja zainteresowana</w:t>
      </w:r>
      <w:r w:rsidR="00D4770E">
        <w:t xml:space="preserve"> uruchomieniem aplikacji dla swoich potrzeb może wybrać </w:t>
      </w:r>
      <w:r w:rsidR="005761A3">
        <w:t xml:space="preserve">opcję, w której </w:t>
      </w:r>
      <w:r w:rsidR="008A5E7B">
        <w:t>dostarczane są obrazy odpowiednich serwisów</w:t>
      </w:r>
      <w:r w:rsidR="000A5953">
        <w:t xml:space="preserve"> oraz skrypty konfigurujące środowisko.</w:t>
      </w:r>
      <w:r w:rsidR="00792301">
        <w:t xml:space="preserve"> Takie rozwiązanie mogłoby być ofertą skierowaną </w:t>
      </w:r>
      <w:r w:rsidR="00684A48">
        <w:t xml:space="preserve">do banków, które chcą zminimalizować </w:t>
      </w:r>
      <w:r w:rsidR="00704C3E">
        <w:t xml:space="preserve">ruch zewnętrzny. </w:t>
      </w:r>
      <w:r w:rsidR="004F39DB">
        <w:t xml:space="preserve">Może także skorzystać z opcji, w której system jest hostowany na </w:t>
      </w:r>
      <w:r w:rsidR="00DA169E">
        <w:t xml:space="preserve">serwerach </w:t>
      </w:r>
      <w:r w:rsidR="00B3078E">
        <w:t>firmy będącej autorem oprogramowania</w:t>
      </w:r>
      <w:r w:rsidR="00792301">
        <w:t>.</w:t>
      </w:r>
    </w:p>
    <w:p w14:paraId="4E6595C5" w14:textId="0FCC2ACB" w:rsidR="00704C3E" w:rsidRDefault="0057036D" w:rsidP="00BF49D1">
      <w:pPr>
        <w:pStyle w:val="Akapitzlist"/>
        <w:numPr>
          <w:ilvl w:val="0"/>
          <w:numId w:val="3"/>
        </w:numPr>
      </w:pPr>
      <w:r>
        <w:t xml:space="preserve">System </w:t>
      </w:r>
      <w:r w:rsidR="00231BAF">
        <w:t xml:space="preserve">składa się z czujników zbierających pomiary, które następnie przesyłane są </w:t>
      </w:r>
      <w:r w:rsidR="008835FE">
        <w:t xml:space="preserve">do serwisów, które je przetwarzają. </w:t>
      </w:r>
      <w:r w:rsidR="00051C2E">
        <w:t>Do pomiaru zalicza się aktualna temperatura, natężenie światła oraz jakość powietrza</w:t>
      </w:r>
    </w:p>
    <w:p w14:paraId="26925FCD" w14:textId="0F72F6E6" w:rsidR="00051C2E" w:rsidRDefault="006C2B2F" w:rsidP="00BF49D1">
      <w:pPr>
        <w:pStyle w:val="Akapitzlist"/>
        <w:numPr>
          <w:ilvl w:val="0"/>
          <w:numId w:val="3"/>
        </w:numPr>
      </w:pPr>
      <w:r>
        <w:t xml:space="preserve">Aplikacja oparta jest na regułach określających </w:t>
      </w:r>
      <w:r w:rsidR="007521B5">
        <w:t xml:space="preserve">oczekiwaną wartość powyższych parametrów w danej chwili czasu. </w:t>
      </w:r>
      <w:r w:rsidR="006D2E5F">
        <w:t xml:space="preserve">Po </w:t>
      </w:r>
      <w:r w:rsidR="00425B7B">
        <w:t>otrzymaniu</w:t>
      </w:r>
      <w:r w:rsidR="006D2E5F">
        <w:t xml:space="preserve"> każdego z pomiarów </w:t>
      </w:r>
      <w:r w:rsidR="00425B7B">
        <w:t xml:space="preserve">porównywane są wartości oczekiwane z rzeczywistymi i na tej podstawie </w:t>
      </w:r>
      <w:r w:rsidR="00CE672B">
        <w:t xml:space="preserve">aplikacja przygotowuje wynik. Domyślnie istnieje reguła </w:t>
      </w:r>
      <w:r w:rsidR="0008470C">
        <w:t xml:space="preserve">podstawowa, gdzie oczekiwana temperatura wynosi 24,5. </w:t>
      </w:r>
      <w:r w:rsidR="002130C3">
        <w:t>Więcej informacji odnośnie tego skąd taka wartość została</w:t>
      </w:r>
      <w:r w:rsidR="00EE213A">
        <w:t xml:space="preserve"> ustalona </w:t>
      </w:r>
      <w:r w:rsidR="002130C3">
        <w:t>można uzyskać</w:t>
      </w:r>
      <w:r w:rsidR="00EE213A">
        <w:t xml:space="preserve">, patrząc na </w:t>
      </w:r>
      <w:r w:rsidR="008F06C0">
        <w:t>tabelę 1</w:t>
      </w:r>
    </w:p>
    <w:p w14:paraId="48768AAE" w14:textId="2E66DF18" w:rsidR="00F21E92" w:rsidRDefault="004C4D1B" w:rsidP="00BF49D1">
      <w:pPr>
        <w:pStyle w:val="Akapitzlist"/>
        <w:numPr>
          <w:ilvl w:val="0"/>
          <w:numId w:val="3"/>
        </w:numPr>
      </w:pPr>
      <w:r>
        <w:t xml:space="preserve">System przewiduje dwie role użytkowników: pracowników danej organizacji, którzy </w:t>
      </w:r>
      <w:r w:rsidR="00127839">
        <w:t xml:space="preserve">mogą tworzyć własne reguły dla pomieszczeń do nich przypisanych, oraz administratorów organizacji, którzy </w:t>
      </w:r>
      <w:r w:rsidR="0081002C">
        <w:t>posiadają wszystkie uprawnienia przypisane pracownikom, a ponadto możliwość zarządzania</w:t>
      </w:r>
      <w:r w:rsidR="00CA2C92">
        <w:t xml:space="preserve"> informacjami dotyczącymi organizacji, budynków, pomieszczeń i czujników</w:t>
      </w:r>
    </w:p>
    <w:p w14:paraId="10B519B9" w14:textId="1C85C185" w:rsidR="002566CC" w:rsidRDefault="00EB0405" w:rsidP="008F06C0">
      <w:r>
        <w:t xml:space="preserve">Poniższa tabela pokazuje porównanie wyników </w:t>
      </w:r>
      <w:r w:rsidR="00111E73">
        <w:t xml:space="preserve">z różnych artykułów traktujących o optymalnej </w:t>
      </w:r>
      <w:r w:rsidR="00B75C10">
        <w:t>temperaturze w pomieszczeniach: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0556" w14:paraId="3C8D79DF" w14:textId="77777777" w:rsidTr="00DC0556">
        <w:tc>
          <w:tcPr>
            <w:tcW w:w="4531" w:type="dxa"/>
          </w:tcPr>
          <w:p w14:paraId="79F40ADE" w14:textId="4A2041E8" w:rsidR="00DC0556" w:rsidRDefault="004E1522" w:rsidP="00A02855">
            <w:r>
              <w:t>Badanie</w:t>
            </w:r>
          </w:p>
        </w:tc>
        <w:tc>
          <w:tcPr>
            <w:tcW w:w="4531" w:type="dxa"/>
          </w:tcPr>
          <w:p w14:paraId="2251F0BE" w14:textId="08CE8E51" w:rsidR="00DC0556" w:rsidRDefault="00DC0556" w:rsidP="00A02855">
            <w:r>
              <w:t>Optymalna temperatura</w:t>
            </w:r>
          </w:p>
        </w:tc>
      </w:tr>
      <w:tr w:rsidR="00DC0556" w14:paraId="3F8ED996" w14:textId="77777777" w:rsidTr="00DC0556">
        <w:tc>
          <w:tcPr>
            <w:tcW w:w="4531" w:type="dxa"/>
          </w:tcPr>
          <w:p w14:paraId="1A89397B" w14:textId="0D43C567" w:rsidR="00DC0556" w:rsidRDefault="005E11E7" w:rsidP="00A02855">
            <w:sdt>
              <w:sdtPr>
                <w:id w:val="1190028287"/>
                <w:citation/>
              </w:sdtPr>
              <w:sdtEndPr/>
              <w:sdtContent>
                <w:r w:rsidR="00C5734D" w:rsidRPr="00C5734D">
                  <w:fldChar w:fldCharType="begin"/>
                </w:r>
                <w:r w:rsidR="00C5734D" w:rsidRPr="00C5734D">
                  <w:instrText xml:space="preserve"> CITATION Lan12 \l 1045 </w:instrText>
                </w:r>
                <w:r w:rsidR="00C5734D" w:rsidRPr="00C5734D">
                  <w:fldChar w:fldCharType="separate"/>
                </w:r>
                <w:r w:rsidR="00E041A7">
                  <w:rPr>
                    <w:noProof/>
                  </w:rPr>
                  <w:t>(Lan, Wargocki i Lian, 2012)</w:t>
                </w:r>
                <w:r w:rsidR="00C5734D" w:rsidRPr="00C5734D">
                  <w:fldChar w:fldCharType="end"/>
                </w:r>
              </w:sdtContent>
            </w:sdt>
          </w:p>
        </w:tc>
        <w:tc>
          <w:tcPr>
            <w:tcW w:w="4531" w:type="dxa"/>
          </w:tcPr>
          <w:p w14:paraId="1D6ED284" w14:textId="5193E719" w:rsidR="00DC0556" w:rsidRPr="00856F4B" w:rsidRDefault="006B7323" w:rsidP="00A02855">
            <w:r>
              <w:t>23.5</w:t>
            </w:r>
            <w:r w:rsidR="00821372">
              <w:rPr>
                <w:vertAlign w:val="superscript"/>
              </w:rPr>
              <w:t>0</w:t>
            </w:r>
            <w:r>
              <w:t xml:space="preserve"> </w:t>
            </w:r>
            <w:r w:rsidR="00856F4B">
              <w:t xml:space="preserve">C </w:t>
            </w:r>
            <w:r>
              <w:t>– 25.5</w:t>
            </w:r>
            <w:r w:rsidR="00821372">
              <w:rPr>
                <w:vertAlign w:val="superscript"/>
              </w:rPr>
              <w:t>0</w:t>
            </w:r>
            <w:r w:rsidR="00856F4B">
              <w:rPr>
                <w:vertAlign w:val="superscript"/>
              </w:rPr>
              <w:t xml:space="preserve"> </w:t>
            </w:r>
            <w:r w:rsidR="00856F4B">
              <w:t>C</w:t>
            </w:r>
          </w:p>
        </w:tc>
      </w:tr>
      <w:tr w:rsidR="00DC0556" w14:paraId="770F4D4A" w14:textId="77777777" w:rsidTr="00DC0556">
        <w:tc>
          <w:tcPr>
            <w:tcW w:w="4531" w:type="dxa"/>
          </w:tcPr>
          <w:p w14:paraId="663E1BD8" w14:textId="64E76321" w:rsidR="00DC0556" w:rsidRDefault="005E11E7" w:rsidP="00A02855">
            <w:sdt>
              <w:sdtPr>
                <w:id w:val="-430812592"/>
                <w:citation/>
              </w:sdtPr>
              <w:sdtEndPr/>
              <w:sdtContent>
                <w:r w:rsidR="00D47CBE">
                  <w:fldChar w:fldCharType="begin"/>
                </w:r>
                <w:r w:rsidR="00D47CBE">
                  <w:instrText xml:space="preserve"> CITATION Dai14 \l 1045 </w:instrText>
                </w:r>
                <w:r w:rsidR="00D47CBE">
                  <w:fldChar w:fldCharType="separate"/>
                </w:r>
                <w:r w:rsidR="00E041A7">
                  <w:rPr>
                    <w:noProof/>
                  </w:rPr>
                  <w:t>(Dai, Lan i Lian, 2014)</w:t>
                </w:r>
                <w:r w:rsidR="00D47CBE">
                  <w:fldChar w:fldCharType="end"/>
                </w:r>
              </w:sdtContent>
            </w:sdt>
          </w:p>
        </w:tc>
        <w:tc>
          <w:tcPr>
            <w:tcW w:w="4531" w:type="dxa"/>
          </w:tcPr>
          <w:p w14:paraId="77BF0AD4" w14:textId="32159980" w:rsidR="00DC0556" w:rsidRPr="00856F4B" w:rsidRDefault="00B46736" w:rsidP="00A02855">
            <w:r>
              <w:t>23</w:t>
            </w:r>
            <w:r w:rsidR="00821372">
              <w:rPr>
                <w:vertAlign w:val="superscript"/>
              </w:rPr>
              <w:t>0</w:t>
            </w:r>
            <w:r>
              <w:t xml:space="preserve"> </w:t>
            </w:r>
            <w:r w:rsidR="00856F4B">
              <w:t xml:space="preserve">C </w:t>
            </w:r>
            <w:r>
              <w:t>– 26.5</w:t>
            </w:r>
            <w:r w:rsidR="00821372">
              <w:rPr>
                <w:vertAlign w:val="superscript"/>
              </w:rPr>
              <w:t xml:space="preserve">0 </w:t>
            </w:r>
            <w:r w:rsidR="00856F4B">
              <w:t>C</w:t>
            </w:r>
          </w:p>
        </w:tc>
      </w:tr>
      <w:tr w:rsidR="00DC0556" w14:paraId="5E6AE34C" w14:textId="77777777" w:rsidTr="00DC0556">
        <w:tc>
          <w:tcPr>
            <w:tcW w:w="4531" w:type="dxa"/>
          </w:tcPr>
          <w:p w14:paraId="21150DD7" w14:textId="6F7B0F43" w:rsidR="00DC0556" w:rsidRDefault="005E11E7" w:rsidP="00A02855">
            <w:sdt>
              <w:sdtPr>
                <w:id w:val="1673521559"/>
                <w:citation/>
              </w:sdtPr>
              <w:sdtEndPr/>
              <w:sdtContent>
                <w:r w:rsidR="00C51D01">
                  <w:fldChar w:fldCharType="begin"/>
                </w:r>
                <w:r w:rsidR="00C51D01">
                  <w:instrText xml:space="preserve"> CITATION Hed05 \l 1045 </w:instrText>
                </w:r>
                <w:r w:rsidR="00C51D01">
                  <w:fldChar w:fldCharType="separate"/>
                </w:r>
                <w:r w:rsidR="00E041A7">
                  <w:rPr>
                    <w:noProof/>
                  </w:rPr>
                  <w:t>(Hedge, Sakr i Agarwal, 2005)</w:t>
                </w:r>
                <w:r w:rsidR="00C51D01">
                  <w:fldChar w:fldCharType="end"/>
                </w:r>
              </w:sdtContent>
            </w:sdt>
          </w:p>
        </w:tc>
        <w:tc>
          <w:tcPr>
            <w:tcW w:w="4531" w:type="dxa"/>
          </w:tcPr>
          <w:p w14:paraId="3FC0B19E" w14:textId="01AEA12A" w:rsidR="00DC0556" w:rsidRPr="00856F4B" w:rsidRDefault="00837F63" w:rsidP="008F06C0">
            <w:pPr>
              <w:keepNext/>
            </w:pPr>
            <w:r>
              <w:t>24</w:t>
            </w:r>
            <w:r w:rsidR="00821372">
              <w:rPr>
                <w:vertAlign w:val="superscript"/>
              </w:rPr>
              <w:t>0</w:t>
            </w:r>
            <w:r>
              <w:t xml:space="preserve"> </w:t>
            </w:r>
            <w:r w:rsidR="00856F4B">
              <w:t xml:space="preserve">C </w:t>
            </w:r>
            <w:r>
              <w:t>- 25</w:t>
            </w:r>
            <w:r w:rsidR="00821372">
              <w:rPr>
                <w:vertAlign w:val="superscript"/>
              </w:rPr>
              <w:t>0</w:t>
            </w:r>
            <w:r w:rsidR="00856F4B">
              <w:rPr>
                <w:vertAlign w:val="superscript"/>
              </w:rPr>
              <w:t xml:space="preserve"> </w:t>
            </w:r>
            <w:r w:rsidR="00856F4B">
              <w:t>C</w:t>
            </w:r>
          </w:p>
        </w:tc>
      </w:tr>
    </w:tbl>
    <w:p w14:paraId="443EF026" w14:textId="29728667" w:rsidR="00B75C10" w:rsidRDefault="008F06C0" w:rsidP="00017E16">
      <w:pPr>
        <w:pStyle w:val="Legenda"/>
        <w:jc w:val="center"/>
      </w:pPr>
      <w:r>
        <w:t xml:space="preserve">Tabela </w:t>
      </w:r>
      <w:r w:rsidR="005E11E7">
        <w:fldChar w:fldCharType="begin"/>
      </w:r>
      <w:r w:rsidR="005E11E7">
        <w:instrText xml:space="preserve"> SEQ Tabela \* ARABIC </w:instrText>
      </w:r>
      <w:r w:rsidR="005E11E7">
        <w:fldChar w:fldCharType="separate"/>
      </w:r>
      <w:r w:rsidR="00D646F3">
        <w:rPr>
          <w:noProof/>
        </w:rPr>
        <w:t>1</w:t>
      </w:r>
      <w:r w:rsidR="005E11E7">
        <w:rPr>
          <w:noProof/>
        </w:rPr>
        <w:fldChar w:fldCharType="end"/>
      </w:r>
      <w:r>
        <w:t>: Porównanie wyników badań estymujących optymalną temperaturę</w:t>
      </w:r>
    </w:p>
    <w:p w14:paraId="1487F29F" w14:textId="416AFBCD" w:rsidR="00106B37" w:rsidRDefault="00106B37" w:rsidP="00A02855">
      <w:r>
        <w:t xml:space="preserve">W oparciu o powyższe badania </w:t>
      </w:r>
      <w:r w:rsidR="003B19D1">
        <w:t xml:space="preserve">wyliczono średnią optymalną temperaturę </w:t>
      </w:r>
      <w:r w:rsidR="00245638">
        <w:t>wynoszącą 24,5.</w:t>
      </w:r>
    </w:p>
    <w:p w14:paraId="404ACB21" w14:textId="5DFC50B3" w:rsidR="00A60DEF" w:rsidRDefault="00F30142" w:rsidP="00A02855">
      <w:r>
        <w:t>Kolejna z tabel porównuje poziom natężenia światła</w:t>
      </w:r>
      <w:r w:rsidR="001D4B29">
        <w:t>, który skutkował najlepszą efektywnością pracowników: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1372" w14:paraId="7814BF23" w14:textId="77777777" w:rsidTr="00821372">
        <w:tc>
          <w:tcPr>
            <w:tcW w:w="4531" w:type="dxa"/>
          </w:tcPr>
          <w:p w14:paraId="234FE6ED" w14:textId="10DFD9CA" w:rsidR="00821372" w:rsidRDefault="00821372" w:rsidP="00A02855">
            <w:r>
              <w:t>Badanie</w:t>
            </w:r>
          </w:p>
        </w:tc>
        <w:tc>
          <w:tcPr>
            <w:tcW w:w="4531" w:type="dxa"/>
          </w:tcPr>
          <w:p w14:paraId="4B5ADE73" w14:textId="78713A1F" w:rsidR="00821372" w:rsidRDefault="00821372" w:rsidP="00A02855">
            <w:r>
              <w:t>Optymalne natężenie światła</w:t>
            </w:r>
          </w:p>
        </w:tc>
      </w:tr>
      <w:tr w:rsidR="00821372" w14:paraId="0767EF17" w14:textId="77777777" w:rsidTr="00821372">
        <w:tc>
          <w:tcPr>
            <w:tcW w:w="4531" w:type="dxa"/>
          </w:tcPr>
          <w:p w14:paraId="4EF587FE" w14:textId="4213A3CB" w:rsidR="00821372" w:rsidRDefault="005E11E7" w:rsidP="00A02855">
            <w:sdt>
              <w:sdtPr>
                <w:id w:val="-531031939"/>
                <w:citation/>
              </w:sdtPr>
              <w:sdtEndPr/>
              <w:sdtContent>
                <w:r w:rsidR="002D2A46">
                  <w:fldChar w:fldCharType="begin"/>
                </w:r>
                <w:r w:rsidR="002D2A46">
                  <w:instrText xml:space="preserve"> CITATION Lin14 \l 1045 </w:instrText>
                </w:r>
                <w:r w:rsidR="002D2A46">
                  <w:fldChar w:fldCharType="separate"/>
                </w:r>
                <w:r w:rsidR="00E041A7">
                  <w:rPr>
                    <w:noProof/>
                  </w:rPr>
                  <w:t>(Lin i Huan, 2014)</w:t>
                </w:r>
                <w:r w:rsidR="002D2A46">
                  <w:fldChar w:fldCharType="end"/>
                </w:r>
              </w:sdtContent>
            </w:sdt>
          </w:p>
        </w:tc>
        <w:tc>
          <w:tcPr>
            <w:tcW w:w="4531" w:type="dxa"/>
          </w:tcPr>
          <w:p w14:paraId="3C6EF2DD" w14:textId="43198088" w:rsidR="00821372" w:rsidRDefault="00856F4B" w:rsidP="00A02855">
            <w:r>
              <w:t xml:space="preserve">500 </w:t>
            </w:r>
            <w:r w:rsidR="002D2A46">
              <w:t>l</w:t>
            </w:r>
            <w:r>
              <w:t>x</w:t>
            </w:r>
          </w:p>
        </w:tc>
      </w:tr>
      <w:tr w:rsidR="00821372" w14:paraId="3ECFD94E" w14:textId="77777777" w:rsidTr="00821372">
        <w:tc>
          <w:tcPr>
            <w:tcW w:w="4531" w:type="dxa"/>
          </w:tcPr>
          <w:p w14:paraId="394C00ED" w14:textId="5A6BA557" w:rsidR="00821372" w:rsidRPr="00017E16" w:rsidRDefault="005E11E7" w:rsidP="00A02855">
            <w:pPr>
              <w:rPr>
                <w:lang w:val="en-US"/>
              </w:rPr>
            </w:pPr>
            <w:sdt>
              <w:sdtPr>
                <w:id w:val="408580288"/>
                <w:citation/>
              </w:sdtPr>
              <w:sdtEndPr/>
              <w:sdtContent>
                <w:r w:rsidR="0010035E">
                  <w:fldChar w:fldCharType="begin"/>
                </w:r>
                <w:r w:rsidR="0010035E" w:rsidRPr="00017E16">
                  <w:rPr>
                    <w:lang w:val="en-US"/>
                  </w:rPr>
                  <w:instrText xml:space="preserve"> CITATION Liu17 \l 1045 </w:instrText>
                </w:r>
                <w:r w:rsidR="0010035E">
                  <w:fldChar w:fldCharType="separate"/>
                </w:r>
                <w:r w:rsidR="00E041A7" w:rsidRPr="00E041A7">
                  <w:rPr>
                    <w:noProof/>
                    <w:lang w:val="en-US"/>
                  </w:rPr>
                  <w:t>(Liu, Lin, Huang i Chen, 2017)</w:t>
                </w:r>
                <w:r w:rsidR="0010035E">
                  <w:fldChar w:fldCharType="end"/>
                </w:r>
              </w:sdtContent>
            </w:sdt>
          </w:p>
        </w:tc>
        <w:tc>
          <w:tcPr>
            <w:tcW w:w="4531" w:type="dxa"/>
          </w:tcPr>
          <w:p w14:paraId="33CC4716" w14:textId="671CD54F" w:rsidR="00821372" w:rsidRDefault="00856F4B" w:rsidP="00017E16">
            <w:pPr>
              <w:keepNext/>
            </w:pPr>
            <w:r>
              <w:t xml:space="preserve">600 </w:t>
            </w:r>
            <w:r w:rsidR="002D2A46">
              <w:t>l</w:t>
            </w:r>
            <w:r>
              <w:t>x</w:t>
            </w:r>
          </w:p>
        </w:tc>
      </w:tr>
    </w:tbl>
    <w:p w14:paraId="33B0C077" w14:textId="5E4F76C4" w:rsidR="001D4B29" w:rsidRDefault="00017E16" w:rsidP="00017E16">
      <w:pPr>
        <w:pStyle w:val="Legenda"/>
        <w:jc w:val="center"/>
      </w:pPr>
      <w:r>
        <w:t xml:space="preserve">Tabela </w:t>
      </w:r>
      <w:r w:rsidR="005E11E7">
        <w:fldChar w:fldCharType="begin"/>
      </w:r>
      <w:r w:rsidR="005E11E7">
        <w:instrText xml:space="preserve"> SEQ Tabela \* ARABIC </w:instrText>
      </w:r>
      <w:r w:rsidR="005E11E7">
        <w:fldChar w:fldCharType="separate"/>
      </w:r>
      <w:r w:rsidR="00D646F3">
        <w:rPr>
          <w:noProof/>
        </w:rPr>
        <w:t>2</w:t>
      </w:r>
      <w:r w:rsidR="005E11E7">
        <w:rPr>
          <w:noProof/>
        </w:rPr>
        <w:fldChar w:fldCharType="end"/>
      </w:r>
      <w:r>
        <w:t>: Porównanie wyników badań estymujących optymalne natężenie światła</w:t>
      </w:r>
    </w:p>
    <w:p w14:paraId="6284A182" w14:textId="67502EB8" w:rsidR="00017E16" w:rsidRDefault="00017E16" w:rsidP="00017E16">
      <w:r>
        <w:t>W oparciu o powyższe badania wyliczono średnią optymalne natężenie światła wynoszące 550 lx.</w:t>
      </w:r>
    </w:p>
    <w:p w14:paraId="0A1D4035" w14:textId="5B527BF0" w:rsidR="001040DF" w:rsidRPr="00300AE3" w:rsidRDefault="007175BC" w:rsidP="00017E16">
      <w:r>
        <w:t xml:space="preserve">Jakość powietrza jest mierzona jako stężenie pyłów </w:t>
      </w:r>
      <w:r w:rsidR="007359CA">
        <w:t>PM</w:t>
      </w:r>
      <w:r>
        <w:t>2.5.</w:t>
      </w:r>
      <w:r w:rsidR="007359CA">
        <w:t xml:space="preserve"> Przyjmuje się, że stężenie nie powinno przekraczać poziomu </w:t>
      </w:r>
      <w:r w:rsidR="00C9328D">
        <w:t>dopuszczalnego zdefiniowanego przez państwową Inspekcję Ochrony Środowiska (</w:t>
      </w:r>
      <w:hyperlink r:id="rId11" w:history="1">
        <w:r w:rsidR="00C9328D">
          <w:rPr>
            <w:rStyle w:val="Hipercze"/>
          </w:rPr>
          <w:t>Poziomy dopuszczalne zanieczyszczeń w powietrzu ze względu na ochronę zdrowia ludzi i ochronę roślin, terminy ich osiągnięcia oraz okresy, dla których uśrednia się wyniki pomiarów - GIOŚ (gios.gov.pl)</w:t>
        </w:r>
      </w:hyperlink>
      <w:r w:rsidR="00C9328D">
        <w:t>). Obecnie</w:t>
      </w:r>
      <w:r w:rsidR="00E36514">
        <w:t xml:space="preserve"> wartość natężeni</w:t>
      </w:r>
      <w:r w:rsidR="008D3407">
        <w:t>a</w:t>
      </w:r>
      <w:r w:rsidR="00E36514">
        <w:t xml:space="preserve"> nie powinna przekraczać </w:t>
      </w:r>
      <w:r w:rsidR="00300AE3">
        <w:t xml:space="preserve">20 </w:t>
      </w:r>
      <w:r w:rsidR="00300AE3">
        <w:rPr>
          <w:rFonts w:cstheme="minorHAnsi"/>
        </w:rPr>
        <w:t>µ</w:t>
      </w:r>
      <w:r w:rsidR="00300AE3">
        <w:t>g/m</w:t>
      </w:r>
      <w:r w:rsidR="00300AE3">
        <w:rPr>
          <w:vertAlign w:val="superscript"/>
        </w:rPr>
        <w:t>3</w:t>
      </w:r>
      <w:r w:rsidR="00300AE3">
        <w:t>.</w:t>
      </w:r>
    </w:p>
    <w:p w14:paraId="5B42D73B" w14:textId="77777777" w:rsidR="00300AE3" w:rsidRDefault="00300A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3D3136" w14:textId="535980B7" w:rsidR="00CF1175" w:rsidRDefault="00CF1175" w:rsidP="00515699">
      <w:pPr>
        <w:pStyle w:val="Nagwek1"/>
      </w:pPr>
      <w:bookmarkStart w:id="6" w:name="_Toc92090804"/>
      <w:r>
        <w:lastRenderedPageBreak/>
        <w:t>Przegląd wykorzystywanych narzędzi</w:t>
      </w:r>
      <w:bookmarkEnd w:id="6"/>
    </w:p>
    <w:p w14:paraId="2BABDFB9" w14:textId="095BF9A7" w:rsidR="00CF1175" w:rsidRPr="00CF1175" w:rsidRDefault="00CF1175" w:rsidP="00CF1175">
      <w:pPr>
        <w:rPr>
          <w:color w:val="FF0000"/>
        </w:rPr>
      </w:pPr>
      <w:r w:rsidRPr="00CF1175">
        <w:rPr>
          <w:color w:val="FF0000"/>
        </w:rPr>
        <w:t>Przegląd wykorzystywanych narzędzi</w:t>
      </w:r>
    </w:p>
    <w:p w14:paraId="007B2CA1" w14:textId="51A9DAD6" w:rsidR="00245638" w:rsidRDefault="00515699" w:rsidP="00515699">
      <w:pPr>
        <w:pStyle w:val="Nagwek1"/>
      </w:pPr>
      <w:bookmarkStart w:id="7" w:name="_Toc92090805"/>
      <w:r>
        <w:t>Projekt</w:t>
      </w:r>
      <w:bookmarkEnd w:id="7"/>
    </w:p>
    <w:p w14:paraId="695F8A1F" w14:textId="0B947950" w:rsidR="00515699" w:rsidRDefault="002E5D2D" w:rsidP="00515699">
      <w:r>
        <w:t xml:space="preserve">Poniższy rysunek przedstawia </w:t>
      </w:r>
      <w:r w:rsidR="0005737F">
        <w:t>pełną architekturę aplikacji:</w:t>
      </w:r>
    </w:p>
    <w:p w14:paraId="172D25E1" w14:textId="4BF0F183" w:rsidR="0005737F" w:rsidRDefault="006F7EC9" w:rsidP="0005737F">
      <w:pPr>
        <w:keepNext/>
      </w:pPr>
      <w:r w:rsidRPr="006F7EC9">
        <w:rPr>
          <w:noProof/>
        </w:rPr>
        <w:drawing>
          <wp:inline distT="0" distB="0" distL="0" distR="0" wp14:anchorId="756E0DAC" wp14:editId="29485655">
            <wp:extent cx="5760720" cy="28454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98E0" w14:textId="08B2453C" w:rsidR="0005737F" w:rsidRDefault="0005737F" w:rsidP="0005737F">
      <w:pPr>
        <w:pStyle w:val="Legenda"/>
      </w:pPr>
      <w:r>
        <w:t xml:space="preserve">Rysunek </w:t>
      </w:r>
      <w:r w:rsidR="005E11E7">
        <w:fldChar w:fldCharType="begin"/>
      </w:r>
      <w:r w:rsidR="005E11E7">
        <w:instrText xml:space="preserve"> SEQ Rysunek \* ARABIC </w:instrText>
      </w:r>
      <w:r w:rsidR="005E11E7">
        <w:fldChar w:fldCharType="separate"/>
      </w:r>
      <w:r w:rsidR="00D646F3">
        <w:rPr>
          <w:noProof/>
        </w:rPr>
        <w:t>1</w:t>
      </w:r>
      <w:r w:rsidR="005E11E7">
        <w:rPr>
          <w:noProof/>
        </w:rPr>
        <w:fldChar w:fldCharType="end"/>
      </w:r>
      <w:r>
        <w:t>: Architektura systemu</w:t>
      </w:r>
    </w:p>
    <w:p w14:paraId="35486C04" w14:textId="13316C04" w:rsidR="005A23AE" w:rsidRDefault="005A23AE" w:rsidP="00D75285">
      <w:r>
        <w:t xml:space="preserve">Na całość składają się </w:t>
      </w:r>
      <w:r w:rsidR="00C60DB2">
        <w:t>serwisy opisane poniżej. System</w:t>
      </w:r>
      <w:r w:rsidR="0040674F">
        <w:t xml:space="preserve"> zawiera mikrousługi danych:</w:t>
      </w:r>
    </w:p>
    <w:p w14:paraId="6A09925E" w14:textId="4F13CC3C" w:rsidR="0040674F" w:rsidRDefault="0040674F" w:rsidP="0040674F">
      <w:pPr>
        <w:pStyle w:val="Akapitzlist"/>
        <w:numPr>
          <w:ilvl w:val="0"/>
          <w:numId w:val="5"/>
        </w:numPr>
      </w:pPr>
      <w:r w:rsidRPr="002A4193">
        <w:rPr>
          <w:b/>
          <w:bCs/>
        </w:rPr>
        <w:t xml:space="preserve">Users data </w:t>
      </w:r>
      <w:r w:rsidR="006F7EC9" w:rsidRPr="002A4193">
        <w:rPr>
          <w:b/>
          <w:bCs/>
        </w:rPr>
        <w:t>service</w:t>
      </w:r>
      <w:r w:rsidR="006F7EC9" w:rsidRPr="000F69FF">
        <w:t xml:space="preserve"> </w:t>
      </w:r>
      <w:r w:rsidR="000F69FF" w:rsidRPr="000F69FF">
        <w:t>–</w:t>
      </w:r>
      <w:r w:rsidR="006F7EC9" w:rsidRPr="000F69FF">
        <w:t xml:space="preserve"> </w:t>
      </w:r>
      <w:r w:rsidR="000F69FF" w:rsidRPr="000F69FF">
        <w:t>serwis przechowujący dane do</w:t>
      </w:r>
      <w:r w:rsidR="000F69FF">
        <w:t>tyczące użytkowników</w:t>
      </w:r>
    </w:p>
    <w:p w14:paraId="458F023F" w14:textId="1BA6B413" w:rsidR="000F69FF" w:rsidRDefault="000F69FF" w:rsidP="0040674F">
      <w:pPr>
        <w:pStyle w:val="Akapitzlist"/>
        <w:numPr>
          <w:ilvl w:val="0"/>
          <w:numId w:val="5"/>
        </w:numPr>
      </w:pPr>
      <w:r w:rsidRPr="002A4193">
        <w:rPr>
          <w:b/>
          <w:bCs/>
        </w:rPr>
        <w:t>Addresses data service</w:t>
      </w:r>
      <w:r w:rsidRPr="00727417">
        <w:t xml:space="preserve"> – serwis przechowujący adresy</w:t>
      </w:r>
      <w:r w:rsidR="00727417" w:rsidRPr="00727417">
        <w:t xml:space="preserve"> za</w:t>
      </w:r>
      <w:r w:rsidR="00727417">
        <w:t>równo organizacji, jak i poszczególnych budynków</w:t>
      </w:r>
    </w:p>
    <w:p w14:paraId="6557043B" w14:textId="40068E10" w:rsidR="0083240B" w:rsidRDefault="0083240B" w:rsidP="0040674F">
      <w:pPr>
        <w:pStyle w:val="Akapitzlist"/>
        <w:numPr>
          <w:ilvl w:val="0"/>
          <w:numId w:val="5"/>
        </w:numPr>
      </w:pPr>
      <w:r w:rsidRPr="002A4193">
        <w:rPr>
          <w:b/>
          <w:bCs/>
        </w:rPr>
        <w:t>Facilities data service</w:t>
      </w:r>
      <w:r w:rsidRPr="0083240B">
        <w:t xml:space="preserve"> – serwis przechowujący </w:t>
      </w:r>
      <w:r>
        <w:t>szczegółowe dane dotyczące budynków</w:t>
      </w:r>
    </w:p>
    <w:p w14:paraId="5684D7D3" w14:textId="51DF39B9" w:rsidR="0083240B" w:rsidRDefault="0083240B" w:rsidP="0040674F">
      <w:pPr>
        <w:pStyle w:val="Akapitzlist"/>
        <w:numPr>
          <w:ilvl w:val="0"/>
          <w:numId w:val="5"/>
        </w:numPr>
      </w:pPr>
      <w:r w:rsidRPr="002A4193">
        <w:rPr>
          <w:b/>
          <w:bCs/>
        </w:rPr>
        <w:t>Policies data service</w:t>
      </w:r>
      <w:r w:rsidRPr="0083240B">
        <w:t xml:space="preserve"> – serwis przechowujący reguły</w:t>
      </w:r>
      <w:r w:rsidR="001068C2">
        <w:t xml:space="preserve"> określające oczekiwaną wartość mierzonych parametrów</w:t>
      </w:r>
    </w:p>
    <w:p w14:paraId="7BB6627E" w14:textId="3B93592B" w:rsidR="001068C2" w:rsidRDefault="001068C2" w:rsidP="0040674F">
      <w:pPr>
        <w:pStyle w:val="Akapitzlist"/>
        <w:numPr>
          <w:ilvl w:val="0"/>
          <w:numId w:val="5"/>
        </w:numPr>
      </w:pPr>
      <w:r w:rsidRPr="002A4193">
        <w:rPr>
          <w:b/>
          <w:bCs/>
        </w:rPr>
        <w:t>Sensors data service</w:t>
      </w:r>
      <w:r w:rsidRPr="00CB68B8">
        <w:t xml:space="preserve"> – serwis przechowujący </w:t>
      </w:r>
      <w:r w:rsidR="00CB68B8" w:rsidRPr="00CB68B8">
        <w:t>szcz</w:t>
      </w:r>
      <w:r w:rsidR="00CB68B8">
        <w:t>egółowe dane dotyczące wykorzystywanych czujników</w:t>
      </w:r>
    </w:p>
    <w:p w14:paraId="1ED0A303" w14:textId="4E4B249F" w:rsidR="00CB68B8" w:rsidRDefault="00CB68B8" w:rsidP="0040674F">
      <w:pPr>
        <w:pStyle w:val="Akapitzlist"/>
        <w:numPr>
          <w:ilvl w:val="0"/>
          <w:numId w:val="5"/>
        </w:numPr>
      </w:pPr>
      <w:r w:rsidRPr="002A4193">
        <w:rPr>
          <w:b/>
          <w:bCs/>
        </w:rPr>
        <w:t>Sensor state history data service</w:t>
      </w:r>
      <w:r w:rsidRPr="00CB68B8">
        <w:t xml:space="preserve"> – serwis przechowujący historyczne pomia</w:t>
      </w:r>
      <w:r>
        <w:t>ry z po</w:t>
      </w:r>
      <w:r w:rsidR="003438DB">
        <w:t>sz</w:t>
      </w:r>
      <w:r>
        <w:t>czególnych czujników</w:t>
      </w:r>
    </w:p>
    <w:p w14:paraId="1068AEB5" w14:textId="6B31AA95" w:rsidR="00CB68B8" w:rsidRDefault="009B78E8" w:rsidP="0040674F">
      <w:pPr>
        <w:pStyle w:val="Akapitzlist"/>
        <w:numPr>
          <w:ilvl w:val="0"/>
          <w:numId w:val="5"/>
        </w:numPr>
      </w:pPr>
      <w:r w:rsidRPr="002A4193">
        <w:rPr>
          <w:b/>
          <w:bCs/>
        </w:rPr>
        <w:t>Sensor state data service</w:t>
      </w:r>
      <w:r w:rsidRPr="003438DB">
        <w:t xml:space="preserve"> </w:t>
      </w:r>
      <w:r w:rsidR="00D148BB" w:rsidRPr="003438DB">
        <w:t>–</w:t>
      </w:r>
      <w:r w:rsidRPr="003438DB">
        <w:t xml:space="preserve"> serwis</w:t>
      </w:r>
      <w:r w:rsidR="00D148BB" w:rsidRPr="003438DB">
        <w:t xml:space="preserve"> przesyłający </w:t>
      </w:r>
      <w:r w:rsidR="003438DB" w:rsidRPr="003438DB">
        <w:t>pomiary o</w:t>
      </w:r>
      <w:r w:rsidR="003438DB">
        <w:t xml:space="preserve">d czujników. Oferuje styk umożliwiający otrzymanie </w:t>
      </w:r>
      <w:r w:rsidR="0022196B">
        <w:t>aktualnego stanu w pomieszczeniu</w:t>
      </w:r>
    </w:p>
    <w:p w14:paraId="6B69FE47" w14:textId="5B9E9E1D" w:rsidR="002A4193" w:rsidRPr="00D412ED" w:rsidRDefault="002A4193" w:rsidP="0040674F">
      <w:pPr>
        <w:pStyle w:val="Akapitzlist"/>
        <w:numPr>
          <w:ilvl w:val="0"/>
          <w:numId w:val="5"/>
        </w:numPr>
      </w:pPr>
      <w:r w:rsidRPr="00D412ED">
        <w:rPr>
          <w:b/>
          <w:bCs/>
        </w:rPr>
        <w:t>Security token service</w:t>
      </w:r>
      <w:r w:rsidRPr="00D412ED">
        <w:t xml:space="preserve"> </w:t>
      </w:r>
      <w:r w:rsidR="00D412ED" w:rsidRPr="00D412ED">
        <w:t>–</w:t>
      </w:r>
      <w:r w:rsidRPr="00D412ED">
        <w:t xml:space="preserve"> </w:t>
      </w:r>
      <w:r w:rsidR="00D412ED" w:rsidRPr="00D412ED">
        <w:t xml:space="preserve">serwis przeprowadzający </w:t>
      </w:r>
      <w:r w:rsidR="00D412ED">
        <w:t xml:space="preserve">autoryzację i </w:t>
      </w:r>
      <w:r w:rsidR="00D412ED" w:rsidRPr="00D412ED">
        <w:t>u</w:t>
      </w:r>
      <w:r w:rsidR="00D412ED">
        <w:t>wierzytelnianie użytkowników systemu</w:t>
      </w:r>
    </w:p>
    <w:p w14:paraId="58FEA2DE" w14:textId="2D4F5E43" w:rsidR="00874B82" w:rsidRDefault="00740B17" w:rsidP="00874B82">
      <w:r>
        <w:t>Poza mikrousługami danych aplikacja posiada również serwisy przetwarzające dane:</w:t>
      </w:r>
    </w:p>
    <w:p w14:paraId="58DFF44C" w14:textId="4C5C30B0" w:rsidR="00740B17" w:rsidRDefault="00740B17" w:rsidP="00740B17">
      <w:pPr>
        <w:pStyle w:val="Akapitzlist"/>
        <w:numPr>
          <w:ilvl w:val="0"/>
          <w:numId w:val="6"/>
        </w:numPr>
      </w:pPr>
      <w:r w:rsidRPr="005D1766">
        <w:t xml:space="preserve">Sensor state processing service </w:t>
      </w:r>
      <w:r w:rsidR="005D1766" w:rsidRPr="005D1766">
        <w:t>–</w:t>
      </w:r>
      <w:r w:rsidRPr="005D1766">
        <w:t xml:space="preserve"> </w:t>
      </w:r>
      <w:r w:rsidR="005D1766" w:rsidRPr="005D1766">
        <w:t>serwis otrzymujący dane z czu</w:t>
      </w:r>
      <w:r w:rsidR="005D1766">
        <w:t xml:space="preserve">jników. </w:t>
      </w:r>
      <w:r w:rsidR="00D71984">
        <w:t xml:space="preserve">Zajmuje się ich prawidłowym zapisaniem, po czym wysyła je dalej do serwisu </w:t>
      </w:r>
      <w:r w:rsidR="00A96D2E">
        <w:t>sprawdzającego zgodność wyników rzeczywistych z oczekiwanymi</w:t>
      </w:r>
    </w:p>
    <w:p w14:paraId="06997400" w14:textId="7E08F36E" w:rsidR="00A96D2E" w:rsidRDefault="008A194E" w:rsidP="00740B17">
      <w:pPr>
        <w:pStyle w:val="Akapitzlist"/>
        <w:numPr>
          <w:ilvl w:val="0"/>
          <w:numId w:val="6"/>
        </w:numPr>
      </w:pPr>
      <w:r w:rsidRPr="008A194E">
        <w:t>Policy processing service – serwis przetwarzający da</w:t>
      </w:r>
      <w:r>
        <w:t xml:space="preserve">ne z czujników. </w:t>
      </w:r>
      <w:r w:rsidR="00151813">
        <w:t xml:space="preserve">Porównuje pomiary rzeczywiste z oczekiwanymi, które zostały określone w </w:t>
      </w:r>
      <w:r w:rsidR="00035445">
        <w:t>regułach</w:t>
      </w:r>
    </w:p>
    <w:p w14:paraId="386FBAD9" w14:textId="170E05FC" w:rsidR="00035445" w:rsidRDefault="00035445" w:rsidP="00035445">
      <w:r>
        <w:lastRenderedPageBreak/>
        <w:t>Na system składają się także mikrousługi aplikacyjne:</w:t>
      </w:r>
    </w:p>
    <w:p w14:paraId="10084913" w14:textId="3D208366" w:rsidR="00035445" w:rsidRDefault="00AE7F36" w:rsidP="00035445">
      <w:pPr>
        <w:pStyle w:val="Akapitzlist"/>
        <w:numPr>
          <w:ilvl w:val="0"/>
          <w:numId w:val="7"/>
        </w:numPr>
      </w:pPr>
      <w:r w:rsidRPr="005C6AAD">
        <w:t xml:space="preserve">Employee application service – usługa aplikacyjna dla aplikacji </w:t>
      </w:r>
      <w:r w:rsidR="005C6AAD" w:rsidRPr="005C6AAD">
        <w:t>pracown</w:t>
      </w:r>
      <w:r w:rsidR="005C6AAD">
        <w:t>ików. Oferuje styki umożliwiające zarządzanie kontem, tworzenie</w:t>
      </w:r>
      <w:r w:rsidR="00010E0A">
        <w:t xml:space="preserve"> własnych reguł dla pomieszczeń przypisanych do konkretnego użytkownika</w:t>
      </w:r>
      <w:r w:rsidR="00202CA3">
        <w:t xml:space="preserve"> oraz</w:t>
      </w:r>
      <w:r w:rsidR="00010E0A">
        <w:t xml:space="preserve"> sprawdzanie </w:t>
      </w:r>
      <w:r w:rsidR="00202CA3">
        <w:t xml:space="preserve">ich </w:t>
      </w:r>
      <w:r w:rsidR="00010E0A">
        <w:t>aktualnego stanu</w:t>
      </w:r>
    </w:p>
    <w:p w14:paraId="235DAD9C" w14:textId="3201D263" w:rsidR="00202CA3" w:rsidRDefault="00202CA3" w:rsidP="00035445">
      <w:pPr>
        <w:pStyle w:val="Akapitzlist"/>
        <w:numPr>
          <w:ilvl w:val="0"/>
          <w:numId w:val="7"/>
        </w:numPr>
      </w:pPr>
      <w:r w:rsidRPr="00202CA3">
        <w:t>Admin application service – usługa aplikacyjna dla aplikacj</w:t>
      </w:r>
      <w:r>
        <w:t xml:space="preserve">i administratorów. Oferuje wszystkie styki </w:t>
      </w:r>
      <w:r w:rsidR="0018647C">
        <w:t>udostępniane pracownikom, a ponadto styki umożliwiające zarządzanie informacjami dotyczącymi organizacji, budynków, pomieszczeń i czujników</w:t>
      </w:r>
    </w:p>
    <w:p w14:paraId="0AF0F6CF" w14:textId="7B5079CB" w:rsidR="0080445C" w:rsidRDefault="00A001A6" w:rsidP="0080445C">
      <w:r>
        <w:t>Ostatnimi elementami systemu są aplikacje dla poszczególnych ról użytkowników:</w:t>
      </w:r>
    </w:p>
    <w:p w14:paraId="595D509D" w14:textId="1B25639C" w:rsidR="00A001A6" w:rsidRDefault="00CB7184" w:rsidP="00A001A6">
      <w:pPr>
        <w:pStyle w:val="Akapitzlist"/>
        <w:numPr>
          <w:ilvl w:val="0"/>
          <w:numId w:val="8"/>
        </w:numPr>
      </w:pPr>
      <w:r w:rsidRPr="00014285">
        <w:t xml:space="preserve">Employee application </w:t>
      </w:r>
      <w:r w:rsidR="00014285" w:rsidRPr="00014285">
        <w:t>–</w:t>
      </w:r>
      <w:r w:rsidRPr="00014285">
        <w:t xml:space="preserve"> </w:t>
      </w:r>
      <w:r w:rsidR="00014285" w:rsidRPr="00014285">
        <w:t>aplikacja oferująca graficzny i</w:t>
      </w:r>
      <w:r w:rsidR="00014285">
        <w:t xml:space="preserve">nterfejs do interakcji </w:t>
      </w:r>
      <w:r w:rsidR="00BD1E47">
        <w:t xml:space="preserve">z </w:t>
      </w:r>
      <w:r w:rsidR="002810E0">
        <w:t>usługą aplikacyjną pracowników</w:t>
      </w:r>
    </w:p>
    <w:p w14:paraId="6013BB1B" w14:textId="57BD13B9" w:rsidR="00BD1E47" w:rsidRDefault="00BD1E47" w:rsidP="00A001A6">
      <w:pPr>
        <w:pStyle w:val="Akapitzlist"/>
        <w:numPr>
          <w:ilvl w:val="0"/>
          <w:numId w:val="8"/>
        </w:numPr>
      </w:pPr>
      <w:r>
        <w:t xml:space="preserve">Admin application - </w:t>
      </w:r>
      <w:r w:rsidR="002810E0" w:rsidRPr="00014285">
        <w:t>aplikacja oferująca graficzny i</w:t>
      </w:r>
      <w:r w:rsidR="002810E0">
        <w:t>nterfejs do interakcji z usługą aplikacyjną administratorów</w:t>
      </w:r>
    </w:p>
    <w:p w14:paraId="130A0FE4" w14:textId="77777777" w:rsidR="00300AE3" w:rsidRDefault="00300A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AA7D59" w14:textId="2E47C980" w:rsidR="00A46051" w:rsidRDefault="00AD19EE" w:rsidP="00AD19EE">
      <w:pPr>
        <w:pStyle w:val="Nagwek2"/>
      </w:pPr>
      <w:bookmarkStart w:id="8" w:name="_Toc92090806"/>
      <w:r>
        <w:lastRenderedPageBreak/>
        <w:t>Przechowywane dane</w:t>
      </w:r>
      <w:bookmarkEnd w:id="8"/>
    </w:p>
    <w:p w14:paraId="318E06E6" w14:textId="36EAA22E" w:rsidR="00A46051" w:rsidRDefault="00D52AF2" w:rsidP="00A46051">
      <w:r>
        <w:t>Poniżej przedstawiono diagramy encji obowiązujące dla poszczególnych mikrousług danych</w:t>
      </w:r>
      <w:r w:rsidR="00856754">
        <w:t>:</w:t>
      </w:r>
    </w:p>
    <w:p w14:paraId="4119EEA9" w14:textId="77777777" w:rsidR="00A34E4E" w:rsidRDefault="00A34E4E" w:rsidP="00A34E4E">
      <w:pPr>
        <w:keepNext/>
      </w:pPr>
      <w:r w:rsidRPr="00A34E4E">
        <w:rPr>
          <w:noProof/>
        </w:rPr>
        <w:drawing>
          <wp:inline distT="0" distB="0" distL="0" distR="0" wp14:anchorId="701D8E3E" wp14:editId="546BC703">
            <wp:extent cx="5760720" cy="69951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957A" w14:textId="197ACDAE" w:rsidR="00856754" w:rsidRDefault="00A34E4E" w:rsidP="00322244">
      <w:pPr>
        <w:pStyle w:val="Legenda"/>
        <w:jc w:val="center"/>
      </w:pPr>
      <w:r>
        <w:t xml:space="preserve">Rysunek </w:t>
      </w:r>
      <w:r w:rsidR="005E11E7">
        <w:fldChar w:fldCharType="begin"/>
      </w:r>
      <w:r w:rsidR="005E11E7">
        <w:instrText xml:space="preserve"> SEQ Rysunek \* ARABIC </w:instrText>
      </w:r>
      <w:r w:rsidR="005E11E7">
        <w:fldChar w:fldCharType="separate"/>
      </w:r>
      <w:r w:rsidR="00D646F3">
        <w:rPr>
          <w:noProof/>
        </w:rPr>
        <w:t>2</w:t>
      </w:r>
      <w:r w:rsidR="005E11E7">
        <w:rPr>
          <w:noProof/>
        </w:rPr>
        <w:fldChar w:fldCharType="end"/>
      </w:r>
      <w:r>
        <w:t>: Diagram encji serwisu przechowującego dane użytkowników</w:t>
      </w:r>
    </w:p>
    <w:p w14:paraId="5A349CE9" w14:textId="77777777" w:rsidR="00EF1BEE" w:rsidRDefault="00EF1BEE" w:rsidP="00EF1BEE">
      <w:pPr>
        <w:keepNext/>
      </w:pPr>
      <w:r w:rsidRPr="00EF1BEE">
        <w:rPr>
          <w:noProof/>
        </w:rPr>
        <w:lastRenderedPageBreak/>
        <w:drawing>
          <wp:inline distT="0" distB="0" distL="0" distR="0" wp14:anchorId="3C5BAB97" wp14:editId="78EF7B01">
            <wp:extent cx="5760720" cy="5173345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4580" w14:textId="539D5E89" w:rsidR="00A34E4E" w:rsidRDefault="00EF1BEE" w:rsidP="00322244">
      <w:pPr>
        <w:pStyle w:val="Legenda"/>
        <w:jc w:val="center"/>
      </w:pPr>
      <w:r>
        <w:t xml:space="preserve">Rysunek </w:t>
      </w:r>
      <w:r w:rsidR="005E11E7">
        <w:fldChar w:fldCharType="begin"/>
      </w:r>
      <w:r w:rsidR="005E11E7">
        <w:instrText xml:space="preserve"> SEQ Rysunek \* ARABIC </w:instrText>
      </w:r>
      <w:r w:rsidR="005E11E7">
        <w:fldChar w:fldCharType="separate"/>
      </w:r>
      <w:r w:rsidR="00D646F3">
        <w:rPr>
          <w:noProof/>
        </w:rPr>
        <w:t>3</w:t>
      </w:r>
      <w:r w:rsidR="005E11E7">
        <w:rPr>
          <w:noProof/>
        </w:rPr>
        <w:fldChar w:fldCharType="end"/>
      </w:r>
      <w:r>
        <w:t>: Diagram encji serwisu przechowującego adresy</w:t>
      </w:r>
    </w:p>
    <w:p w14:paraId="5927BAD4" w14:textId="77777777" w:rsidR="00F347AC" w:rsidRDefault="00F347AC" w:rsidP="00F347AC">
      <w:pPr>
        <w:keepNext/>
      </w:pPr>
      <w:r w:rsidRPr="00F347AC">
        <w:rPr>
          <w:noProof/>
        </w:rPr>
        <w:lastRenderedPageBreak/>
        <w:drawing>
          <wp:inline distT="0" distB="0" distL="0" distR="0" wp14:anchorId="09041711" wp14:editId="7CF5A4FD">
            <wp:extent cx="5477639" cy="5306165"/>
            <wp:effectExtent l="0" t="0" r="889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39B6" w14:textId="42A74D01" w:rsidR="00EF1BEE" w:rsidRDefault="00F347AC" w:rsidP="00322244">
      <w:pPr>
        <w:pStyle w:val="Legenda"/>
        <w:jc w:val="center"/>
      </w:pPr>
      <w:r>
        <w:t xml:space="preserve">Rysunek </w:t>
      </w:r>
      <w:r w:rsidR="005E11E7">
        <w:fldChar w:fldCharType="begin"/>
      </w:r>
      <w:r w:rsidR="005E11E7">
        <w:instrText xml:space="preserve"> SEQ Rysunek \* ARABIC </w:instrText>
      </w:r>
      <w:r w:rsidR="005E11E7">
        <w:fldChar w:fldCharType="separate"/>
      </w:r>
      <w:r w:rsidR="00D646F3">
        <w:rPr>
          <w:noProof/>
        </w:rPr>
        <w:t>4</w:t>
      </w:r>
      <w:r w:rsidR="005E11E7">
        <w:rPr>
          <w:noProof/>
        </w:rPr>
        <w:fldChar w:fldCharType="end"/>
      </w:r>
      <w:r>
        <w:t>: Diagram encji serwisu przechowującego dane budynków</w:t>
      </w:r>
    </w:p>
    <w:p w14:paraId="47B5A457" w14:textId="77777777" w:rsidR="00BC53A7" w:rsidRDefault="00BC53A7" w:rsidP="00BC53A7">
      <w:pPr>
        <w:keepNext/>
      </w:pPr>
      <w:r w:rsidRPr="00BC53A7">
        <w:rPr>
          <w:noProof/>
        </w:rPr>
        <w:lastRenderedPageBreak/>
        <w:drawing>
          <wp:inline distT="0" distB="0" distL="0" distR="0" wp14:anchorId="4C099E05" wp14:editId="2EC7D97A">
            <wp:extent cx="5760720" cy="734695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E8B2" w14:textId="218244E6" w:rsidR="00A46051" w:rsidRDefault="00BC53A7" w:rsidP="00322244">
      <w:pPr>
        <w:pStyle w:val="Legenda"/>
        <w:jc w:val="center"/>
      </w:pPr>
      <w:r>
        <w:t xml:space="preserve">Rysunek </w:t>
      </w:r>
      <w:r w:rsidR="005E11E7">
        <w:fldChar w:fldCharType="begin"/>
      </w:r>
      <w:r w:rsidR="005E11E7">
        <w:instrText xml:space="preserve"> SEQ Rysunek \* ARABIC </w:instrText>
      </w:r>
      <w:r w:rsidR="005E11E7">
        <w:fldChar w:fldCharType="separate"/>
      </w:r>
      <w:r w:rsidR="00D646F3">
        <w:rPr>
          <w:noProof/>
        </w:rPr>
        <w:t>5</w:t>
      </w:r>
      <w:r w:rsidR="005E11E7">
        <w:rPr>
          <w:noProof/>
        </w:rPr>
        <w:fldChar w:fldCharType="end"/>
      </w:r>
      <w:r>
        <w:t>: Diagram encji serwisu przechowującego reguły</w:t>
      </w:r>
    </w:p>
    <w:p w14:paraId="4BCD6713" w14:textId="77777777" w:rsidR="00E445D4" w:rsidRDefault="00E445D4" w:rsidP="00E445D4">
      <w:pPr>
        <w:keepNext/>
      </w:pPr>
      <w:r w:rsidRPr="00E445D4">
        <w:rPr>
          <w:noProof/>
        </w:rPr>
        <w:lastRenderedPageBreak/>
        <w:drawing>
          <wp:inline distT="0" distB="0" distL="0" distR="0" wp14:anchorId="17B9113A" wp14:editId="31D69392">
            <wp:extent cx="5534797" cy="5772956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5AD8" w14:textId="20550AAB" w:rsidR="00E445D4" w:rsidRDefault="00E445D4" w:rsidP="00322244">
      <w:pPr>
        <w:pStyle w:val="Legenda"/>
        <w:jc w:val="center"/>
      </w:pPr>
      <w:r>
        <w:t xml:space="preserve">Rysunek </w:t>
      </w:r>
      <w:r w:rsidR="005E11E7">
        <w:fldChar w:fldCharType="begin"/>
      </w:r>
      <w:r w:rsidR="005E11E7">
        <w:instrText xml:space="preserve"> SEQ Rysunek \* ARABIC </w:instrText>
      </w:r>
      <w:r w:rsidR="005E11E7">
        <w:fldChar w:fldCharType="separate"/>
      </w:r>
      <w:r w:rsidR="00D646F3">
        <w:rPr>
          <w:noProof/>
        </w:rPr>
        <w:t>6</w:t>
      </w:r>
      <w:r w:rsidR="005E11E7">
        <w:rPr>
          <w:noProof/>
        </w:rPr>
        <w:fldChar w:fldCharType="end"/>
      </w:r>
      <w:r>
        <w:t>: Diagram encji serwisu przechowującego dane sensorów</w:t>
      </w:r>
    </w:p>
    <w:p w14:paraId="5792B065" w14:textId="7DC07E2B" w:rsidR="00E445D4" w:rsidRDefault="0096428D" w:rsidP="00E445D4">
      <w:r>
        <w:t xml:space="preserve">Historyczne pomiary przechowywane są w </w:t>
      </w:r>
      <w:r w:rsidR="00A017CE">
        <w:t>bazie danych szeregów czasowych</w:t>
      </w:r>
      <w:r w:rsidR="00FC0EFD">
        <w:t xml:space="preserve"> InfluxDB.</w:t>
      </w:r>
      <w:r w:rsidR="00685FF1">
        <w:t xml:space="preserve"> </w:t>
      </w:r>
      <w:r w:rsidR="001033C1">
        <w:t xml:space="preserve">Baza przechowuje pomiary w trzech oddzielnych tabelach, po jednej odpowiednio dla temperatury, </w:t>
      </w:r>
      <w:r w:rsidR="0066124F">
        <w:t>natężenia światła oraz jakości powietrza</w:t>
      </w:r>
      <w:r w:rsidR="00613583">
        <w:t>:</w:t>
      </w:r>
    </w:p>
    <w:p w14:paraId="6AED15C0" w14:textId="77777777" w:rsidR="00FE4CB9" w:rsidRDefault="00FE4CB9" w:rsidP="00FE4CB9">
      <w:pPr>
        <w:keepNext/>
      </w:pPr>
      <w:r w:rsidRPr="00FE4CB9">
        <w:rPr>
          <w:noProof/>
        </w:rPr>
        <w:drawing>
          <wp:inline distT="0" distB="0" distL="0" distR="0" wp14:anchorId="56C4E343" wp14:editId="54C33282">
            <wp:extent cx="5760720" cy="4635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E23B" w14:textId="5D83B9AE" w:rsidR="00613583" w:rsidRPr="00E445D4" w:rsidRDefault="00FE4CB9" w:rsidP="00322244">
      <w:pPr>
        <w:pStyle w:val="Legenda"/>
        <w:jc w:val="center"/>
      </w:pPr>
      <w:r>
        <w:t xml:space="preserve">Rysunek </w:t>
      </w:r>
      <w:r w:rsidR="005E11E7">
        <w:fldChar w:fldCharType="begin"/>
      </w:r>
      <w:r w:rsidR="005E11E7">
        <w:instrText xml:space="preserve"> SEQ Rysunek \* ARABIC </w:instrText>
      </w:r>
      <w:r w:rsidR="005E11E7">
        <w:fldChar w:fldCharType="separate"/>
      </w:r>
      <w:r w:rsidR="00D646F3">
        <w:rPr>
          <w:noProof/>
        </w:rPr>
        <w:t>7</w:t>
      </w:r>
      <w:r w:rsidR="005E11E7">
        <w:rPr>
          <w:noProof/>
        </w:rPr>
        <w:fldChar w:fldCharType="end"/>
      </w:r>
      <w:r>
        <w:t>: Tabela przechowująca pomiar temperatury</w:t>
      </w:r>
    </w:p>
    <w:p w14:paraId="475AA567" w14:textId="0219151F" w:rsidR="00A46051" w:rsidRDefault="009042B7" w:rsidP="00A46051">
      <w:r>
        <w:t xml:space="preserve">Mikrousługa danych </w:t>
      </w:r>
      <w:r>
        <w:rPr>
          <w:i/>
          <w:iCs/>
        </w:rPr>
        <w:t xml:space="preserve">sensor state data service </w:t>
      </w:r>
      <w:r>
        <w:t xml:space="preserve">nie przechowuje danych. </w:t>
      </w:r>
      <w:r w:rsidR="00934924">
        <w:t>Służy jedynie do przekazywania pomiarów wysłanych przez czujniki.</w:t>
      </w:r>
    </w:p>
    <w:p w14:paraId="00D55178" w14:textId="77777777" w:rsidR="00300AE3" w:rsidRDefault="00300A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4BFF6F" w14:textId="04104FE2" w:rsidR="001D3596" w:rsidRDefault="001D3596" w:rsidP="001D3596">
      <w:pPr>
        <w:pStyle w:val="Nagwek2"/>
      </w:pPr>
      <w:bookmarkStart w:id="9" w:name="_Toc92090807"/>
      <w:r>
        <w:lastRenderedPageBreak/>
        <w:t>Styki</w:t>
      </w:r>
      <w:bookmarkEnd w:id="9"/>
    </w:p>
    <w:p w14:paraId="7752DF8B" w14:textId="5AAC94B1" w:rsidR="001D3596" w:rsidRDefault="00AC2227" w:rsidP="001D3596">
      <w:r>
        <w:t xml:space="preserve">Mikrousługi aplikacyjne oraz mikrousługi danych oferują styki zwracające </w:t>
      </w:r>
      <w:r w:rsidR="006859FF">
        <w:t>różnego rodzaju informacje. Zostały one szczegółowo opisane</w:t>
      </w:r>
      <w:r w:rsidR="000E2175">
        <w:t xml:space="preserve"> w oddzielnych dokumentach. Poniżej znajduje się lista odniesień:</w:t>
      </w:r>
    </w:p>
    <w:p w14:paraId="29D127BD" w14:textId="3D71A8E3" w:rsidR="000E2175" w:rsidRPr="004514B4" w:rsidRDefault="00E052B5" w:rsidP="000E2175">
      <w:pPr>
        <w:pStyle w:val="Akapitzlist"/>
        <w:numPr>
          <w:ilvl w:val="0"/>
          <w:numId w:val="9"/>
        </w:numPr>
        <w:rPr>
          <w:lang w:val="en-US"/>
        </w:rPr>
      </w:pPr>
      <w:r w:rsidRPr="004514B4">
        <w:rPr>
          <w:lang w:val="en-US"/>
        </w:rPr>
        <w:t xml:space="preserve">Addresses Data Service - </w:t>
      </w:r>
      <w:hyperlink r:id="rId19" w:history="1">
        <w:r w:rsidR="004514B4" w:rsidRPr="004514B4">
          <w:rPr>
            <w:rStyle w:val="Hipercze"/>
            <w:lang w:val="en-US"/>
          </w:rPr>
          <w:t>DagAir/swagger.adoc at develop · fokamdk99/DagAir (github.com)</w:t>
        </w:r>
      </w:hyperlink>
    </w:p>
    <w:p w14:paraId="4C68EA20" w14:textId="7751EC85" w:rsidR="004514B4" w:rsidRPr="004514B4" w:rsidRDefault="004514B4" w:rsidP="000E2175">
      <w:pPr>
        <w:pStyle w:val="Akapitzlist"/>
        <w:numPr>
          <w:ilvl w:val="0"/>
          <w:numId w:val="9"/>
        </w:numPr>
        <w:rPr>
          <w:lang w:val="en-US"/>
        </w:rPr>
      </w:pPr>
      <w:r w:rsidRPr="004514B4">
        <w:rPr>
          <w:lang w:val="en-US"/>
        </w:rPr>
        <w:t xml:space="preserve">Facilities Data Service - </w:t>
      </w:r>
      <w:hyperlink r:id="rId20" w:history="1">
        <w:r w:rsidRPr="004514B4">
          <w:rPr>
            <w:rStyle w:val="Hipercze"/>
            <w:lang w:val="en-US"/>
          </w:rPr>
          <w:t>DagAir/swagger.adoc at develop · fokamdk99/DagAir (github.com)</w:t>
        </w:r>
      </w:hyperlink>
    </w:p>
    <w:p w14:paraId="1CEBAB6C" w14:textId="064E1E5C" w:rsidR="004514B4" w:rsidRPr="009319DA" w:rsidRDefault="009319DA" w:rsidP="000E2175">
      <w:pPr>
        <w:pStyle w:val="Akapitzlist"/>
        <w:numPr>
          <w:ilvl w:val="0"/>
          <w:numId w:val="9"/>
        </w:numPr>
        <w:rPr>
          <w:lang w:val="en-US"/>
        </w:rPr>
      </w:pPr>
      <w:r w:rsidRPr="009319DA">
        <w:rPr>
          <w:lang w:val="en-US"/>
        </w:rPr>
        <w:t xml:space="preserve">Policies Data Service - </w:t>
      </w:r>
      <w:hyperlink r:id="rId21" w:history="1">
        <w:r w:rsidRPr="009319DA">
          <w:rPr>
            <w:rStyle w:val="Hipercze"/>
            <w:lang w:val="en-US"/>
          </w:rPr>
          <w:t>DagAir/swagger.adoc at develop · fokamdk99/DagAir (github.com)</w:t>
        </w:r>
      </w:hyperlink>
    </w:p>
    <w:p w14:paraId="7DEF70D5" w14:textId="19370EAB" w:rsidR="009319DA" w:rsidRPr="00CD06B8" w:rsidRDefault="00CD06B8" w:rsidP="000E2175">
      <w:pPr>
        <w:pStyle w:val="Akapitzlist"/>
        <w:numPr>
          <w:ilvl w:val="0"/>
          <w:numId w:val="9"/>
        </w:numPr>
        <w:rPr>
          <w:lang w:val="en-US"/>
        </w:rPr>
      </w:pPr>
      <w:r w:rsidRPr="00CD06B8">
        <w:rPr>
          <w:lang w:val="en-US"/>
        </w:rPr>
        <w:t>Se</w:t>
      </w:r>
      <w:r>
        <w:rPr>
          <w:lang w:val="en-US"/>
        </w:rPr>
        <w:t xml:space="preserve">nsors Data Service - </w:t>
      </w:r>
      <w:hyperlink r:id="rId22" w:history="1">
        <w:r w:rsidRPr="00CD06B8">
          <w:rPr>
            <w:rStyle w:val="Hipercze"/>
            <w:lang w:val="en-US"/>
          </w:rPr>
          <w:t>DagAir/swagger.adoc at develop · fokamdk99/DagAir (github.com)</w:t>
        </w:r>
      </w:hyperlink>
    </w:p>
    <w:p w14:paraId="703A7A01" w14:textId="20F7F4B6" w:rsidR="00CD06B8" w:rsidRPr="009D139A" w:rsidRDefault="00CD06B8" w:rsidP="000E2175">
      <w:pPr>
        <w:pStyle w:val="Akapitzlist"/>
        <w:numPr>
          <w:ilvl w:val="0"/>
          <w:numId w:val="9"/>
        </w:numPr>
        <w:rPr>
          <w:lang w:val="en-US"/>
        </w:rPr>
      </w:pPr>
      <w:r w:rsidRPr="00CD06B8">
        <w:rPr>
          <w:lang w:val="en-US"/>
        </w:rPr>
        <w:t xml:space="preserve">Admin Application Service - </w:t>
      </w:r>
      <w:hyperlink r:id="rId23" w:history="1">
        <w:r w:rsidRPr="00CD06B8">
          <w:rPr>
            <w:rStyle w:val="Hipercze"/>
            <w:lang w:val="en-US"/>
          </w:rPr>
          <w:t>DagAir/swagger.adoc at develop · fokamdk99/DagAir (github.com)</w:t>
        </w:r>
      </w:hyperlink>
    </w:p>
    <w:p w14:paraId="16A3CE46" w14:textId="77777777" w:rsidR="00300AE3" w:rsidRDefault="00300A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373BE43" w14:textId="12A31D32" w:rsidR="009D139A" w:rsidRPr="002D438E" w:rsidRDefault="00590714" w:rsidP="009D139A">
      <w:pPr>
        <w:pStyle w:val="Nagwek2"/>
      </w:pPr>
      <w:bookmarkStart w:id="10" w:name="_Toc92090808"/>
      <w:r w:rsidRPr="002D438E">
        <w:lastRenderedPageBreak/>
        <w:t>Możliwości rozszerzenia projektu</w:t>
      </w:r>
      <w:bookmarkEnd w:id="10"/>
    </w:p>
    <w:p w14:paraId="664C1BAB" w14:textId="677B2626" w:rsidR="00590714" w:rsidRDefault="00590714" w:rsidP="00590714">
      <w:r w:rsidRPr="00590714">
        <w:t>Projekt został przygotowany z m</w:t>
      </w:r>
      <w:r>
        <w:t xml:space="preserve">yślą o tym, by można było </w:t>
      </w:r>
      <w:r w:rsidR="006261E2">
        <w:t xml:space="preserve">możliwie łatwo tworzyć nowe serwisy i integrować je z już istniejącymi. </w:t>
      </w:r>
      <w:r w:rsidR="00E947A1">
        <w:t xml:space="preserve">Ważnym elementem </w:t>
      </w:r>
      <w:r w:rsidR="00794E8D">
        <w:t xml:space="preserve">ułatwiającym dodawanie nowych usług jest jasne zdefiniowane styków </w:t>
      </w:r>
      <w:r w:rsidR="00020005">
        <w:t xml:space="preserve">oferowanych przez inne serwisy usługowe. </w:t>
      </w:r>
    </w:p>
    <w:p w14:paraId="7A735B97" w14:textId="390C0692" w:rsidR="002673D1" w:rsidRDefault="002673D1" w:rsidP="00590714">
      <w:r>
        <w:t xml:space="preserve">Na ten moment nie zaimplementowano rozwiązań automatyzujących wykonywanie wymaganych czynności w przypadku, gdy warunki rzeczywiste panujące w danym pomieszczeniu nie </w:t>
      </w:r>
      <w:r w:rsidR="005B6FBC">
        <w:t xml:space="preserve">spełniają oczekiwań. </w:t>
      </w:r>
      <w:r w:rsidR="00191484">
        <w:t xml:space="preserve">Jednym z pomysłów dalszego rozwoju projektu jest </w:t>
      </w:r>
      <w:r w:rsidR="00B25642">
        <w:t xml:space="preserve">wykorzystanie </w:t>
      </w:r>
      <w:r w:rsidR="002F257C">
        <w:t xml:space="preserve">towarów produkowanych przez firmę Ikea. Zastosowanie </w:t>
      </w:r>
      <w:r w:rsidR="001B09CB">
        <w:t xml:space="preserve">inteligentnego oświetlenia wykorzystującego protokół ZigBee </w:t>
      </w:r>
      <w:r w:rsidR="00E82E73">
        <w:t>pozwoliłoby na automatyczne sterowanie poziomem natężenia światła przez aplikację.</w:t>
      </w:r>
      <w:r w:rsidR="008700D4">
        <w:t xml:space="preserve"> </w:t>
      </w:r>
      <w:r w:rsidR="0094182C">
        <w:t xml:space="preserve">W tym celu należałoby utworzyć nowy serwis </w:t>
      </w:r>
      <w:r w:rsidR="00E865F0">
        <w:t>wykorzystujący gotową bibliotekę (</w:t>
      </w:r>
      <w:hyperlink r:id="rId24" w:history="1">
        <w:r w:rsidR="00E865F0" w:rsidRPr="00FC4969">
          <w:rPr>
            <w:rStyle w:val="Hipercze"/>
          </w:rPr>
          <w:t>https://github.com/home-assistant-libs/pytradfri</w:t>
        </w:r>
      </w:hyperlink>
      <w:r w:rsidR="00E865F0">
        <w:t>) pozwalającą na zarządzanie oświetleniem.</w:t>
      </w:r>
    </w:p>
    <w:p w14:paraId="1D64F192" w14:textId="5DE1DAAB" w:rsidR="001E3B45" w:rsidRDefault="001E3B45" w:rsidP="001E3B45">
      <w:pPr>
        <w:pStyle w:val="Nagwek1"/>
      </w:pPr>
      <w:bookmarkStart w:id="11" w:name="_Toc92090809"/>
      <w:r>
        <w:t>Podsumowanie</w:t>
      </w:r>
      <w:bookmarkEnd w:id="11"/>
    </w:p>
    <w:p w14:paraId="3C8ECC08" w14:textId="15E5ABB5" w:rsidR="001E3B45" w:rsidRPr="00ED3E04" w:rsidRDefault="001E3B45" w:rsidP="00590714">
      <w:pPr>
        <w:rPr>
          <w:color w:val="FF0000"/>
        </w:rPr>
      </w:pPr>
      <w:r w:rsidRPr="00ED3E04">
        <w:rPr>
          <w:color w:val="FF0000"/>
        </w:rPr>
        <w:t>Podsumowanie</w:t>
      </w:r>
    </w:p>
    <w:sdt>
      <w:sdtPr>
        <w:id w:val="-465974711"/>
        <w:docPartObj>
          <w:docPartGallery w:val="Bibliographies"/>
          <w:docPartUnique/>
        </w:docPartObj>
      </w:sdtPr>
      <w:sdtEndPr/>
      <w:sdtContent>
        <w:p w14:paraId="2EF7C360" w14:textId="77777777" w:rsidR="00ED3E04" w:rsidRDefault="00ED3E04">
          <w:pPr>
            <w:pStyle w:val="Nagwek1"/>
          </w:pPr>
        </w:p>
        <w:p w14:paraId="465A71D4" w14:textId="77777777" w:rsidR="00ED3E04" w:rsidRDefault="00ED3E0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7637496C" w14:textId="720F0C5E" w:rsidR="007426EA" w:rsidRDefault="007426EA">
          <w:pPr>
            <w:pStyle w:val="Nagwek1"/>
          </w:pPr>
          <w:bookmarkStart w:id="12" w:name="_Toc92090810"/>
          <w:r>
            <w:lastRenderedPageBreak/>
            <w:t>Bibliografia</w:t>
          </w:r>
          <w:bookmarkEnd w:id="12"/>
        </w:p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id w:val="111145805"/>
            <w:bibliography/>
          </w:sdtPr>
          <w:sdtEndPr/>
          <w:sdtContent>
            <w:p w14:paraId="79FCE998" w14:textId="77777777" w:rsidR="00E041A7" w:rsidRPr="00E041A7" w:rsidRDefault="007426EA" w:rsidP="00E041A7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D438E">
                <w:instrText>BIBLIOGRAPHY</w:instrText>
              </w:r>
              <w:r>
                <w:fldChar w:fldCharType="separate"/>
              </w:r>
              <w:r w:rsidR="00E041A7" w:rsidRPr="002D438E">
                <w:rPr>
                  <w:noProof/>
                </w:rPr>
                <w:t xml:space="preserve">Dai, C., Lan, L. i Lian, Z. (2014). </w:t>
              </w:r>
              <w:r w:rsidR="00E041A7" w:rsidRPr="00E041A7">
                <w:rPr>
                  <w:noProof/>
                  <w:lang w:val="en-US"/>
                </w:rPr>
                <w:t xml:space="preserve">Method for determination of optimal work environment in office building considering energy consumption and human performance. </w:t>
              </w:r>
              <w:r w:rsidR="00E041A7" w:rsidRPr="00E041A7">
                <w:rPr>
                  <w:i/>
                  <w:iCs/>
                  <w:noProof/>
                  <w:lang w:val="en-US"/>
                </w:rPr>
                <w:t>Elsevier</w:t>
              </w:r>
              <w:r w:rsidR="00E041A7" w:rsidRPr="00E041A7">
                <w:rPr>
                  <w:noProof/>
                  <w:lang w:val="en-US"/>
                </w:rPr>
                <w:t>, 278-283.</w:t>
              </w:r>
            </w:p>
            <w:p w14:paraId="769A55A4" w14:textId="77777777" w:rsidR="00E041A7" w:rsidRPr="00E041A7" w:rsidRDefault="00E041A7" w:rsidP="00E041A7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E041A7">
                <w:rPr>
                  <w:noProof/>
                  <w:lang w:val="en-US"/>
                </w:rPr>
                <w:t>Hedge, A., Sakr, W. i Agarwal, A. (2005). Thermal effects on office productivity., (strony 823-837). Ithaca.</w:t>
              </w:r>
            </w:p>
            <w:p w14:paraId="19D4644D" w14:textId="77777777" w:rsidR="00E041A7" w:rsidRPr="00E041A7" w:rsidRDefault="00E041A7" w:rsidP="00E041A7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E041A7">
                <w:rPr>
                  <w:noProof/>
                  <w:lang w:val="en-US"/>
                </w:rPr>
                <w:t xml:space="preserve">Lan, L., Wargocki, P. i Lian, Z. (2012). Optimal thermal environment impoves performance of office work. </w:t>
              </w:r>
              <w:r w:rsidRPr="00E041A7">
                <w:rPr>
                  <w:i/>
                  <w:iCs/>
                  <w:noProof/>
                  <w:lang w:val="en-US"/>
                </w:rPr>
                <w:t>Rehva Journal</w:t>
              </w:r>
              <w:r w:rsidRPr="00E041A7">
                <w:rPr>
                  <w:noProof/>
                  <w:lang w:val="en-US"/>
                </w:rPr>
                <w:t>.</w:t>
              </w:r>
            </w:p>
            <w:p w14:paraId="04188ADC" w14:textId="77777777" w:rsidR="00E041A7" w:rsidRPr="00E041A7" w:rsidRDefault="00E041A7" w:rsidP="00E041A7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E041A7">
                <w:rPr>
                  <w:noProof/>
                  <w:lang w:val="en-US"/>
                </w:rPr>
                <w:t xml:space="preserve">Lin, C.-C. i Huan, K.-C. (2014). Effects of Lighting Color, Illumination Intensity, and Text Color on Visual Performance. </w:t>
              </w:r>
              <w:r w:rsidRPr="00E041A7">
                <w:rPr>
                  <w:i/>
                  <w:iCs/>
                  <w:noProof/>
                  <w:lang w:val="en-US"/>
                </w:rPr>
                <w:t>Journal of Applied Science and Engineering</w:t>
              </w:r>
              <w:r w:rsidRPr="00E041A7">
                <w:rPr>
                  <w:noProof/>
                  <w:lang w:val="en-US"/>
                </w:rPr>
                <w:t>, 193-202.</w:t>
              </w:r>
            </w:p>
            <w:p w14:paraId="3C93C5D5" w14:textId="2C0DA7FC" w:rsidR="00E041A7" w:rsidRPr="00E041A7" w:rsidRDefault="00E041A7" w:rsidP="00E041A7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E041A7">
                <w:rPr>
                  <w:noProof/>
                  <w:lang w:val="en-US"/>
                </w:rPr>
                <w:t xml:space="preserve">Liu, T., Lin, C.-C., Huang, K.-C. i Chen, Y.-C. (2017). Effects of noise type, noise intensity, and illumination intensity on reading performance. </w:t>
              </w:r>
              <w:r w:rsidRPr="00E041A7">
                <w:rPr>
                  <w:i/>
                  <w:iCs/>
                  <w:noProof/>
                  <w:lang w:val="en-US"/>
                </w:rPr>
                <w:t>Elsevier</w:t>
              </w:r>
              <w:r w:rsidRPr="00E041A7">
                <w:rPr>
                  <w:noProof/>
                  <w:lang w:val="en-US"/>
                </w:rPr>
                <w:t>, 70-74.</w:t>
              </w:r>
              <w:r>
                <w:rPr>
                  <w:noProof/>
                  <w:lang w:val="en-US"/>
                </w:rPr>
                <w:t xml:space="preserve"> </w:t>
              </w:r>
            </w:p>
            <w:p w14:paraId="0C1940CB" w14:textId="77777777" w:rsidR="00E041A7" w:rsidRPr="00E041A7" w:rsidRDefault="00E041A7" w:rsidP="00E041A7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E041A7">
                <w:rPr>
                  <w:noProof/>
                  <w:lang w:val="en-US"/>
                </w:rPr>
                <w:t xml:space="preserve">Oseland, N. i Burton, A. (2012). Quantifying the impact of environmental conditions on worker performance for inputting to a business case to justify enhanced workplace design features. </w:t>
              </w:r>
              <w:r w:rsidRPr="00E041A7">
                <w:rPr>
                  <w:i/>
                  <w:iCs/>
                  <w:noProof/>
                  <w:lang w:val="en-US"/>
                </w:rPr>
                <w:t>Journal of Building Survey</w:t>
              </w:r>
              <w:r w:rsidRPr="00E041A7">
                <w:rPr>
                  <w:noProof/>
                  <w:lang w:val="en-US"/>
                </w:rPr>
                <w:t>.</w:t>
              </w:r>
            </w:p>
            <w:p w14:paraId="3FD75901" w14:textId="77777777" w:rsidR="00E041A7" w:rsidRDefault="00E041A7" w:rsidP="00E041A7">
              <w:pPr>
                <w:pStyle w:val="Bibliografia"/>
                <w:ind w:left="720" w:hanging="720"/>
                <w:rPr>
                  <w:noProof/>
                </w:rPr>
              </w:pPr>
              <w:r w:rsidRPr="00E041A7">
                <w:rPr>
                  <w:noProof/>
                  <w:lang w:val="en-US"/>
                </w:rPr>
                <w:t xml:space="preserve">transformation, I. f. (2016). </w:t>
              </w:r>
              <w:r w:rsidRPr="00E041A7">
                <w:rPr>
                  <w:i/>
                  <w:iCs/>
                  <w:noProof/>
                  <w:lang w:val="en-US"/>
                </w:rPr>
                <w:t>Energy benchmarking and transparency.</w:t>
              </w:r>
              <w:r w:rsidRPr="00E041A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Insitute for market transformation.</w:t>
              </w:r>
            </w:p>
            <w:p w14:paraId="1ACBD41C" w14:textId="77777777" w:rsidR="003F0B26" w:rsidRDefault="007426EA" w:rsidP="003F0B26">
              <w:pPr>
                <w:pStyle w:val="Nagwek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D894ADC" w14:textId="7AAADFBB" w:rsidR="007426EA" w:rsidRDefault="003F0B26" w:rsidP="003F0B26">
      <w:pPr>
        <w:pStyle w:val="Nagwek1"/>
      </w:pPr>
      <w:bookmarkStart w:id="13" w:name="_Toc92090811"/>
      <w:r>
        <w:t>Wykaz symboli i skrótów</w:t>
      </w:r>
      <w:bookmarkEnd w:id="13"/>
    </w:p>
    <w:p w14:paraId="0855F68F" w14:textId="1E01AE05" w:rsidR="003F0B26" w:rsidRPr="003F0B26" w:rsidRDefault="003F0B26" w:rsidP="003F0B26">
      <w:pPr>
        <w:rPr>
          <w:color w:val="FF0000"/>
        </w:rPr>
      </w:pPr>
      <w:r w:rsidRPr="003F0B26">
        <w:rPr>
          <w:color w:val="FF0000"/>
        </w:rPr>
        <w:t>Wykaz symboli i skrótów</w:t>
      </w:r>
    </w:p>
    <w:p w14:paraId="417DC158" w14:textId="0BF8EA6F" w:rsidR="003F0B26" w:rsidRDefault="003F0B26" w:rsidP="003F0B26">
      <w:pPr>
        <w:pStyle w:val="Nagwek1"/>
      </w:pPr>
      <w:bookmarkStart w:id="14" w:name="_Toc92090812"/>
      <w:r>
        <w:t>Spis rysunków</w:t>
      </w:r>
      <w:bookmarkEnd w:id="14"/>
    </w:p>
    <w:p w14:paraId="11CB37D4" w14:textId="77777777" w:rsidR="003F0B26" w:rsidRPr="003F0B26" w:rsidRDefault="003F0B26" w:rsidP="003F0B26">
      <w:pPr>
        <w:rPr>
          <w:color w:val="FF0000"/>
        </w:rPr>
      </w:pPr>
      <w:r w:rsidRPr="003F0B26">
        <w:rPr>
          <w:color w:val="FF0000"/>
        </w:rPr>
        <w:t>Spis rysunków</w:t>
      </w:r>
    </w:p>
    <w:p w14:paraId="67465F84" w14:textId="67E27B2C" w:rsidR="003F0B26" w:rsidRPr="003F0B26" w:rsidRDefault="003F0B26" w:rsidP="003F0B26">
      <w:pPr>
        <w:pStyle w:val="Nagwek1"/>
      </w:pPr>
      <w:bookmarkStart w:id="15" w:name="_Toc92090813"/>
      <w:r>
        <w:t>Spis tabel</w:t>
      </w:r>
      <w:bookmarkEnd w:id="15"/>
    </w:p>
    <w:p w14:paraId="3F63D69C" w14:textId="303E0BD2" w:rsidR="003F0B26" w:rsidRPr="003F0B26" w:rsidRDefault="003F0B26" w:rsidP="003F0B26">
      <w:pPr>
        <w:rPr>
          <w:color w:val="FF0000"/>
        </w:rPr>
      </w:pPr>
      <w:r w:rsidRPr="003F0B26">
        <w:rPr>
          <w:color w:val="FF0000"/>
        </w:rPr>
        <w:t>Spis tabel</w:t>
      </w:r>
    </w:p>
    <w:p w14:paraId="57584EBB" w14:textId="67F2E3E7" w:rsidR="003F0B26" w:rsidRDefault="003F0B26" w:rsidP="003F0B26">
      <w:pPr>
        <w:pStyle w:val="Nagwek1"/>
      </w:pPr>
      <w:bookmarkStart w:id="16" w:name="_Toc92090814"/>
      <w:r>
        <w:t>Spis załączników</w:t>
      </w:r>
      <w:bookmarkEnd w:id="16"/>
    </w:p>
    <w:p w14:paraId="6C1DF3C6" w14:textId="037310B3" w:rsidR="003F0B26" w:rsidRPr="003F0B26" w:rsidRDefault="003F0B26" w:rsidP="003F0B26">
      <w:pPr>
        <w:rPr>
          <w:color w:val="FF0000"/>
        </w:rPr>
      </w:pPr>
      <w:r w:rsidRPr="003F0B26">
        <w:rPr>
          <w:color w:val="FF0000"/>
        </w:rPr>
        <w:t>Spis załączników</w:t>
      </w:r>
    </w:p>
    <w:sectPr w:rsidR="003F0B26" w:rsidRPr="003F0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72F53" w14:textId="77777777" w:rsidR="005E11E7" w:rsidRDefault="005E11E7" w:rsidP="004E1522">
      <w:pPr>
        <w:spacing w:after="0" w:line="240" w:lineRule="auto"/>
      </w:pPr>
      <w:r>
        <w:separator/>
      </w:r>
    </w:p>
  </w:endnote>
  <w:endnote w:type="continuationSeparator" w:id="0">
    <w:p w14:paraId="1911ED81" w14:textId="77777777" w:rsidR="005E11E7" w:rsidRDefault="005E11E7" w:rsidP="004E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3E5F" w14:textId="77777777" w:rsidR="005E11E7" w:rsidRDefault="005E11E7" w:rsidP="004E1522">
      <w:pPr>
        <w:spacing w:after="0" w:line="240" w:lineRule="auto"/>
      </w:pPr>
      <w:r>
        <w:separator/>
      </w:r>
    </w:p>
  </w:footnote>
  <w:footnote w:type="continuationSeparator" w:id="0">
    <w:p w14:paraId="69029E3F" w14:textId="77777777" w:rsidR="005E11E7" w:rsidRDefault="005E11E7" w:rsidP="004E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37A2"/>
    <w:multiLevelType w:val="hybridMultilevel"/>
    <w:tmpl w:val="FE1E6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B3B41"/>
    <w:multiLevelType w:val="hybridMultilevel"/>
    <w:tmpl w:val="C6BEE1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76BD4"/>
    <w:multiLevelType w:val="hybridMultilevel"/>
    <w:tmpl w:val="E370F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44CED"/>
    <w:multiLevelType w:val="hybridMultilevel"/>
    <w:tmpl w:val="C360DF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006C5"/>
    <w:multiLevelType w:val="hybridMultilevel"/>
    <w:tmpl w:val="B9989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D6AC7"/>
    <w:multiLevelType w:val="hybridMultilevel"/>
    <w:tmpl w:val="46F23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91D12"/>
    <w:multiLevelType w:val="hybridMultilevel"/>
    <w:tmpl w:val="E8A0C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73DA0"/>
    <w:multiLevelType w:val="hybridMultilevel"/>
    <w:tmpl w:val="D29891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93D7A"/>
    <w:multiLevelType w:val="hybridMultilevel"/>
    <w:tmpl w:val="421CB3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96"/>
    <w:rsid w:val="00010E0A"/>
    <w:rsid w:val="00014285"/>
    <w:rsid w:val="00017E16"/>
    <w:rsid w:val="00020005"/>
    <w:rsid w:val="00035445"/>
    <w:rsid w:val="00051C2E"/>
    <w:rsid w:val="0005737F"/>
    <w:rsid w:val="00062448"/>
    <w:rsid w:val="0008470C"/>
    <w:rsid w:val="00087D54"/>
    <w:rsid w:val="000957BC"/>
    <w:rsid w:val="000A5953"/>
    <w:rsid w:val="000A7F5F"/>
    <w:rsid w:val="000B3FAB"/>
    <w:rsid w:val="000B47CC"/>
    <w:rsid w:val="000B6974"/>
    <w:rsid w:val="000E059A"/>
    <w:rsid w:val="000E2175"/>
    <w:rsid w:val="000E26D9"/>
    <w:rsid w:val="000E3678"/>
    <w:rsid w:val="000F69FF"/>
    <w:rsid w:val="0010035E"/>
    <w:rsid w:val="00100FED"/>
    <w:rsid w:val="001033C1"/>
    <w:rsid w:val="001040DF"/>
    <w:rsid w:val="00105CF1"/>
    <w:rsid w:val="001068C2"/>
    <w:rsid w:val="00106B37"/>
    <w:rsid w:val="00111E73"/>
    <w:rsid w:val="00127839"/>
    <w:rsid w:val="00133AE2"/>
    <w:rsid w:val="00134676"/>
    <w:rsid w:val="00151813"/>
    <w:rsid w:val="00171CDE"/>
    <w:rsid w:val="00175B2B"/>
    <w:rsid w:val="0018292E"/>
    <w:rsid w:val="0018647C"/>
    <w:rsid w:val="00191484"/>
    <w:rsid w:val="001A4F76"/>
    <w:rsid w:val="001A65C0"/>
    <w:rsid w:val="001B09CB"/>
    <w:rsid w:val="001D3596"/>
    <w:rsid w:val="001D4B29"/>
    <w:rsid w:val="001E3B45"/>
    <w:rsid w:val="00202CA3"/>
    <w:rsid w:val="002130C3"/>
    <w:rsid w:val="00217BAB"/>
    <w:rsid w:val="0022196B"/>
    <w:rsid w:val="00227314"/>
    <w:rsid w:val="00231BAF"/>
    <w:rsid w:val="00240657"/>
    <w:rsid w:val="00245638"/>
    <w:rsid w:val="002566CC"/>
    <w:rsid w:val="00265E9B"/>
    <w:rsid w:val="002673D1"/>
    <w:rsid w:val="00280410"/>
    <w:rsid w:val="002810E0"/>
    <w:rsid w:val="002A1A6E"/>
    <w:rsid w:val="002A4193"/>
    <w:rsid w:val="002B1AC4"/>
    <w:rsid w:val="002B1BC3"/>
    <w:rsid w:val="002C148B"/>
    <w:rsid w:val="002D2A46"/>
    <w:rsid w:val="002D438E"/>
    <w:rsid w:val="002E5D2D"/>
    <w:rsid w:val="002F257C"/>
    <w:rsid w:val="002F5A6E"/>
    <w:rsid w:val="00300AE3"/>
    <w:rsid w:val="00320232"/>
    <w:rsid w:val="00322244"/>
    <w:rsid w:val="00333576"/>
    <w:rsid w:val="003438DB"/>
    <w:rsid w:val="00365E7E"/>
    <w:rsid w:val="00371140"/>
    <w:rsid w:val="00391515"/>
    <w:rsid w:val="003934F4"/>
    <w:rsid w:val="003A233E"/>
    <w:rsid w:val="003A50C8"/>
    <w:rsid w:val="003B19D1"/>
    <w:rsid w:val="003C622F"/>
    <w:rsid w:val="003D4D0B"/>
    <w:rsid w:val="003E2B66"/>
    <w:rsid w:val="003E6913"/>
    <w:rsid w:val="003F0B26"/>
    <w:rsid w:val="0040674F"/>
    <w:rsid w:val="00425B7B"/>
    <w:rsid w:val="00436FE0"/>
    <w:rsid w:val="00446207"/>
    <w:rsid w:val="004514B4"/>
    <w:rsid w:val="004637E9"/>
    <w:rsid w:val="0048229C"/>
    <w:rsid w:val="00496845"/>
    <w:rsid w:val="004C06F5"/>
    <w:rsid w:val="004C39DD"/>
    <w:rsid w:val="004C4D1B"/>
    <w:rsid w:val="004D7E72"/>
    <w:rsid w:val="004E1522"/>
    <w:rsid w:val="004F39DB"/>
    <w:rsid w:val="004F7012"/>
    <w:rsid w:val="00503B30"/>
    <w:rsid w:val="00515699"/>
    <w:rsid w:val="00525EBF"/>
    <w:rsid w:val="00555B40"/>
    <w:rsid w:val="0057036D"/>
    <w:rsid w:val="005761A3"/>
    <w:rsid w:val="00590714"/>
    <w:rsid w:val="005A23AE"/>
    <w:rsid w:val="005B6FBC"/>
    <w:rsid w:val="005C27E8"/>
    <w:rsid w:val="005C6AAD"/>
    <w:rsid w:val="005D1766"/>
    <w:rsid w:val="005E11E7"/>
    <w:rsid w:val="005E5ACF"/>
    <w:rsid w:val="005F6B59"/>
    <w:rsid w:val="005F7E13"/>
    <w:rsid w:val="00601184"/>
    <w:rsid w:val="00613583"/>
    <w:rsid w:val="00621C20"/>
    <w:rsid w:val="006237DA"/>
    <w:rsid w:val="006261E2"/>
    <w:rsid w:val="00626236"/>
    <w:rsid w:val="0066124F"/>
    <w:rsid w:val="0066329D"/>
    <w:rsid w:val="00684A48"/>
    <w:rsid w:val="006859FF"/>
    <w:rsid w:val="00685FF1"/>
    <w:rsid w:val="00697C25"/>
    <w:rsid w:val="006B01C6"/>
    <w:rsid w:val="006B2772"/>
    <w:rsid w:val="006B7323"/>
    <w:rsid w:val="006C2B2F"/>
    <w:rsid w:val="006C4374"/>
    <w:rsid w:val="006D2E5F"/>
    <w:rsid w:val="006E2953"/>
    <w:rsid w:val="006F6658"/>
    <w:rsid w:val="006F7EC9"/>
    <w:rsid w:val="00704C3E"/>
    <w:rsid w:val="007175BC"/>
    <w:rsid w:val="00727417"/>
    <w:rsid w:val="00727ABA"/>
    <w:rsid w:val="00730AE4"/>
    <w:rsid w:val="007359CA"/>
    <w:rsid w:val="00740B17"/>
    <w:rsid w:val="007426EA"/>
    <w:rsid w:val="00746022"/>
    <w:rsid w:val="007521B5"/>
    <w:rsid w:val="00791196"/>
    <w:rsid w:val="00792301"/>
    <w:rsid w:val="00794E8D"/>
    <w:rsid w:val="007A0127"/>
    <w:rsid w:val="007A437F"/>
    <w:rsid w:val="007A4C26"/>
    <w:rsid w:val="007B723A"/>
    <w:rsid w:val="007E7AB9"/>
    <w:rsid w:val="0080233B"/>
    <w:rsid w:val="0080445C"/>
    <w:rsid w:val="0081002C"/>
    <w:rsid w:val="00821372"/>
    <w:rsid w:val="00825FB4"/>
    <w:rsid w:val="0082731A"/>
    <w:rsid w:val="0083240B"/>
    <w:rsid w:val="00833887"/>
    <w:rsid w:val="00837F63"/>
    <w:rsid w:val="00856754"/>
    <w:rsid w:val="00856F4B"/>
    <w:rsid w:val="00860BDB"/>
    <w:rsid w:val="00866C49"/>
    <w:rsid w:val="008700D4"/>
    <w:rsid w:val="00874B82"/>
    <w:rsid w:val="008835FE"/>
    <w:rsid w:val="008A194E"/>
    <w:rsid w:val="008A5E7B"/>
    <w:rsid w:val="008C0906"/>
    <w:rsid w:val="008C7C03"/>
    <w:rsid w:val="008D3407"/>
    <w:rsid w:val="008D545F"/>
    <w:rsid w:val="008F06C0"/>
    <w:rsid w:val="008F2828"/>
    <w:rsid w:val="008F3B87"/>
    <w:rsid w:val="008F6059"/>
    <w:rsid w:val="009042B7"/>
    <w:rsid w:val="009115DB"/>
    <w:rsid w:val="00930DED"/>
    <w:rsid w:val="009319DA"/>
    <w:rsid w:val="00932C88"/>
    <w:rsid w:val="00934924"/>
    <w:rsid w:val="00940B04"/>
    <w:rsid w:val="0094182C"/>
    <w:rsid w:val="00943F13"/>
    <w:rsid w:val="0095153B"/>
    <w:rsid w:val="00957253"/>
    <w:rsid w:val="0096428D"/>
    <w:rsid w:val="00965424"/>
    <w:rsid w:val="0098733F"/>
    <w:rsid w:val="009A42F3"/>
    <w:rsid w:val="009B78E8"/>
    <w:rsid w:val="009C6F42"/>
    <w:rsid w:val="009D0F21"/>
    <w:rsid w:val="009D139A"/>
    <w:rsid w:val="009E7122"/>
    <w:rsid w:val="00A001A6"/>
    <w:rsid w:val="00A017CE"/>
    <w:rsid w:val="00A0202A"/>
    <w:rsid w:val="00A02855"/>
    <w:rsid w:val="00A2065D"/>
    <w:rsid w:val="00A32C33"/>
    <w:rsid w:val="00A34E4E"/>
    <w:rsid w:val="00A42466"/>
    <w:rsid w:val="00A46051"/>
    <w:rsid w:val="00A47C36"/>
    <w:rsid w:val="00A47D87"/>
    <w:rsid w:val="00A53270"/>
    <w:rsid w:val="00A60DEF"/>
    <w:rsid w:val="00A617C2"/>
    <w:rsid w:val="00A91684"/>
    <w:rsid w:val="00A96D2E"/>
    <w:rsid w:val="00AC2227"/>
    <w:rsid w:val="00AD19EE"/>
    <w:rsid w:val="00AE0576"/>
    <w:rsid w:val="00AE6063"/>
    <w:rsid w:val="00AE7171"/>
    <w:rsid w:val="00AE7F36"/>
    <w:rsid w:val="00AF1074"/>
    <w:rsid w:val="00B247B0"/>
    <w:rsid w:val="00B25642"/>
    <w:rsid w:val="00B27639"/>
    <w:rsid w:val="00B3078E"/>
    <w:rsid w:val="00B35ACB"/>
    <w:rsid w:val="00B44556"/>
    <w:rsid w:val="00B46736"/>
    <w:rsid w:val="00B75C10"/>
    <w:rsid w:val="00B8101A"/>
    <w:rsid w:val="00B96936"/>
    <w:rsid w:val="00BA61A5"/>
    <w:rsid w:val="00BA68BF"/>
    <w:rsid w:val="00BC2A9D"/>
    <w:rsid w:val="00BC53A7"/>
    <w:rsid w:val="00BD1E47"/>
    <w:rsid w:val="00BF49D1"/>
    <w:rsid w:val="00C022D0"/>
    <w:rsid w:val="00C139D5"/>
    <w:rsid w:val="00C34AF1"/>
    <w:rsid w:val="00C4000F"/>
    <w:rsid w:val="00C4228E"/>
    <w:rsid w:val="00C475F7"/>
    <w:rsid w:val="00C50D93"/>
    <w:rsid w:val="00C51D01"/>
    <w:rsid w:val="00C5734D"/>
    <w:rsid w:val="00C60DB2"/>
    <w:rsid w:val="00C73C08"/>
    <w:rsid w:val="00C9328D"/>
    <w:rsid w:val="00C9718B"/>
    <w:rsid w:val="00CA2C92"/>
    <w:rsid w:val="00CA5E08"/>
    <w:rsid w:val="00CB68B8"/>
    <w:rsid w:val="00CB7184"/>
    <w:rsid w:val="00CB7BAB"/>
    <w:rsid w:val="00CD06B8"/>
    <w:rsid w:val="00CE672B"/>
    <w:rsid w:val="00CE77EF"/>
    <w:rsid w:val="00CF1175"/>
    <w:rsid w:val="00D148BB"/>
    <w:rsid w:val="00D412ED"/>
    <w:rsid w:val="00D413D6"/>
    <w:rsid w:val="00D43579"/>
    <w:rsid w:val="00D45CB4"/>
    <w:rsid w:val="00D4770E"/>
    <w:rsid w:val="00D47CBE"/>
    <w:rsid w:val="00D52AF2"/>
    <w:rsid w:val="00D646F3"/>
    <w:rsid w:val="00D71984"/>
    <w:rsid w:val="00D74872"/>
    <w:rsid w:val="00D75285"/>
    <w:rsid w:val="00D91FB6"/>
    <w:rsid w:val="00DA0AF9"/>
    <w:rsid w:val="00DA169E"/>
    <w:rsid w:val="00DB2A4A"/>
    <w:rsid w:val="00DC0556"/>
    <w:rsid w:val="00DF132B"/>
    <w:rsid w:val="00E041A7"/>
    <w:rsid w:val="00E052B5"/>
    <w:rsid w:val="00E2190F"/>
    <w:rsid w:val="00E36514"/>
    <w:rsid w:val="00E37595"/>
    <w:rsid w:val="00E445D4"/>
    <w:rsid w:val="00E46457"/>
    <w:rsid w:val="00E82E73"/>
    <w:rsid w:val="00E865F0"/>
    <w:rsid w:val="00E947A1"/>
    <w:rsid w:val="00EB0405"/>
    <w:rsid w:val="00EB7A67"/>
    <w:rsid w:val="00ED3E04"/>
    <w:rsid w:val="00EE213A"/>
    <w:rsid w:val="00EF1BEE"/>
    <w:rsid w:val="00EF79BE"/>
    <w:rsid w:val="00EF7BF4"/>
    <w:rsid w:val="00F162E4"/>
    <w:rsid w:val="00F21E92"/>
    <w:rsid w:val="00F30142"/>
    <w:rsid w:val="00F3198C"/>
    <w:rsid w:val="00F31ADB"/>
    <w:rsid w:val="00F333AF"/>
    <w:rsid w:val="00F347AC"/>
    <w:rsid w:val="00F40674"/>
    <w:rsid w:val="00F5130F"/>
    <w:rsid w:val="00F54FF2"/>
    <w:rsid w:val="00F6008D"/>
    <w:rsid w:val="00F666D2"/>
    <w:rsid w:val="00F67996"/>
    <w:rsid w:val="00FB00F7"/>
    <w:rsid w:val="00FB3CFD"/>
    <w:rsid w:val="00FC0EFD"/>
    <w:rsid w:val="00FC4186"/>
    <w:rsid w:val="00FE0DB0"/>
    <w:rsid w:val="00FE4CB9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01BF"/>
  <w15:docId w15:val="{79CCADC9-5144-4F29-A980-DAFC5F3B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1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119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3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a">
    <w:name w:val="Bibliography"/>
    <w:basedOn w:val="Normalny"/>
    <w:next w:val="Normalny"/>
    <w:uiPriority w:val="37"/>
    <w:unhideWhenUsed/>
    <w:rsid w:val="004C39DD"/>
  </w:style>
  <w:style w:type="character" w:styleId="Odwoaniedokomentarza">
    <w:name w:val="annotation reference"/>
    <w:basedOn w:val="Domylnaczcionkaakapitu"/>
    <w:uiPriority w:val="99"/>
    <w:semiHidden/>
    <w:unhideWhenUsed/>
    <w:rsid w:val="009515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15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153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15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153B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80410"/>
    <w:rPr>
      <w:color w:val="0000FF"/>
      <w:u w:val="single"/>
    </w:rPr>
  </w:style>
  <w:style w:type="table" w:styleId="Tabela-Siatka">
    <w:name w:val="Table Grid"/>
    <w:basedOn w:val="Standardowy"/>
    <w:uiPriority w:val="39"/>
    <w:rsid w:val="00DC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566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D1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yteHipercze">
    <w:name w:val="FollowedHyperlink"/>
    <w:basedOn w:val="Domylnaczcionkaakapitu"/>
    <w:uiPriority w:val="99"/>
    <w:semiHidden/>
    <w:unhideWhenUsed/>
    <w:rsid w:val="00CD06B8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865F0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152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152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1522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9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F0B2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0B2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0B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fokamdk99/DagAir/blob/develop/src/DagAir_Policies/DagAir.Policies/swagger.ado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fokamdk99/DagAir/blob/develop/src/DagAir_Facilities/DagAir.Facilities/swagger.a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wietrze.gios.gov.pl/pjp/content/annual_assessment_air_acceptable_level" TargetMode="External"/><Relationship Id="rId24" Type="http://schemas.openxmlformats.org/officeDocument/2006/relationships/hyperlink" Target="https://github.com/home-assistant-libs/pytradfr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fokamdk99/DagAir/blob/develop/src/DagAir_AdminNode/DagAir.AdminNode/swagger.adoc" TargetMode="External"/><Relationship Id="rId10" Type="http://schemas.openxmlformats.org/officeDocument/2006/relationships/hyperlink" Target="https://www.sharp.pl/cps/rde/xchg/pl/hs.xsl/-/html/windows-collaboration-display.htm" TargetMode="External"/><Relationship Id="rId19" Type="http://schemas.openxmlformats.org/officeDocument/2006/relationships/hyperlink" Target="https://github.com/fokamdk99/DagAir/blob/develop/src/DagAir_Addresses/DagAir.Addresses/swagger.a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github.com/fokamdk99/DagAir/blob/develop/src/DagAir_Sensors/DagAir.Sensors/swagger.ado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Ose12</b:Tag>
    <b:SourceType>JournalArticle</b:SourceType>
    <b:Guid>{AF32F373-2A1D-4384-80F7-E549679C7DCA}</b:Guid>
    <b:Title>Quantifying the impact of environmental conditions on worker performance for inputting to a business case to justify enhanced workplace design features</b:Title>
    <b:Year>2012</b:Year>
    <b:Author>
      <b:Author>
        <b:NameList>
          <b:Person>
            <b:Last>Oseland</b:Last>
            <b:First>Nigel</b:First>
          </b:Person>
          <b:Person>
            <b:Last>Burton</b:Last>
            <b:First>Adrian</b:First>
          </b:Person>
        </b:NameList>
      </b:Author>
    </b:Author>
    <b:JournalName>Journal of Building Survey</b:JournalName>
    <b:RefOrder>1</b:RefOrder>
  </b:Source>
  <b:Source>
    <b:Tag>Ins16</b:Tag>
    <b:SourceType>Report</b:SourceType>
    <b:Guid>{DE61D7D0-768F-4402-944A-9F8B8D068FF9}</b:Guid>
    <b:Title>Energy benchmarking and transparency</b:Title>
    <b:Year>2016</b:Year>
    <b:Author>
      <b:Author>
        <b:NameList>
          <b:Person>
            <b:Last>transformation</b:Last>
            <b:First>Institue</b:First>
            <b:Middle>for market</b:Middle>
          </b:Person>
        </b:NameList>
      </b:Author>
    </b:Author>
    <b:Publisher>Insitute for market transformation</b:Publisher>
    <b:RefOrder>2</b:RefOrder>
  </b:Source>
  <b:Source>
    <b:Tag>Lan12</b:Tag>
    <b:SourceType>JournalArticle</b:SourceType>
    <b:Guid>{C471A973-0C85-49C1-9F21-A5E74B960574}</b:Guid>
    <b:Author>
      <b:Author>
        <b:NameList>
          <b:Person>
            <b:Last>Lan</b:Last>
            <b:First>Li</b:First>
          </b:Person>
          <b:Person>
            <b:Last>Wargocki</b:Last>
            <b:First>Paweł</b:First>
          </b:Person>
          <b:Person>
            <b:Last>Lian</b:Last>
            <b:First>Zhiwaei</b:First>
          </b:Person>
        </b:NameList>
      </b:Author>
    </b:Author>
    <b:Title>Optimal thermal environment impoves performance of office work</b:Title>
    <b:Year>2012</b:Year>
    <b:JournalName>Rehva Journal</b:JournalName>
    <b:RefOrder>3</b:RefOrder>
  </b:Source>
  <b:Source>
    <b:Tag>Dai14</b:Tag>
    <b:SourceType>JournalArticle</b:SourceType>
    <b:Guid>{F8B67C33-4AEB-4B52-A79B-9BA7251E87E2}</b:Guid>
    <b:Author>
      <b:Author>
        <b:NameList>
          <b:Person>
            <b:Last>Dai</b:Last>
            <b:First>Changzhi</b:First>
          </b:Person>
          <b:Person>
            <b:Last>Lan</b:Last>
            <b:First>Li</b:First>
          </b:Person>
          <b:Person>
            <b:Last>Lian</b:Last>
            <b:First>Zhiwei</b:First>
          </b:Person>
        </b:NameList>
      </b:Author>
    </b:Author>
    <b:Title>Method for determination of optimal work environment in office building considering energy consumption and human performance</b:Title>
    <b:JournalName>Elsevier</b:JournalName>
    <b:Year>2014</b:Year>
    <b:Pages>278-283</b:Pages>
    <b:RefOrder>4</b:RefOrder>
  </b:Source>
  <b:Source>
    <b:Tag>Hed05</b:Tag>
    <b:SourceType>ConferenceProceedings</b:SourceType>
    <b:Guid>{82BF9D04-0F88-49E2-A694-3D05D9F93BDC}</b:Guid>
    <b:Title>Thermal effects on office productivity</b:Title>
    <b:Year>2005</b:Year>
    <b:Pages>823-837</b:Pages>
    <b:Author>
      <b:Author>
        <b:NameList>
          <b:Person>
            <b:Last>Hedge</b:Last>
            <b:First>Alan</b:First>
          </b:Person>
          <b:Person>
            <b:Last>Sakr</b:Last>
            <b:First>Wafa</b:First>
          </b:Person>
          <b:Person>
            <b:Last>Agarwal</b:Last>
            <b:First>Anshu</b:First>
          </b:Person>
        </b:NameList>
      </b:Author>
    </b:Author>
    <b:City>Ithaca</b:City>
    <b:RefOrder>5</b:RefOrder>
  </b:Source>
  <b:Source>
    <b:Tag>Lin14</b:Tag>
    <b:SourceType>JournalArticle</b:SourceType>
    <b:Guid>{A5EF215F-F19A-4D6F-B897-DC722DA1B648}</b:Guid>
    <b:Title>Effects of Lighting Color, Illumination Intensity, and Text Color on Visual Performance</b:Title>
    <b:Pages>193-202</b:Pages>
    <b:Year>2014</b:Year>
    <b:Author>
      <b:Author>
        <b:NameList>
          <b:Person>
            <b:Last>Lin</b:Last>
            <b:First>Chin-Chiuan</b:First>
          </b:Person>
          <b:Person>
            <b:Last>Huan</b:Last>
            <b:First>Kuo-Chen</b:First>
          </b:Person>
        </b:NameList>
      </b:Author>
    </b:Author>
    <b:JournalName>Journal of Applied Science and Engineering</b:JournalName>
    <b:RefOrder>6</b:RefOrder>
  </b:Source>
  <b:Source>
    <b:Tag>Liu17</b:Tag>
    <b:SourceType>JournalArticle</b:SourceType>
    <b:Guid>{92623F9B-94A6-44E3-9003-8A94FB358D37}</b:Guid>
    <b:Author>
      <b:Author>
        <b:NameList>
          <b:Person>
            <b:Last>Liu</b:Last>
            <b:First>Tao</b:First>
          </b:Person>
          <b:Person>
            <b:Last>Lin</b:Last>
            <b:First>Chin-Chiuan</b:First>
          </b:Person>
          <b:Person>
            <b:Last>Huang</b:Last>
            <b:First>Kuo-Chen</b:First>
          </b:Person>
          <b:Person>
            <b:Last>Chen</b:Last>
            <b:First>Yi-Chang</b:First>
          </b:Person>
        </b:NameList>
      </b:Author>
    </b:Author>
    <b:Title>Effects of noise type, noise intensity, and illumination intensity on reading performance</b:Title>
    <b:JournalName>Elsevier</b:JournalName>
    <b:Year>2017</b:Year>
    <b:Pages>70-74</b:Pages>
    <b:RefOrder>7</b:RefOrder>
  </b:Source>
</b:Sources>
</file>

<file path=customXml/itemProps1.xml><?xml version="1.0" encoding="utf-8"?>
<ds:datastoreItem xmlns:ds="http://schemas.openxmlformats.org/officeDocument/2006/customXml" ds:itemID="{4FC4897C-8F1B-4E35-BCEB-4B2ECC5C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18</Pages>
  <Words>2408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Skrzypek Stanisław (STUD)</dc:creator>
  <cp:keywords/>
  <dc:description/>
  <cp:lastModifiedBy>Skrzypek Stanisław (STUD)</cp:lastModifiedBy>
  <cp:revision>310</cp:revision>
  <cp:lastPrinted>2021-12-13T17:42:00Z</cp:lastPrinted>
  <dcterms:created xsi:type="dcterms:W3CDTF">2021-12-12T18:18:00Z</dcterms:created>
  <dcterms:modified xsi:type="dcterms:W3CDTF">2022-01-03T07:42:00Z</dcterms:modified>
</cp:coreProperties>
</file>