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b/>
          <w:sz w:val="28"/>
        </w:rPr>
        <w:t>Estado del arte: Stay Clean</w:t>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t>Miguel Ángel Marín López</w:t>
      </w:r>
    </w:p>
    <w:p>
      <w:pPr>
        <w:spacing w:line="480" w:lineRule="auto" w:after="0" w:before="0"/>
        <w:jc w:val="center"/>
      </w:pPr>
      <w:r>
        <w:rPr>
          <w:rFonts w:ascii="Times New Roman" w:hAnsi="Times New Roman"/>
          <w:sz w:val="24"/>
        </w:rPr>
        <w:t>Juan Camilo Valencia Sánchez</w:t>
      </w:r>
    </w:p>
    <w:p>
      <w:pPr>
        <w:spacing w:line="480" w:lineRule="auto" w:after="0" w:before="0"/>
        <w:jc w:val="center"/>
      </w:pPr>
      <w:r>
        <w:rPr>
          <w:rFonts w:ascii="Times New Roman" w:hAnsi="Times New Roman"/>
          <w:sz w:val="24"/>
        </w:rPr>
        <w:t>Sebastián Muñoz Zapata</w:t>
      </w:r>
    </w:p>
    <w:p>
      <w:pPr>
        <w:spacing w:line="480" w:lineRule="auto" w:after="0" w:before="0"/>
        <w:jc w:val="center"/>
      </w:pPr>
      <w:r>
        <w:rPr>
          <w:rFonts w:ascii="Times New Roman" w:hAnsi="Times New Roman"/>
          <w:sz w:val="24"/>
        </w:rPr>
        <w:t>Juan Esteban Vargas Henao</w:t>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t>Servicio Nacional de Aprendizaje (SENA)</w:t>
      </w:r>
    </w:p>
    <w:p>
      <w:pPr>
        <w:spacing w:line="480" w:lineRule="auto" w:after="0" w:before="0"/>
        <w:jc w:val="center"/>
      </w:pPr>
      <w:r>
        <w:rPr>
          <w:rFonts w:ascii="Times New Roman" w:hAnsi="Times New Roman"/>
          <w:sz w:val="24"/>
        </w:rPr>
        <w:t>Regional Antioquia – Centro de Formación Medellín</w:t>
      </w:r>
    </w:p>
    <w:p>
      <w:pPr>
        <w:spacing w:line="480" w:lineRule="auto" w:after="0" w:before="0"/>
        <w:jc w:val="center"/>
      </w:pPr>
      <w:r>
        <w:rPr>
          <w:rFonts w:ascii="Times New Roman" w:hAnsi="Times New Roman"/>
          <w:sz w:val="24"/>
        </w:rPr>
        <w:t>Programa: Análisis y Desarrollo de Sistemas de Información (ADSO)</w:t>
      </w:r>
    </w:p>
    <w:p>
      <w:pPr>
        <w:spacing w:line="480" w:lineRule="auto" w:after="0" w:before="0"/>
        <w:jc w:val="center"/>
      </w:pPr>
      <w:r>
        <w:rPr>
          <w:rFonts w:ascii="Times New Roman" w:hAnsi="Times New Roman"/>
          <w:sz w:val="24"/>
        </w:rPr>
        <w:t>Instructora: Lilliana Uribe</w:t>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t>Ficha 3483972</w:t>
      </w:r>
    </w:p>
    <w:p>
      <w:pPr>
        <w:spacing w:line="480" w:lineRule="auto" w:after="0" w:before="0"/>
        <w:jc w:val="center"/>
      </w:pPr>
      <w:r>
        <w:rPr>
          <w:rFonts w:ascii="Times New Roman" w:hAnsi="Times New Roman"/>
          <w:sz w:val="24"/>
        </w:rPr>
        <w:t>Medellín, junio de 2026</w:t>
      </w:r>
    </w:p>
    <w:p>
      <w:r>
        <w:br w:type="page"/>
      </w:r>
    </w:p>
    <w:p>
      <w:pPr>
        <w:spacing w:before="240" w:after="120" w:line="480" w:lineRule="auto"/>
        <w:ind w:firstLine="0"/>
      </w:pPr>
      <w:r>
        <w:rPr>
          <w:rFonts w:ascii="Times New Roman" w:hAnsi="Times New Roman"/>
          <w:b/>
          <w:sz w:val="24"/>
        </w:rPr>
        <w:t>Introducción y contexto</w:t>
      </w:r>
    </w:p>
    <w:p>
      <w:pPr>
        <w:spacing w:line="480" w:lineRule="auto" w:after="0" w:before="0"/>
        <w:ind w:firstLine="720"/>
      </w:pPr>
      <w:r>
        <w:rPr>
          <w:rFonts w:ascii="Times New Roman" w:hAnsi="Times New Roman"/>
          <w:sz w:val="24"/>
        </w:rPr>
        <w:t>El proyecto Stay Clean surge como respuesta a una problemática real y creciente en los centros de formación del SENA en Medellín: la ausencia de una herramienta tecnológica que permita detectar de forma temprana, continua y no intrusiva los factores de riesgo psicosocial en jóvenes aprendices.</w:t>
      </w:r>
    </w:p>
    <w:p>
      <w:pPr>
        <w:spacing w:line="480" w:lineRule="auto" w:after="0" w:before="0"/>
        <w:ind w:firstLine="720"/>
      </w:pPr>
      <w:r>
        <w:rPr>
          <w:rFonts w:ascii="Times New Roman" w:hAnsi="Times New Roman"/>
          <w:sz w:val="24"/>
        </w:rPr>
        <w:t>La salud mental juvenil es hoy una prioridad de la política pública en Colombia y en Medellín en particular, donde el consumo de sustancias psicoactivas, la deserción escolar y las crisis emocionales representan desafíos institucionales de primer orden.</w:t>
      </w:r>
    </w:p>
    <w:p>
      <w:pPr>
        <w:spacing w:line="480" w:lineRule="auto" w:after="0" w:before="0"/>
        <w:ind w:firstLine="720"/>
      </w:pPr>
      <w:r>
        <w:rPr>
          <w:rFonts w:ascii="Times New Roman" w:hAnsi="Times New Roman"/>
          <w:sz w:val="24"/>
        </w:rPr>
        <w:t>El presente documento constituye el estado del arte del proyecto, una investigación sistemática que busca verificar la viabilidad de la propuesta, identificar soluciones existentes en el mercado, analizar las brechas tecnológicas no cubiertas y justificar el valor diferencial de Stay Clean frente al ecosistema actual de herramientas de bienestar estudiantil.</w:t>
      </w:r>
    </w:p>
    <w:p>
      <w:pPr>
        <w:spacing w:line="480" w:lineRule="auto" w:after="0" w:before="0"/>
        <w:ind w:firstLine="720"/>
      </w:pPr>
      <w:r>
        <w:rPr>
          <w:rFonts w:ascii="Times New Roman" w:hAnsi="Times New Roman"/>
          <w:sz w:val="24"/>
        </w:rPr>
        <w:t>La delimitación del problema se enmarca en el contexto de los aprendices del programa ADSO – Regional Antioquia, con proyección hacia todos los centros de formación de la institución en Medellín. La problemática central identificada es la falta de un sistema de detección temprana de riesgos psicosociales en jóvenes, cuyos efectos incluyen la deserción estudiantil, el deterioro académico y la sobrecarga del personal de bienestar institucional.</w:t>
      </w:r>
    </w:p>
    <w:p>
      <w:pPr>
        <w:spacing w:before="240" w:after="120" w:line="480" w:lineRule="auto"/>
        <w:ind w:firstLine="0"/>
      </w:pPr>
      <w:r>
        <w:rPr>
          <w:rFonts w:ascii="Times New Roman" w:hAnsi="Times New Roman"/>
          <w:b/>
          <w:sz w:val="24"/>
        </w:rPr>
        <w:t>Análisis del problema</w:t>
      </w:r>
    </w:p>
    <w:p>
      <w:pPr>
        <w:spacing w:line="480" w:lineRule="auto" w:after="0" w:before="0"/>
        <w:ind w:firstLine="720"/>
      </w:pPr>
      <w:r>
        <w:rPr>
          <w:rFonts w:ascii="Times New Roman" w:hAnsi="Times New Roman"/>
          <w:sz w:val="24"/>
        </w:rPr>
        <w:t>El árbol de problemas construido por el equipo identifica con claridad el problema central y sus causas y efectos:</w:t>
      </w:r>
    </w:p>
    <w:p>
      <w:pPr>
        <w:spacing w:line="480" w:lineRule="auto" w:after="0" w:before="0"/>
        <w:ind w:firstLine="0"/>
      </w:pPr>
      <w:r>
        <w:rPr>
          <w:rFonts w:ascii="Times New Roman" w:hAnsi="Times New Roman"/>
          <w:sz w:val="24"/>
        </w:rPr>
        <w:t>Problema central: falta un sistema de detección temprana de riesgos psicosociales en jóvenes.</w:t>
      </w:r>
    </w:p>
    <w:p>
      <w:pPr>
        <w:spacing w:line="480" w:lineRule="auto" w:after="0" w:before="0"/>
        <w:ind w:firstLine="0"/>
      </w:pPr>
      <w:r>
        <w:rPr>
          <w:rFonts w:ascii="Times New Roman" w:hAnsi="Times New Roman"/>
          <w:sz w:val="24"/>
        </w:rPr>
        <w:t>Causas identificadas:</w:t>
      </w:r>
    </w:p>
    <w:p>
      <w:pPr>
        <w:pStyle w:val="ListBullet"/>
        <w:spacing w:line="480" w:lineRule="auto" w:after="0" w:before="0"/>
      </w:pPr>
      <w:r>
        <w:rPr>
          <w:rFonts w:ascii="Times New Roman" w:hAnsi="Times New Roman"/>
          <w:sz w:val="24"/>
        </w:rPr>
        <w:t>No existe una herramienta tecnológica que monitoree el estado emocional de los jóvenes de forma continua y lúdica.</w:t>
      </w:r>
    </w:p>
    <w:p>
      <w:pPr>
        <w:pStyle w:val="ListBullet"/>
        <w:spacing w:line="480" w:lineRule="auto" w:after="0" w:before="0"/>
      </w:pPr>
      <w:r>
        <w:rPr>
          <w:rFonts w:ascii="Times New Roman" w:hAnsi="Times New Roman"/>
          <w:sz w:val="24"/>
        </w:rPr>
        <w:t>Los jóvenes no hablan abiertamente de sus problemas de salud mental por miedo, vergüenza o desconfianza.</w:t>
      </w:r>
    </w:p>
    <w:p>
      <w:pPr>
        <w:pStyle w:val="ListBullet"/>
        <w:spacing w:line="480" w:lineRule="auto" w:after="0" w:before="0"/>
      </w:pPr>
      <w:r>
        <w:rPr>
          <w:rFonts w:ascii="Times New Roman" w:hAnsi="Times New Roman"/>
          <w:sz w:val="24"/>
        </w:rPr>
        <w:t>Los especialistas (psicólogos y trabajadores sociales) dependen de métodos manuales o reportes voluntarios, lo que retrasa la detección de casos de riesgo.</w:t>
      </w:r>
    </w:p>
    <w:p>
      <w:pPr>
        <w:spacing w:line="480" w:lineRule="auto" w:after="0" w:before="0"/>
        <w:ind w:firstLine="0"/>
      </w:pPr>
      <w:r>
        <w:rPr>
          <w:rFonts w:ascii="Times New Roman" w:hAnsi="Times New Roman"/>
          <w:sz w:val="24"/>
        </w:rPr>
        <w:t>Efectos del problema:</w:t>
      </w:r>
    </w:p>
    <w:p>
      <w:pPr>
        <w:pStyle w:val="ListBullet"/>
        <w:spacing w:line="480" w:lineRule="auto" w:after="0" w:before="0"/>
      </w:pPr>
      <w:r>
        <w:rPr>
          <w:rFonts w:ascii="Times New Roman" w:hAnsi="Times New Roman"/>
          <w:sz w:val="24"/>
        </w:rPr>
        <w:t>Las intervenciones de bienestar llegan tarde, cuando el problema ya está muy avanzado o es difícil de manejar.</w:t>
      </w:r>
    </w:p>
    <w:p>
      <w:pPr>
        <w:pStyle w:val="ListBullet"/>
        <w:spacing w:line="480" w:lineRule="auto" w:after="0" w:before="0"/>
      </w:pPr>
      <w:r>
        <w:rPr>
          <w:rFonts w:ascii="Times New Roman" w:hAnsi="Times New Roman"/>
          <w:sz w:val="24"/>
        </w:rPr>
        <w:t>Los jóvenes terminan desertando del estudio, les va mal en las materias o llegan a tener crisis emocionales graves porque nadie los ayudó a tiempo.</w:t>
      </w:r>
    </w:p>
    <w:p>
      <w:pPr>
        <w:pStyle w:val="ListBullet"/>
        <w:spacing w:line="480" w:lineRule="auto" w:after="0" w:before="0"/>
      </w:pPr>
      <w:r>
        <w:rPr>
          <w:rFonts w:ascii="Times New Roman" w:hAnsi="Times New Roman"/>
          <w:sz w:val="24"/>
        </w:rPr>
        <w:t>Se sobrecargan los especialistas porque no tienen una forma de priorizar los casos más urgentes entre muchos jóvenes.</w:t>
      </w:r>
    </w:p>
    <w:p>
      <w:pPr>
        <w:spacing w:before="240" w:after="120" w:line="480" w:lineRule="auto"/>
        <w:ind w:firstLine="0"/>
      </w:pPr>
      <w:r>
        <w:rPr>
          <w:rFonts w:ascii="Times New Roman" w:hAnsi="Times New Roman"/>
          <w:b/>
          <w:sz w:val="24"/>
        </w:rPr>
        <w:t>Marco normativo y de mercado</w:t>
      </w:r>
    </w:p>
    <w:p>
      <w:pPr>
        <w:spacing w:line="480" w:lineRule="auto" w:after="0" w:before="0"/>
        <w:ind w:firstLine="720"/>
      </w:pPr>
      <w:r>
        <w:rPr>
          <w:rFonts w:ascii="Times New Roman" w:hAnsi="Times New Roman"/>
          <w:sz w:val="24"/>
        </w:rPr>
        <w:t>El desarrollo de Stay Clean no opera en un vacío regulatorio. Colombia cuenta con un marco legal robusto en materia de protección de datos personales, salud mental y educación que el sistema debe cumplir rigurosamente.</w:t>
      </w:r>
    </w:p>
    <w:p>
      <w:pPr>
        <w:spacing w:before="120" w:after="0" w:line="240" w:lineRule="auto"/>
      </w:pPr>
      <w:r>
        <w:rPr>
          <w:rFonts w:ascii="Times New Roman" w:hAnsi="Times New Roman"/>
          <w:b/>
          <w:sz w:val="24"/>
        </w:rPr>
        <w:t>Tabla 1</w:t>
      </w:r>
    </w:p>
    <w:p>
      <w:pPr>
        <w:spacing w:before="0" w:after="120" w:line="240" w:lineRule="auto"/>
      </w:pPr>
      <w:r>
        <w:rPr>
          <w:rFonts w:ascii="Times New Roman" w:hAnsi="Times New Roman"/>
          <w:i/>
          <w:sz w:val="24"/>
        </w:rPr>
        <w:t>Marco normativo aplicable al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Norma / marco</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Descripción</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Aplicación al proyecto</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Ley 1581 de 2012 (Habeas Data)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Protección de datos personales en Colombia. Datos de salud mental son datos sensibles de categoría especial.</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El sistema debe cifrar los datos de los aprendices, solicitar consentimiento informado y garantizar el derecho al olvido y la portabilidad.</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Ley 1616 de 2013 (Salud Mental)</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Establece el derecho a la atención integral en salud mental y la obligación del Estado de promover la salud mental en todos los ámbitos, incluyendo el educativo.</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Valida la necesidad institucional de herramientas de detección temprana en centros de formación.</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Decreto 1377 de 2013</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Reglamenta la Ley 1581. Define las políticas de privacidad, el tratamiento de datos y las obligaciones de los responsables.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El panel administrativo de Stay Clean debe incluir política de privacidad, gestión de consentimientos y registro de tratamiento.</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Política de Bienestar SENA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El SENA tiene lineamientos institucionales de bienestar del aprendiz que incluyen acompañamiento psicosocial, actividades lúdicas y promoción de hábitos saludables.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Stay Clean se alinea directamente con los objetivos de bienestar institucional del SENA.</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CONPES 3992 de 2020</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Política Nacional de Salud Mental. Define estrategias de promoción, prevención y atención en salud mental para la población colombiana.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Contexto de política pública que respalda la pertinencia y necesidad del proyecto.</w:t>
            </w:r>
          </w:p>
        </w:tc>
      </w:tr>
    </w:tbl>
    <w:p>
      <w:pPr>
        <w:spacing w:before="240" w:after="120" w:line="480" w:lineRule="auto"/>
        <w:ind w:firstLine="0"/>
      </w:pPr>
      <w:r>
        <w:rPr>
          <w:rFonts w:ascii="Times New Roman" w:hAnsi="Times New Roman"/>
          <w:b/>
          <w:sz w:val="24"/>
        </w:rPr>
        <w:t>Análisis de la Cámara de Comercio de Medellín</w:t>
      </w:r>
    </w:p>
    <w:p>
      <w:pPr>
        <w:spacing w:line="480" w:lineRule="auto" w:after="0" w:before="0"/>
        <w:ind w:firstLine="720"/>
      </w:pPr>
      <w:r>
        <w:rPr>
          <w:rFonts w:ascii="Times New Roman" w:hAnsi="Times New Roman"/>
          <w:sz w:val="24"/>
        </w:rPr>
        <w:t>Una revisión del ecosistema empresarial registrado en la Cámara de Comercio de Medellín para Antioquia (CCMA) revela información relevante sobre la madurez del mercado de software de bienestar y salud mental en la ciudad.</w:t>
      </w:r>
    </w:p>
    <w:p>
      <w:pPr>
        <w:pStyle w:val="ListBullet"/>
        <w:spacing w:line="480" w:lineRule="auto" w:after="0" w:before="0"/>
      </w:pPr>
      <w:r>
        <w:rPr>
          <w:rFonts w:ascii="Times New Roman" w:hAnsi="Times New Roman"/>
          <w:sz w:val="24"/>
        </w:rPr>
        <w:t>En el sector de Actividades de Programación Informática (CIIU 6201-6209), Medellín concentra un alto número de empresas de desarrollo de software, lo que indica un ecosistema tecnológico maduro con capacidad de competencia.</w:t>
      </w:r>
    </w:p>
    <w:p>
      <w:pPr>
        <w:pStyle w:val="ListBullet"/>
        <w:spacing w:line="480" w:lineRule="auto" w:after="0" w:before="0"/>
      </w:pPr>
      <w:r>
        <w:rPr>
          <w:rFonts w:ascii="Times New Roman" w:hAnsi="Times New Roman"/>
          <w:sz w:val="24"/>
        </w:rPr>
        <w:t>En el sector de salud mental y psicología (CIIU 8690), no se identifican empresas registradas que desarrollen software específico de detección psicosocial gamificado para el segmento educativo institucional en la ciudad.</w:t>
      </w:r>
    </w:p>
    <w:p>
      <w:pPr>
        <w:pStyle w:val="ListBullet"/>
        <w:spacing w:line="480" w:lineRule="auto" w:after="0" w:before="0"/>
      </w:pPr>
      <w:r>
        <w:rPr>
          <w:rFonts w:ascii="Times New Roman" w:hAnsi="Times New Roman"/>
          <w:sz w:val="24"/>
        </w:rPr>
        <w:t>Ruta N Medellín, como agencia de innovación y tecnología de la ciudad, ha impulsado iniciativas de EdTech y salud digital, pero no registra proyectos con el perfil específico de Stay Clean: la combinación de videojuego, detección psicosocial y panel de gestión institucional para el SENA.</w:t>
      </w:r>
    </w:p>
    <w:p>
      <w:pPr>
        <w:spacing w:line="480" w:lineRule="auto" w:after="0" w:before="0"/>
        <w:ind w:firstLine="720"/>
      </w:pPr>
      <w:r>
        <w:rPr>
          <w:rFonts w:ascii="Times New Roman" w:hAnsi="Times New Roman"/>
          <w:sz w:val="24"/>
        </w:rPr>
        <w:t>Esta ausencia de actores directos en el mercado local de Medellín representa una oportunidad de entrada clara para Stay Clean, siempre que se valide la demanda real con las áreas de bienestar del SENA.</w:t>
      </w:r>
    </w:p>
    <w:p>
      <w:pPr>
        <w:spacing w:before="240" w:after="120" w:line="480" w:lineRule="auto"/>
        <w:ind w:firstLine="0"/>
      </w:pPr>
      <w:r>
        <w:rPr>
          <w:rFonts w:ascii="Times New Roman" w:hAnsi="Times New Roman"/>
          <w:b/>
          <w:sz w:val="24"/>
        </w:rPr>
        <w:t>Análisis de soluciones existentes</w:t>
      </w:r>
    </w:p>
    <w:p>
      <w:pPr>
        <w:spacing w:line="480" w:lineRule="auto" w:after="0" w:before="0"/>
        <w:ind w:firstLine="720"/>
      </w:pPr>
      <w:r>
        <w:rPr>
          <w:rFonts w:ascii="Times New Roman" w:hAnsi="Times New Roman"/>
          <w:sz w:val="24"/>
        </w:rPr>
        <w:t>Se identificaron las principales soluciones nacionales e internacionales que abordan problemáticas similares a las que Stay Clean busca resolver. Es fundamental aclarar que la competencia no es solo software: el mayor competidor hoy es el proceso manual (reportes en papel, llamadas telefónicas y formularios de Google Forms sin análisis automático).</w:t>
      </w:r>
    </w:p>
    <w:p>
      <w:pPr>
        <w:spacing w:before="120" w:after="0" w:line="240" w:lineRule="auto"/>
      </w:pPr>
      <w:r>
        <w:rPr>
          <w:rFonts w:ascii="Times New Roman" w:hAnsi="Times New Roman"/>
          <w:b/>
          <w:sz w:val="24"/>
        </w:rPr>
        <w:t>Tabla 2</w:t>
      </w:r>
    </w:p>
    <w:p>
      <w:pPr>
        <w:spacing w:before="0" w:after="120" w:line="240" w:lineRule="auto"/>
      </w:pPr>
      <w:r>
        <w:rPr>
          <w:rFonts w:ascii="Times New Roman" w:hAnsi="Times New Roman"/>
          <w:i/>
          <w:sz w:val="24"/>
        </w:rPr>
        <w:t>Herramientas internacionales comparadas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before="0" w:after="0" w:line="240" w:lineRule="auto"/>
              <w:jc w:val="center"/>
            </w:pPr>
            <w:r>
              <w:rPr>
                <w:rFonts w:ascii="Times New Roman" w:hAnsi="Times New Roman"/>
                <w:sz w:val="24"/>
              </w:rPr>
            </w:r>
            <w:r>
              <w:rPr>
                <w:rFonts w:ascii="Times New Roman" w:hAnsi="Times New Roman"/>
                <w:b/>
                <w:i w:val="0"/>
                <w:sz w:val="24"/>
              </w:rPr>
              <w:t>Solución</w:t>
            </w:r>
          </w:p>
        </w:tc>
        <w:tc>
          <w:tcPr>
            <w:tcW w:type="dxa" w:w="2340"/>
            <w:vAlign w:val="center"/>
          </w:tcPr>
          <w:p>
            <w:pPr>
              <w:spacing w:before="0" w:after="0" w:line="240" w:lineRule="auto"/>
              <w:jc w:val="center"/>
            </w:pPr>
            <w:r>
              <w:rPr>
                <w:rFonts w:ascii="Times New Roman" w:hAnsi="Times New Roman"/>
                <w:sz w:val="24"/>
              </w:rPr>
            </w:r>
            <w:r>
              <w:rPr>
                <w:rFonts w:ascii="Times New Roman" w:hAnsi="Times New Roman"/>
                <w:b/>
                <w:i w:val="0"/>
                <w:sz w:val="24"/>
              </w:rPr>
              <w:t>País</w:t>
            </w:r>
          </w:p>
        </w:tc>
        <w:tc>
          <w:tcPr>
            <w:tcW w:type="dxa" w:w="2340"/>
            <w:vAlign w:val="center"/>
          </w:tcPr>
          <w:p>
            <w:pPr>
              <w:spacing w:before="0" w:after="0" w:line="240" w:lineRule="auto"/>
              <w:jc w:val="center"/>
            </w:pPr>
            <w:r>
              <w:rPr>
                <w:rFonts w:ascii="Times New Roman" w:hAnsi="Times New Roman"/>
                <w:sz w:val="24"/>
              </w:rPr>
            </w:r>
            <w:r>
              <w:rPr>
                <w:rFonts w:ascii="Times New Roman" w:hAnsi="Times New Roman"/>
                <w:b/>
                <w:i w:val="0"/>
                <w:sz w:val="24"/>
              </w:rPr>
              <w:t>Descripción</w:t>
            </w:r>
          </w:p>
        </w:tc>
        <w:tc>
          <w:tcPr>
            <w:tcW w:type="dxa" w:w="2340"/>
            <w:vAlign w:val="center"/>
          </w:tcPr>
          <w:p>
            <w:pPr>
              <w:spacing w:before="0" w:after="0" w:line="240" w:lineRule="auto"/>
              <w:jc w:val="center"/>
            </w:pPr>
            <w:r>
              <w:rPr>
                <w:rFonts w:ascii="Times New Roman" w:hAnsi="Times New Roman"/>
                <w:sz w:val="24"/>
              </w:rPr>
            </w:r>
            <w:r>
              <w:rPr>
                <w:rFonts w:ascii="Times New Roman" w:hAnsi="Times New Roman"/>
                <w:b/>
                <w:i w:val="0"/>
                <w:sz w:val="24"/>
              </w:rPr>
              <w:t>Diferencias con Stay Clean</w:t>
            </w:r>
          </w:p>
        </w:tc>
      </w:tr>
      <w:tr>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Kognito</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EE.UU.</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Simulaciones de role-playing en entornos virtuales para entrenar a docentes y estudiantes en la detección de riesgo de salud mental.</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Enfocado en formación de personal, no en monitoreo continuo de aprendices. No genera alertas automáticas ni paneles de gestión en tiempo real. No está adaptado al contexto SENA ni a la regulación colombiana.</w:t>
            </w:r>
          </w:p>
        </w:tc>
      </w:tr>
      <w:tr>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Woebot Health</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EE.UU.</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Chatbot de IA que aplica técnicas de Terapia Cognitivo-Conductual (TCC) para el apoyo emocional de jóvenes.</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Es una herramienta terapéutica individual, no un sistema institucional de detección y gestión de casos. No tiene panel administrativo ni integración con sistemas educativos como Sofía Plus.</w:t>
            </w:r>
          </w:p>
        </w:tc>
      </w:tr>
      <w:tr>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Bark for Schools</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EE.UU.</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Plataforma de monitoreo de comunicaciones estudiantiles (correos, chats) con IA para detectar riesgos de acoso, autolesiones o consumo.</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Monitoreo de comunicaciones versus videojuego gamificado. Genera controversia ética por privacidad. Muy costoso para el contexto institucional público colombiano.</w:t>
            </w:r>
          </w:p>
        </w:tc>
      </w:tr>
      <w:tr>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Nod (Headspace)</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Global</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App de mindfulness y salud mental para jóvenes, con contenido educativo y ejercicios de bienestar.</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No es un sistema de detección de riesgos. No genera alertas para psicólogos ni gestiona casos. Es una herramienta de autoayuda, no institucional.</w:t>
            </w:r>
          </w:p>
        </w:tc>
      </w:tr>
      <w:tr>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SilverCloud Health</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Irlanda / Global</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Plataforma de intervención digital en salud mental basada en evidencia, usada por universidades y NHS (UK).</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Orientada a intervención o terapia, no a detección temprana gamificada. Alto costo de licenciamiento, no accesible para el SENA.</w:t>
            </w:r>
          </w:p>
        </w:tc>
      </w:tr>
    </w:tbl>
    <w:p>
      <w:pPr>
        <w:spacing w:before="120" w:after="0" w:line="240" w:lineRule="auto"/>
      </w:pPr>
      <w:r>
        <w:rPr>
          <w:rFonts w:ascii="Times New Roman" w:hAnsi="Times New Roman"/>
          <w:b/>
          <w:sz w:val="24"/>
        </w:rPr>
        <w:t>Tabla 3</w:t>
      </w:r>
    </w:p>
    <w:p>
      <w:pPr>
        <w:spacing w:before="0" w:after="120" w:line="240" w:lineRule="auto"/>
      </w:pPr>
      <w:r>
        <w:rPr>
          <w:rFonts w:ascii="Times New Roman" w:hAnsi="Times New Roman"/>
          <w:i/>
          <w:sz w:val="24"/>
        </w:rPr>
        <w:t>Herramientas nacionales y latinoamericanas comparadas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before="0" w:after="0" w:line="240" w:lineRule="auto"/>
              <w:jc w:val="center"/>
            </w:pPr>
            <w:r>
              <w:rPr>
                <w:rFonts w:ascii="Times New Roman" w:hAnsi="Times New Roman"/>
                <w:sz w:val="24"/>
              </w:rPr>
            </w:r>
            <w:r>
              <w:rPr>
                <w:rFonts w:ascii="Times New Roman" w:hAnsi="Times New Roman"/>
                <w:b/>
                <w:i w:val="0"/>
                <w:sz w:val="24"/>
              </w:rPr>
              <w:t>Solución</w:t>
            </w:r>
          </w:p>
        </w:tc>
        <w:tc>
          <w:tcPr>
            <w:tcW w:type="dxa" w:w="2340"/>
            <w:vAlign w:val="center"/>
          </w:tcPr>
          <w:p>
            <w:pPr>
              <w:spacing w:before="0" w:after="0" w:line="240" w:lineRule="auto"/>
              <w:jc w:val="center"/>
            </w:pPr>
            <w:r>
              <w:rPr>
                <w:rFonts w:ascii="Times New Roman" w:hAnsi="Times New Roman"/>
                <w:sz w:val="24"/>
              </w:rPr>
            </w:r>
            <w:r>
              <w:rPr>
                <w:rFonts w:ascii="Times New Roman" w:hAnsi="Times New Roman"/>
                <w:b/>
                <w:i w:val="0"/>
                <w:sz w:val="24"/>
              </w:rPr>
              <w:t>País</w:t>
            </w:r>
          </w:p>
        </w:tc>
        <w:tc>
          <w:tcPr>
            <w:tcW w:type="dxa" w:w="2340"/>
            <w:vAlign w:val="center"/>
          </w:tcPr>
          <w:p>
            <w:pPr>
              <w:spacing w:before="0" w:after="0" w:line="240" w:lineRule="auto"/>
              <w:jc w:val="center"/>
            </w:pPr>
            <w:r>
              <w:rPr>
                <w:rFonts w:ascii="Times New Roman" w:hAnsi="Times New Roman"/>
                <w:sz w:val="24"/>
              </w:rPr>
            </w:r>
            <w:r>
              <w:rPr>
                <w:rFonts w:ascii="Times New Roman" w:hAnsi="Times New Roman"/>
                <w:b/>
                <w:i w:val="0"/>
                <w:sz w:val="24"/>
              </w:rPr>
              <w:t>Descripción</w:t>
            </w:r>
          </w:p>
        </w:tc>
        <w:tc>
          <w:tcPr>
            <w:tcW w:type="dxa" w:w="2340"/>
            <w:vAlign w:val="center"/>
          </w:tcPr>
          <w:p>
            <w:pPr>
              <w:spacing w:before="0" w:after="0" w:line="240" w:lineRule="auto"/>
              <w:jc w:val="center"/>
            </w:pPr>
            <w:r>
              <w:rPr>
                <w:rFonts w:ascii="Times New Roman" w:hAnsi="Times New Roman"/>
                <w:sz w:val="24"/>
              </w:rPr>
            </w:r>
            <w:r>
              <w:rPr>
                <w:rFonts w:ascii="Times New Roman" w:hAnsi="Times New Roman"/>
                <w:b/>
                <w:i w:val="0"/>
                <w:sz w:val="24"/>
              </w:rPr>
              <w:t>Diferencias con Stay Clean</w:t>
            </w:r>
          </w:p>
        </w:tc>
      </w:tr>
      <w:tr>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SAVIA (MinSalud Colombia)</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Colombia</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Portal del Ministerio de Salud con recursos de salud mental, líneas de atención y material educativo.</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Es un portal informativo, no un sistema de detección automática. No tiene gamificación ni panel para psicólogos institucionales.</w:t>
            </w:r>
          </w:p>
        </w:tc>
      </w:tr>
      <w:tr>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Sofía Plus (SENA)</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Colombia</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Sistema de gestión académica del SENA. Gestiona matrículas, notas y datos de aprendices.</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No tiene módulo de bienestar psicosocial. Stay Clean propone integrarse con Sofía Plus, no reemplazarlo, complementando su funcionalidad con detección de riesgo.</w:t>
            </w:r>
          </w:p>
        </w:tc>
      </w:tr>
      <w:tr>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Plataformas de gamificación educativa (Kahoot!, Classcraft)</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Global</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Herramientas de gamificación para el aprendizaje académico. Usadas en colegios y universidades.</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Diseñadas para motivación académica, no para detección psicosocial. No recogen datos de comportamiento emocional ni generan alertas de riesgo.</w:t>
            </w:r>
          </w:p>
        </w:tc>
      </w:tr>
      <w:tr>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Formularios Google / Microsoft Forms</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Global</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Herramienta manual usada actualmente por muchos equipos de bienestar para aplicar encuestas periódicas.</w:t>
            </w:r>
          </w:p>
        </w:tc>
        <w:tc>
          <w:tcPr>
            <w:tcW w:type="dxa" w:w="2340"/>
            <w:vAlign w:val="center"/>
          </w:tcPr>
          <w:p>
            <w:pPr>
              <w:spacing w:before="0" w:after="0" w:line="240" w:lineRule="auto"/>
            </w:pPr>
            <w:r>
              <w:rPr>
                <w:rFonts w:ascii="Times New Roman" w:hAnsi="Times New Roman"/>
                <w:sz w:val="24"/>
              </w:rPr>
            </w:r>
            <w:r>
              <w:rPr>
                <w:rFonts w:ascii="Times New Roman" w:hAnsi="Times New Roman"/>
                <w:b w:val="0"/>
                <w:i w:val="0"/>
                <w:sz w:val="24"/>
              </w:rPr>
              <w:t>Competidor indirecto: es la práctica actual. No tiene detección automática, no es lúdico, genera baja participación y no permite seguimiento continuo ni alertas.</w:t>
            </w:r>
          </w:p>
        </w:tc>
      </w:tr>
    </w:tbl>
    <w:p>
      <w:pPr>
        <w:spacing w:before="240" w:after="120" w:line="480" w:lineRule="auto"/>
        <w:ind w:firstLine="0"/>
      </w:pPr>
      <w:r>
        <w:rPr>
          <w:rFonts w:ascii="Times New Roman" w:hAnsi="Times New Roman"/>
          <w:b/>
          <w:sz w:val="24"/>
        </w:rPr>
        <w:t>Análisis de valor agregado de Stay Clean</w:t>
      </w:r>
    </w:p>
    <w:p>
      <w:pPr>
        <w:spacing w:line="480" w:lineRule="auto" w:after="0" w:before="0"/>
        <w:ind w:firstLine="720"/>
      </w:pPr>
      <w:r>
        <w:rPr>
          <w:rFonts w:ascii="Times New Roman" w:hAnsi="Times New Roman"/>
          <w:sz w:val="24"/>
        </w:rPr>
        <w:t>A partir del benchmarking, se identifican los factores diferenciales que justifican el desarrollo de Stay Clean como una propuesta de valor única en el contexto colombiano.</w:t>
      </w:r>
    </w:p>
    <w:p>
      <w:pPr>
        <w:spacing w:before="120" w:after="0" w:line="240" w:lineRule="auto"/>
      </w:pPr>
      <w:r>
        <w:rPr>
          <w:rFonts w:ascii="Times New Roman" w:hAnsi="Times New Roman"/>
          <w:b/>
          <w:sz w:val="24"/>
        </w:rPr>
        <w:t>Tabla 4</w:t>
      </w:r>
    </w:p>
    <w:p>
      <w:pPr>
        <w:spacing w:before="0" w:after="120" w:line="240" w:lineRule="auto"/>
      </w:pPr>
      <w:r>
        <w:rPr>
          <w:rFonts w:ascii="Times New Roman" w:hAnsi="Times New Roman"/>
          <w:i/>
          <w:sz w:val="24"/>
        </w:rPr>
        <w:t>Comparación de valor agregado</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Factor diferencial</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Stay Clean</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Competencia existente</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Gamificación + Detección</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Sí: videojuego con escenarios de riesgo real en Medellín</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No. Gamificación educativa o detección por separado, nunca integrados.</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Panel administrativo para psicólogos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Sí: alertas rojas/naranjas/verdes, gestión de casos, historial</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Parcial. Bark tiene panel pero es de comunicaciones, no de comportamiento lúdico.</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Alertas automáticas (triggers BD)</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Sí: trigger en tabla Decisiones_Log si puntaje &gt; 80/100</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No. La mayoría requiere revisión manual.</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Integración con Sofía Plus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Sí: autenticación y contexto institucional SENA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No. Ninguna solución existente se integra con Sofía Plus.</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Contexto local Medellín</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Sí: escenarios diseñados con problemáticas reales de jóvenes de la ciudad</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No. Soluciones internacionales no contemplan contexto sociocultural local.</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Cumplimiento Ley 1581</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Sí: diseñado desde el inicio con cifrado y gestión de consentimientos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Variable. Soluciones extranjeras no garantizan cumplimiento de normativa colombiana.</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Exportación de reportes (.xlsx)</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Sí: procedimientos almacenados para informes mensuales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Raro. Pocas herramientas ofrecen exportación estructurada para uso institucional.</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Costo para el SENA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Bajo: desarrollo propio, sin licencias externas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Alto. SilverCloud, Kognito y similares tienen costos prohibitivos para instituciones públicas.</w:t>
            </w:r>
          </w:p>
        </w:tc>
      </w:tr>
    </w:tbl>
    <w:p>
      <w:pPr>
        <w:spacing w:before="240" w:after="120" w:line="480" w:lineRule="auto"/>
        <w:ind w:firstLine="0"/>
      </w:pPr>
      <w:r>
        <w:rPr>
          <w:rFonts w:ascii="Times New Roman" w:hAnsi="Times New Roman"/>
          <w:b/>
          <w:sz w:val="24"/>
        </w:rPr>
        <w:t>Oportunidad de negocio y modelo de monetización</w:t>
      </w:r>
    </w:p>
    <w:p>
      <w:pPr>
        <w:spacing w:line="480" w:lineRule="auto" w:after="0" w:before="0"/>
        <w:ind w:firstLine="720"/>
      </w:pPr>
      <w:r>
        <w:rPr>
          <w:rFonts w:ascii="Times New Roman" w:hAnsi="Times New Roman"/>
          <w:sz w:val="24"/>
        </w:rPr>
        <w:t>Aunque Stay Clean nace como un proyecto académico para el SENA, su estructura y potencial de escalabilidad abren oportunidades de negocio reales en el mediano plazo.</w:t>
      </w:r>
    </w:p>
    <w:p>
      <w:pPr>
        <w:spacing w:before="240" w:after="120" w:line="480" w:lineRule="auto"/>
        <w:ind w:firstLine="0"/>
      </w:pPr>
      <w:r>
        <w:rPr>
          <w:rFonts w:ascii="Times New Roman" w:hAnsi="Times New Roman"/>
          <w:b/>
          <w:sz w:val="24"/>
        </w:rPr>
        <w:t>Mercado objetivo primario</w:t>
      </w:r>
    </w:p>
    <w:p>
      <w:pPr>
        <w:pStyle w:val="ListBullet"/>
        <w:spacing w:line="480" w:lineRule="auto" w:after="0" w:before="0"/>
      </w:pPr>
      <w:r>
        <w:rPr>
          <w:rFonts w:ascii="Times New Roman" w:hAnsi="Times New Roman"/>
          <w:sz w:val="24"/>
        </w:rPr>
        <w:t>Instituciones del SENA en Colombia: 117 centros de formación en todo el país, con más de 1.3 millones de aprendices activos.</w:t>
      </w:r>
    </w:p>
    <w:p>
      <w:pPr>
        <w:pStyle w:val="ListBullet"/>
        <w:spacing w:line="480" w:lineRule="auto" w:after="0" w:before="0"/>
      </w:pPr>
      <w:r>
        <w:rPr>
          <w:rFonts w:ascii="Times New Roman" w:hAnsi="Times New Roman"/>
          <w:sz w:val="24"/>
        </w:rPr>
        <w:t>Centros de educación técnica y tecnológica en Medellín y Antioquia (ITM, Pascual Bravo, Colegiatura).</w:t>
      </w:r>
    </w:p>
    <w:p>
      <w:pPr>
        <w:pStyle w:val="ListBullet"/>
        <w:spacing w:line="480" w:lineRule="auto" w:after="0" w:before="0"/>
      </w:pPr>
      <w:r>
        <w:rPr>
          <w:rFonts w:ascii="Times New Roman" w:hAnsi="Times New Roman"/>
          <w:sz w:val="24"/>
        </w:rPr>
        <w:t>Áreas de bienestar universitario de instituciones de educación superior en Colombia.</w:t>
      </w:r>
    </w:p>
    <w:p>
      <w:pPr>
        <w:spacing w:before="240" w:after="120" w:line="480" w:lineRule="auto"/>
        <w:ind w:firstLine="0"/>
      </w:pPr>
      <w:r>
        <w:rPr>
          <w:rFonts w:ascii="Times New Roman" w:hAnsi="Times New Roman"/>
          <w:b/>
          <w:sz w:val="24"/>
        </w:rPr>
        <w:t>Modelos de monetización viables</w:t>
      </w:r>
    </w:p>
    <w:p>
      <w:pPr>
        <w:pStyle w:val="ListBullet"/>
        <w:spacing w:line="480" w:lineRule="auto" w:after="0" w:before="0"/>
      </w:pPr>
      <w:r>
        <w:rPr>
          <w:rFonts w:ascii="Times New Roman" w:hAnsi="Times New Roman"/>
          <w:sz w:val="24"/>
        </w:rPr>
        <w:t>Licenciamiento institucional (SaaS): suscripción mensual por número de aprendices activos. Modelo recurrente y escalable.</w:t>
      </w:r>
    </w:p>
    <w:p>
      <w:pPr>
        <w:pStyle w:val="ListBullet"/>
        <w:spacing w:line="480" w:lineRule="auto" w:after="0" w:before="0"/>
      </w:pPr>
      <w:r>
        <w:rPr>
          <w:rFonts w:ascii="Times New Roman" w:hAnsi="Times New Roman"/>
          <w:sz w:val="24"/>
        </w:rPr>
        <w:t>Implementación como proyecto piloto SENA: el SENA puede financiar el desarrollo como proyecto de innovación institucional a través de Sennova.</w:t>
      </w:r>
    </w:p>
    <w:p>
      <w:pPr>
        <w:pStyle w:val="ListBullet"/>
        <w:spacing w:line="480" w:lineRule="auto" w:after="0" w:before="0"/>
      </w:pPr>
      <w:r>
        <w:rPr>
          <w:rFonts w:ascii="Times New Roman" w:hAnsi="Times New Roman"/>
          <w:sz w:val="24"/>
        </w:rPr>
        <w:t>Venta de reportes analíticos: informes consolidados de tendencias de riesgo psicosocial por región o sector productivo, útiles para política pública.</w:t>
      </w:r>
    </w:p>
    <w:p>
      <w:pPr>
        <w:pStyle w:val="ListBullet"/>
        <w:spacing w:line="480" w:lineRule="auto" w:after="0" w:before="0"/>
      </w:pPr>
      <w:r>
        <w:rPr>
          <w:rFonts w:ascii="Times New Roman" w:hAnsi="Times New Roman"/>
          <w:sz w:val="24"/>
        </w:rPr>
        <w:t>Escalabilidad sectorial: adaptación del módulo de gamificación para empresas con programas de bienestar laboral (EPS, ARL, empleadores).</w:t>
      </w:r>
    </w:p>
    <w:p>
      <w:pPr>
        <w:spacing w:before="240" w:after="120" w:line="480" w:lineRule="auto"/>
        <w:ind w:firstLine="0"/>
      </w:pPr>
      <w:r>
        <w:rPr>
          <w:rFonts w:ascii="Times New Roman" w:hAnsi="Times New Roman"/>
          <w:b/>
          <w:sz w:val="24"/>
        </w:rPr>
        <w:t>Viabilidad tecnológica</w:t>
      </w:r>
    </w:p>
    <w:p>
      <w:pPr>
        <w:spacing w:line="480" w:lineRule="auto" w:after="0" w:before="0"/>
        <w:ind w:firstLine="720"/>
      </w:pPr>
      <w:r>
        <w:rPr>
          <w:rFonts w:ascii="Times New Roman" w:hAnsi="Times New Roman"/>
          <w:sz w:val="24"/>
        </w:rPr>
        <w:t>El proyecto es tecnológicamente viable con las capacidades actuales del equipo y las tecnologías modernas de desarrollo web. A continuación se analiza el stack tecnológico propuesto y su pertinencia.</w:t>
      </w:r>
    </w:p>
    <w:p>
      <w:pPr>
        <w:spacing w:before="120" w:after="0" w:line="240" w:lineRule="auto"/>
      </w:pPr>
      <w:r>
        <w:rPr>
          <w:rFonts w:ascii="Times New Roman" w:hAnsi="Times New Roman"/>
          <w:b/>
          <w:sz w:val="24"/>
        </w:rPr>
        <w:t>Tabla 5</w:t>
      </w:r>
    </w:p>
    <w:p>
      <w:pPr>
        <w:spacing w:before="0" w:after="120" w:line="240" w:lineRule="auto"/>
      </w:pPr>
      <w:r>
        <w:rPr>
          <w:rFonts w:ascii="Times New Roman" w:hAnsi="Times New Roman"/>
          <w:i/>
          <w:sz w:val="24"/>
        </w:rPr>
        <w:t>Stack tecnológico propuesto</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Componente</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Tecnología propuesta</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Justificación</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Backend</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Django (Python) o Laravel (PHP)</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Frameworks maduros, con soporte de autenticación robusta, ORMs para gestión de BD y capacidad de integración con APIs externas (Sofía Plus).</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Frontend gamificado</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Phaser.js (motor 2D en JavaScript) o Godot exportado a web</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Phaser.js es el estándar de la industria para videojuegos 2D en navegador. Godot ofrece exportación HTML5 de alta calidad. Ambos son open source.</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Panel administrativo</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React.js o Vue.js con librerías de dashboards (Chart.js, Recharts)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Interfaces reactivas y fluidas para visualización de datos en tiempo real. Amplia documentación y comunidad.</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Base de datos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MariaDB o PostgreSQL</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Soporte nativo de triggers y procedimientos almacenados. MariaDB es compatible con MySQL y de fácil despliegue en hosting compartido. PostgreSQL ofrece mayor robustez para cargas altas.</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Exportación Excel</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openpyxl (Python) o PhpSpreadsheet (PHP)</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Librerías maduras para generación de archivos .xlsx con formato, fórmulas y hojas múltiples.</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Hosting / despliegue</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VPS en la nube (DigitalOcean, AWS o infraestructura SENA)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Despliegue en entorno controlado con soporte de bases de datos relacionales y certificado SSL.</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Seguridad</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bcrypt para contraseñas, JWT para sesiones, HTTPS, cifrado AES para datos sensibles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Cumplimiento de Ley 1581 y estándares OWASP para protección de datos de salud mental.</w:t>
            </w:r>
          </w:p>
        </w:tc>
      </w:tr>
    </w:tbl>
    <w:p>
      <w:pPr>
        <w:spacing w:before="240" w:after="120" w:line="480" w:lineRule="auto"/>
        <w:ind w:firstLine="0"/>
      </w:pPr>
      <w:r>
        <w:rPr>
          <w:rFonts w:ascii="Times New Roman" w:hAnsi="Times New Roman"/>
          <w:b/>
          <w:sz w:val="24"/>
        </w:rPr>
        <w:t>Tendencias tecnológicas</w:t>
      </w:r>
    </w:p>
    <w:p>
      <w:pPr>
        <w:spacing w:line="480" w:lineRule="auto" w:after="0" w:before="0"/>
        <w:ind w:firstLine="720"/>
      </w:pPr>
      <w:r>
        <w:rPr>
          <w:rFonts w:ascii="Times New Roman" w:hAnsi="Times New Roman"/>
          <w:sz w:val="24"/>
        </w:rPr>
        <w:t>Para garantizar que Stay Clean no sea obsoleto al momento de su lanzamiento, es fundamental incorporar o planificar la integración de tendencias tecnológicas emergentes en el ámbito de la salud mental digital y la gamificación.</w:t>
      </w:r>
    </w:p>
    <w:p>
      <w:pPr>
        <w:spacing w:before="240" w:after="120" w:line="480" w:lineRule="auto"/>
        <w:ind w:firstLine="0"/>
      </w:pPr>
      <w:r>
        <w:rPr>
          <w:rFonts w:ascii="Times New Roman" w:hAnsi="Times New Roman"/>
          <w:b/>
          <w:sz w:val="24"/>
        </w:rPr>
        <w:t>Inteligencia artificial y machine learning</w:t>
      </w:r>
    </w:p>
    <w:p>
      <w:pPr>
        <w:spacing w:line="480" w:lineRule="auto" w:after="0" w:before="0"/>
        <w:ind w:firstLine="720"/>
      </w:pPr>
      <w:r>
        <w:rPr>
          <w:rFonts w:ascii="Times New Roman" w:hAnsi="Times New Roman"/>
          <w:sz w:val="24"/>
        </w:rPr>
        <w:t>La tendencia global en plataformas de bienestar estudiantil apunta hacia el uso de modelos de machine learning para la detección predictiva de riesgo, es decir, anticipar una crisis emocional antes de que ocurra, basándose en patrones de comportamiento en el videojuego. Stay Clean puede incorporar esta capacidad en fases posteriores como el uso de modelos de regresión logística o redes neuronales sobre los datos de Decisiones_Log, lo que transformaría el sistema de reactivo a predictivo.</w:t>
      </w:r>
    </w:p>
    <w:p>
      <w:pPr>
        <w:spacing w:before="240" w:after="120" w:line="480" w:lineRule="auto"/>
        <w:ind w:firstLine="0"/>
      </w:pPr>
      <w:r>
        <w:rPr>
          <w:rFonts w:ascii="Times New Roman" w:hAnsi="Times New Roman"/>
          <w:b/>
          <w:sz w:val="24"/>
        </w:rPr>
        <w:t>Análisis de comportamiento</w:t>
      </w:r>
    </w:p>
    <w:p>
      <w:pPr>
        <w:spacing w:line="480" w:lineRule="auto" w:after="0" w:before="0"/>
        <w:ind w:firstLine="720"/>
      </w:pPr>
      <w:r>
        <w:rPr>
          <w:rFonts w:ascii="Times New Roman" w:hAnsi="Times New Roman"/>
          <w:sz w:val="24"/>
        </w:rPr>
        <w:t>Plataformas líderes como Duolingo han demostrado que el análisis del comportamiento dentro de un videojuego (velocidad de respuesta, patrones de decisión, sesiones abandonadas) es un indicador fiable del estado emocional del usuario. Stay Clean ya implementa este principio con el registro en Sesiones_Juego y Decisiones_Log, lo que le otorga una base de datos de comportamiento valiosa para análisis futuros.</w:t>
      </w:r>
    </w:p>
    <w:p>
      <w:pPr>
        <w:spacing w:before="240" w:after="120" w:line="480" w:lineRule="auto"/>
        <w:ind w:firstLine="0"/>
      </w:pPr>
      <w:r>
        <w:rPr>
          <w:rFonts w:ascii="Times New Roman" w:hAnsi="Times New Roman"/>
          <w:b/>
          <w:sz w:val="24"/>
        </w:rPr>
        <w:t>Telemedicina y salud digital</w:t>
      </w:r>
    </w:p>
    <w:p>
      <w:pPr>
        <w:spacing w:line="480" w:lineRule="auto" w:after="0" w:before="0"/>
        <w:ind w:firstLine="720"/>
      </w:pPr>
      <w:r>
        <w:rPr>
          <w:rFonts w:ascii="Times New Roman" w:hAnsi="Times New Roman"/>
          <w:sz w:val="24"/>
        </w:rPr>
        <w:t>Colombia ha acelerado la adopción de telemedicina y plataformas de salud digital tras la pandemia de COVID-19. Herramientas que integren el componente digital con la atención profesional presencial, como el botón de pánico de Stay Clean que conecta al aprendiz con un psicólogo, están alineadas con esta tendencia.</w:t>
      </w:r>
    </w:p>
    <w:p>
      <w:pPr>
        <w:spacing w:before="240" w:after="120" w:line="480" w:lineRule="auto"/>
        <w:ind w:firstLine="0"/>
      </w:pPr>
      <w:r>
        <w:rPr>
          <w:rFonts w:ascii="Times New Roman" w:hAnsi="Times New Roman"/>
          <w:b/>
          <w:sz w:val="24"/>
        </w:rPr>
        <w:t>Gamificación para la salud</w:t>
      </w:r>
    </w:p>
    <w:p>
      <w:pPr>
        <w:spacing w:line="480" w:lineRule="auto" w:after="0" w:before="0"/>
        <w:ind w:firstLine="720"/>
      </w:pPr>
      <w:r>
        <w:rPr>
          <w:rFonts w:ascii="Times New Roman" w:hAnsi="Times New Roman"/>
          <w:sz w:val="24"/>
        </w:rPr>
        <w:t>El mercado global de gamificación en salud se estimó en USD 2.1 billones en 2023, con proyección de crecimiento sostenido. Aplicaciones como SuperBetter, Moodfit y EndeavorRx demuestran que la gamificación es un canal válido y efectivo para intervenciones de salud mental, especialmente en población joven.</w:t>
      </w:r>
    </w:p>
    <w:p>
      <w:pPr>
        <w:spacing w:before="240" w:after="120" w:line="480" w:lineRule="auto"/>
        <w:ind w:firstLine="0"/>
      </w:pPr>
      <w:r>
        <w:rPr>
          <w:rFonts w:ascii="Times New Roman" w:hAnsi="Times New Roman"/>
          <w:b/>
          <w:sz w:val="24"/>
        </w:rPr>
        <w:t>Validación de la demanda</w:t>
      </w:r>
    </w:p>
    <w:p>
      <w:pPr>
        <w:spacing w:line="480" w:lineRule="auto" w:after="0" w:before="0"/>
        <w:ind w:firstLine="720"/>
      </w:pPr>
      <w:r>
        <w:rPr>
          <w:rFonts w:ascii="Times New Roman" w:hAnsi="Times New Roman"/>
          <w:sz w:val="24"/>
        </w:rPr>
        <w:t>La validación de mercado mediante encuestas es un componente crítico del estado del arte. Siguiendo la metodología del problem-solution fit, el equipo debe aplicar un cuestionario a un mínimo de 25 personas del público objetivo para cuantificar el dolor del cliente y validar el interés en la solución propuesta.</w:t>
      </w:r>
    </w:p>
    <w:p>
      <w:pPr>
        <w:spacing w:before="240" w:after="120" w:line="480" w:lineRule="auto"/>
        <w:ind w:firstLine="0"/>
      </w:pPr>
      <w:r>
        <w:rPr>
          <w:rFonts w:ascii="Times New Roman" w:hAnsi="Times New Roman"/>
          <w:b/>
          <w:sz w:val="24"/>
        </w:rPr>
        <w:t>Diseño de la encuesta</w:t>
      </w:r>
    </w:p>
    <w:p>
      <w:pPr>
        <w:pStyle w:val="ListBullet"/>
        <w:spacing w:line="480" w:lineRule="auto" w:after="0" w:before="0"/>
      </w:pPr>
      <w:r>
        <w:rPr>
          <w:rFonts w:ascii="Times New Roman" w:hAnsi="Times New Roman"/>
          <w:sz w:val="24"/>
        </w:rPr>
        <w:t>Bloque 1: diagnóstico del problema. Explora si el aprendiz ha experimentado estrés, ansiedad o presión social durante su proceso de formación en el SENA.</w:t>
      </w:r>
    </w:p>
    <w:p>
      <w:pPr>
        <w:pStyle w:val="ListBullet"/>
        <w:spacing w:line="480" w:lineRule="auto" w:after="0" w:before="0"/>
      </w:pPr>
      <w:r>
        <w:rPr>
          <w:rFonts w:ascii="Times New Roman" w:hAnsi="Times New Roman"/>
          <w:sz w:val="24"/>
        </w:rPr>
        <w:t>Bloque 2: uso de herramientas actuales. Indaga si conoce y utiliza los servicios de bienestar del SENA.</w:t>
      </w:r>
    </w:p>
    <w:p>
      <w:pPr>
        <w:pStyle w:val="ListBullet"/>
        <w:spacing w:line="480" w:lineRule="auto" w:after="0" w:before="0"/>
      </w:pPr>
      <w:r>
        <w:rPr>
          <w:rFonts w:ascii="Times New Roman" w:hAnsi="Times New Roman"/>
          <w:sz w:val="24"/>
        </w:rPr>
        <w:t>Bloque 3: aceptación de la solución. Pregunta si usaría una aplicación en forma de videojuego que lo ayude a gestionar su estado emocional.</w:t>
      </w:r>
    </w:p>
    <w:p>
      <w:pPr>
        <w:pStyle w:val="ListBullet"/>
        <w:spacing w:line="480" w:lineRule="auto" w:after="0" w:before="0"/>
      </w:pPr>
      <w:r>
        <w:rPr>
          <w:rFonts w:ascii="Times New Roman" w:hAnsi="Times New Roman"/>
          <w:sz w:val="24"/>
        </w:rPr>
        <w:t>Bloque 4: valoración. Mide en una escala de 1 a 5 la importancia de tener una herramienta así en el SENA.</w:t>
      </w:r>
    </w:p>
    <w:p>
      <w:pPr>
        <w:pStyle w:val="ListBullet"/>
        <w:spacing w:line="480" w:lineRule="auto" w:after="0" w:before="0"/>
      </w:pPr>
      <w:r>
        <w:rPr>
          <w:rFonts w:ascii="Times New Roman" w:hAnsi="Times New Roman"/>
          <w:sz w:val="24"/>
        </w:rPr>
        <w:t>Bloque 5: personal de bienestar. Consulta cuántos casos atienden mensualmente y qué tan difícil es priorizar casos urgentes.</w:t>
      </w:r>
    </w:p>
    <w:p>
      <w:pPr>
        <w:spacing w:before="240" w:after="120" w:line="480" w:lineRule="auto"/>
        <w:ind w:firstLine="0"/>
      </w:pPr>
      <w:r>
        <w:rPr>
          <w:rFonts w:ascii="Times New Roman" w:hAnsi="Times New Roman"/>
          <w:b/>
          <w:sz w:val="24"/>
        </w:rPr>
        <w:t>Indicadores de validación</w:t>
      </w:r>
    </w:p>
    <w:p>
      <w:pPr>
        <w:pStyle w:val="ListBullet"/>
        <w:spacing w:line="480" w:lineRule="auto" w:after="0" w:before="0"/>
      </w:pPr>
      <w:r>
        <w:rPr>
          <w:rFonts w:ascii="Times New Roman" w:hAnsi="Times New Roman"/>
          <w:sz w:val="24"/>
        </w:rPr>
        <w:t>Más del 60% de los encuestados reconoce haber experimentado situaciones de riesgo emocional durante su formación.</w:t>
      </w:r>
    </w:p>
    <w:p>
      <w:pPr>
        <w:pStyle w:val="ListBullet"/>
        <w:spacing w:line="480" w:lineRule="auto" w:after="0" w:before="0"/>
      </w:pPr>
      <w:r>
        <w:rPr>
          <w:rFonts w:ascii="Times New Roman" w:hAnsi="Times New Roman"/>
          <w:sz w:val="24"/>
        </w:rPr>
        <w:t>Más del 70% declara que usaría o recomendaría una herramienta como Stay Clean.</w:t>
      </w:r>
    </w:p>
    <w:p>
      <w:pPr>
        <w:pStyle w:val="ListBullet"/>
        <w:spacing w:line="480" w:lineRule="auto" w:after="0" w:before="0"/>
      </w:pPr>
      <w:r>
        <w:rPr>
          <w:rFonts w:ascii="Times New Roman" w:hAnsi="Times New Roman"/>
          <w:sz w:val="24"/>
        </w:rPr>
        <w:t>Más del 50% del personal de bienestar afirma que los métodos actuales son insuficientes para priorizar casos.</w:t>
      </w:r>
    </w:p>
    <w:p>
      <w:pPr>
        <w:spacing w:before="240" w:after="120" w:line="480" w:lineRule="auto"/>
        <w:ind w:firstLine="0"/>
      </w:pPr>
      <w:r>
        <w:rPr>
          <w:rFonts w:ascii="Times New Roman" w:hAnsi="Times New Roman"/>
          <w:b/>
          <w:sz w:val="24"/>
        </w:rPr>
        <w:t>Resultados esperados</w:t>
      </w:r>
    </w:p>
    <w:p>
      <w:pPr>
        <w:spacing w:before="120" w:after="0" w:line="240" w:lineRule="auto"/>
      </w:pPr>
      <w:r>
        <w:rPr>
          <w:rFonts w:ascii="Times New Roman" w:hAnsi="Times New Roman"/>
          <w:b/>
          <w:sz w:val="24"/>
        </w:rPr>
        <w:t>Tabla 6</w:t>
      </w:r>
    </w:p>
    <w:p>
      <w:pPr>
        <w:spacing w:before="0" w:after="120" w:line="240" w:lineRule="auto"/>
      </w:pPr>
      <w:r>
        <w:rPr>
          <w:rFonts w:ascii="Times New Roman" w:hAnsi="Times New Roman"/>
          <w:i/>
          <w:sz w:val="24"/>
        </w:rPr>
        <w:t>Matriz de resultados de validación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Pregunta clave</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Resultado esperado</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Resultado real</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¿Has experimentado estrés o ansiedad en el SENA?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&gt; 60% sí</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Por completar con datos reales</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¿Usarías Stay Clean?</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&gt; 70% sí</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Por completar con datos reales</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¿Los métodos actuales son suficientes?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&gt; 50% no</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Por completar con datos reales</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Valoración promedio de la herramienta (1-5)</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&gt; 4.0</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Por completar con datos reales</w:t>
            </w:r>
          </w:p>
        </w:tc>
      </w:tr>
    </w:tbl>
    <w:p>
      <w:pPr>
        <w:spacing w:before="240" w:after="120" w:line="480" w:lineRule="auto"/>
        <w:ind w:firstLine="0"/>
      </w:pPr>
      <w:r>
        <w:rPr>
          <w:rFonts w:ascii="Times New Roman" w:hAnsi="Times New Roman"/>
          <w:b/>
          <w:sz w:val="24"/>
        </w:rPr>
        <w:t>Brechas tecnológicas identificadas</w:t>
      </w:r>
    </w:p>
    <w:p>
      <w:pPr>
        <w:spacing w:line="480" w:lineRule="auto" w:after="0" w:before="0"/>
        <w:ind w:firstLine="720"/>
      </w:pPr>
      <w:r>
        <w:rPr>
          <w:rFonts w:ascii="Times New Roman" w:hAnsi="Times New Roman"/>
          <w:sz w:val="24"/>
        </w:rPr>
        <w:t>El análisis del ecosistema existente permite identificar los vacíos que Stay Clean busca llenar.</w:t>
      </w:r>
    </w:p>
    <w:p>
      <w:pPr>
        <w:spacing w:before="120" w:after="0" w:line="240" w:lineRule="auto"/>
      </w:pPr>
      <w:r>
        <w:rPr>
          <w:rFonts w:ascii="Times New Roman" w:hAnsi="Times New Roman"/>
          <w:b/>
          <w:sz w:val="24"/>
        </w:rPr>
        <w:t>Tabla 7</w:t>
      </w:r>
    </w:p>
    <w:p>
      <w:pPr>
        <w:spacing w:before="0" w:after="120" w:line="240" w:lineRule="auto"/>
      </w:pPr>
      <w:r>
        <w:rPr>
          <w:rFonts w:ascii="Times New Roman" w:hAnsi="Times New Roman"/>
          <w:i/>
          <w:sz w:val="24"/>
        </w:rPr>
        <w:t>Brechas tecnológicas y respuesta del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Brecha identificada</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Descripción</w:t>
            </w:r>
          </w:p>
        </w:tc>
        <w:tc>
          <w:tcPr>
            <w:tcW w:type="dxa" w:w="3120"/>
            <w:vAlign w:val="center"/>
          </w:tcPr>
          <w:p>
            <w:pPr>
              <w:spacing w:before="0" w:after="0" w:line="240" w:lineRule="auto"/>
              <w:jc w:val="center"/>
            </w:pPr>
            <w:r>
              <w:rPr>
                <w:rFonts w:ascii="Times New Roman" w:hAnsi="Times New Roman"/>
                <w:sz w:val="24"/>
              </w:rPr>
            </w:r>
            <w:r>
              <w:rPr>
                <w:rFonts w:ascii="Times New Roman" w:hAnsi="Times New Roman"/>
                <w:b/>
                <w:i w:val="0"/>
                <w:sz w:val="24"/>
              </w:rPr>
              <w:t>Cómo Stay Clean la resuelve</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Ausencia de herramienta gamificada de detección psicosocial en Colombia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Ninguna solución nacional combina videojuego, detección de riesgo y panel institucional.</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Stay Clean integra los tres componentes en una sola plataforma diseñada para el contexto colombiano.</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Dependencia de métodos manuales en el SENA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El personal de bienestar usa formularios, reportes en papel o llamadas telefónicas para detectar casos.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El sistema automatiza la detección mediante triggers en BD y genera alertas en tiempo real.</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Baja participación en autoevaluaciones emocionales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Los jóvenes evitan encuestas directas por miedo, vergüenza o desconfianza.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El videojuego permite recoger datos de comportamiento de forma lúdica y no intrusiva.</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Sin integración con Sofía Plus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Ninguna herramienta de bienestar estudiantil se integra con el sistema de gestión académica del SENA.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Stay Clean propone autenticación y contextualización vía Sofía Plus.</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Dificultad para priorizar casos críticos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Los psicólogos no pueden distinguir fácilmente quién necesita atención urgente entre decenas de aprendices.</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El dashboard con sistema de alertas rojas, naranjas y verdes permite priorización inmediata.</w:t>
            </w:r>
          </w:p>
        </w:tc>
      </w:tr>
      <w:tr>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Incumplimiento potencial de Ley 1581</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Muchas herramientas no están diseñadas para el manejo de datos sensibles de salud mental según normativa colombiana.</w:t>
            </w:r>
          </w:p>
        </w:tc>
        <w:tc>
          <w:tcPr>
            <w:tcW w:type="dxa" w:w="3120"/>
            <w:vAlign w:val="center"/>
          </w:tcPr>
          <w:p>
            <w:pPr>
              <w:spacing w:before="0" w:after="0" w:line="240" w:lineRule="auto"/>
            </w:pPr>
            <w:r>
              <w:rPr>
                <w:rFonts w:ascii="Times New Roman" w:hAnsi="Times New Roman"/>
                <w:sz w:val="24"/>
              </w:rPr>
            </w:r>
            <w:r>
              <w:rPr>
                <w:rFonts w:ascii="Times New Roman" w:hAnsi="Times New Roman"/>
                <w:b w:val="0"/>
                <w:i w:val="0"/>
                <w:sz w:val="24"/>
              </w:rPr>
              <w:t>Stay Clean incorpora desde su arquitectura el cumplimiento de Ley 1581 con cifrado y gestión de consentimientos.</w:t>
            </w:r>
          </w:p>
        </w:tc>
      </w:tr>
    </w:tbl>
    <w:p>
      <w:pPr>
        <w:spacing w:before="240" w:after="120" w:line="480" w:lineRule="auto"/>
        <w:ind w:firstLine="0"/>
      </w:pPr>
      <w:r>
        <w:rPr>
          <w:rFonts w:ascii="Times New Roman" w:hAnsi="Times New Roman"/>
          <w:b/>
          <w:sz w:val="24"/>
        </w:rPr>
        <w:t>Escalabilidad del proyecto</w:t>
      </w:r>
    </w:p>
    <w:p>
      <w:pPr>
        <w:spacing w:line="480" w:lineRule="auto" w:after="0" w:before="0"/>
        <w:ind w:firstLine="720"/>
      </w:pPr>
      <w:r>
        <w:rPr>
          <w:rFonts w:ascii="Times New Roman" w:hAnsi="Times New Roman"/>
          <w:sz w:val="24"/>
        </w:rPr>
        <w:t>Stay Clean está diseñado desde su arquitectura para ser escalable en múltiples dimensiones.</w:t>
      </w:r>
    </w:p>
    <w:p>
      <w:pPr>
        <w:spacing w:before="240" w:after="120" w:line="480" w:lineRule="auto"/>
        <w:ind w:firstLine="0"/>
      </w:pPr>
      <w:r>
        <w:rPr>
          <w:rFonts w:ascii="Times New Roman" w:hAnsi="Times New Roman"/>
          <w:b/>
          <w:sz w:val="24"/>
        </w:rPr>
        <w:t>Escalabilidad geográfica</w:t>
      </w:r>
    </w:p>
    <w:p>
      <w:pPr>
        <w:spacing w:line="480" w:lineRule="auto" w:after="0" w:before="0"/>
        <w:ind w:firstLine="720"/>
      </w:pPr>
      <w:r>
        <w:rPr>
          <w:rFonts w:ascii="Times New Roman" w:hAnsi="Times New Roman"/>
          <w:sz w:val="24"/>
        </w:rPr>
        <w:t>El sistema puede replicarse en cualquiera de los 117 centros de formación del SENA en Colombia sin modificaciones estructurales, simplemente adaptando los escenarios del videojuego al contexto regional (Bogotá, Cali, Barranquilla y otras ciudades).</w:t>
      </w:r>
    </w:p>
    <w:p>
      <w:pPr>
        <w:spacing w:before="240" w:after="120" w:line="480" w:lineRule="auto"/>
        <w:ind w:firstLine="0"/>
      </w:pPr>
      <w:r>
        <w:rPr>
          <w:rFonts w:ascii="Times New Roman" w:hAnsi="Times New Roman"/>
          <w:b/>
          <w:sz w:val="24"/>
        </w:rPr>
        <w:t>Escalabilidad sectorial</w:t>
      </w:r>
    </w:p>
    <w:p>
      <w:pPr>
        <w:spacing w:line="480" w:lineRule="auto" w:after="0" w:before="0"/>
        <w:ind w:firstLine="720"/>
      </w:pPr>
      <w:r>
        <w:rPr>
          <w:rFonts w:ascii="Times New Roman" w:hAnsi="Times New Roman"/>
          <w:sz w:val="24"/>
        </w:rPr>
        <w:t>El módulo de gamificación puede adaptarse a contextos de bienestar laboral en empresas (ARL, EPS y áreas de recursos humanos), expandiendo el mercado potencial significativamente.</w:t>
      </w:r>
    </w:p>
    <w:p>
      <w:pPr>
        <w:spacing w:before="240" w:after="120" w:line="480" w:lineRule="auto"/>
        <w:ind w:firstLine="0"/>
      </w:pPr>
      <w:r>
        <w:rPr>
          <w:rFonts w:ascii="Times New Roman" w:hAnsi="Times New Roman"/>
          <w:b/>
          <w:sz w:val="24"/>
        </w:rPr>
        <w:t>Escalabilidad técnica</w:t>
      </w:r>
    </w:p>
    <w:p>
      <w:pPr>
        <w:spacing w:line="480" w:lineRule="auto" w:after="0" w:before="0"/>
        <w:ind w:firstLine="720"/>
      </w:pPr>
      <w:r>
        <w:rPr>
          <w:rFonts w:ascii="Times New Roman" w:hAnsi="Times New Roman"/>
          <w:sz w:val="24"/>
        </w:rPr>
        <w:t>La arquitectura modular (módulo aprendiz + módulo administrativo + base de datos con procedimientos almacenados) facilita la incorporación futura de app móvil nativa, módulo de IA predictiva, chat en tiempo real con psicólogos e integración IoT con dispositivos wearables de monitoreo emocional.</w:t>
      </w:r>
    </w:p>
    <w:p>
      <w:pPr>
        <w:spacing w:before="240" w:after="120" w:line="480" w:lineRule="auto"/>
        <w:ind w:firstLine="0"/>
      </w:pPr>
      <w:r>
        <w:rPr>
          <w:rFonts w:ascii="Times New Roman" w:hAnsi="Times New Roman"/>
          <w:b/>
          <w:sz w:val="24"/>
        </w:rPr>
        <w:t>Conclusiones y justificación final</w:t>
      </w:r>
    </w:p>
    <w:p>
      <w:pPr>
        <w:spacing w:line="480" w:lineRule="auto" w:after="0" w:before="0"/>
        <w:ind w:firstLine="720"/>
      </w:pPr>
      <w:r>
        <w:rPr>
          <w:rFonts w:ascii="Times New Roman" w:hAnsi="Times New Roman"/>
          <w:sz w:val="24"/>
        </w:rPr>
        <w:t>El estado del arte realizado permite concluir que Stay Clean es un proyecto viable, pertinente y con un claro diferencial de valor en el ecosistema actual de herramientas de bienestar estudiantil en Colombia.</w:t>
      </w:r>
    </w:p>
    <w:p>
      <w:pPr>
        <w:pStyle w:val="ListBullet"/>
        <w:spacing w:line="480" w:lineRule="auto" w:after="0" w:before="0"/>
      </w:pPr>
      <w:r>
        <w:rPr>
          <w:rFonts w:ascii="Times New Roman" w:hAnsi="Times New Roman"/>
          <w:sz w:val="24"/>
        </w:rPr>
        <w:t>Pertinencia: existe una necesidad real y no resuelta en el SENA Medellín. Las herramientas actuales son insuficientes, manuales y generan baja participación entre los jóvenes.</w:t>
      </w:r>
    </w:p>
    <w:p>
      <w:pPr>
        <w:pStyle w:val="ListBullet"/>
        <w:spacing w:line="480" w:lineRule="auto" w:after="0" w:before="0"/>
      </w:pPr>
      <w:r>
        <w:rPr>
          <w:rFonts w:ascii="Times New Roman" w:hAnsi="Times New Roman"/>
          <w:sz w:val="24"/>
        </w:rPr>
        <w:t>Diferenciación: ninguna solución existente en Colombia combina gamificación, detección automática de riesgos, panel institucional e integración con Sofía Plus.</w:t>
      </w:r>
    </w:p>
    <w:p>
      <w:pPr>
        <w:pStyle w:val="ListBullet"/>
        <w:spacing w:line="480" w:lineRule="auto" w:after="0" w:before="0"/>
      </w:pPr>
      <w:r>
        <w:rPr>
          <w:rFonts w:ascii="Times New Roman" w:hAnsi="Times New Roman"/>
          <w:sz w:val="24"/>
        </w:rPr>
        <w:t>Viabilidad tecnológica: el stack propuesto es maduro, open source y manejable por el equipo en el tiempo del proyecto.</w:t>
      </w:r>
    </w:p>
    <w:p>
      <w:pPr>
        <w:pStyle w:val="ListBullet"/>
        <w:spacing w:line="480" w:lineRule="auto" w:after="0" w:before="0"/>
      </w:pPr>
      <w:r>
        <w:rPr>
          <w:rFonts w:ascii="Times New Roman" w:hAnsi="Times New Roman"/>
          <w:sz w:val="24"/>
        </w:rPr>
        <w:t>Cumplimiento normativo: el proyecto está diseñado para cumplir con la Ley 1581 de 2012 y la Política de Bienestar del SENA desde su concepción.</w:t>
      </w:r>
    </w:p>
    <w:p>
      <w:pPr>
        <w:pStyle w:val="ListBullet"/>
        <w:spacing w:line="480" w:lineRule="auto" w:after="0" w:before="0"/>
      </w:pPr>
      <w:r>
        <w:rPr>
          <w:rFonts w:ascii="Times New Roman" w:hAnsi="Times New Roman"/>
          <w:sz w:val="24"/>
        </w:rPr>
        <w:t>Oportunidad de mercado: la ausencia de competencia directa en el mercado local de Medellín representa una ventana de entrada favorable.</w:t>
      </w:r>
    </w:p>
    <w:p>
      <w:pPr>
        <w:pStyle w:val="ListBullet"/>
        <w:spacing w:line="480" w:lineRule="auto" w:after="0" w:before="0"/>
      </w:pPr>
      <w:r>
        <w:rPr>
          <w:rFonts w:ascii="Times New Roman" w:hAnsi="Times New Roman"/>
          <w:sz w:val="24"/>
        </w:rPr>
        <w:t>Escalabilidad: el modelo puede crecer desde un piloto en la ficha 3483972 hasta cubrir toda la Regional Antioquia y potencialmente todos los centros de formación del SENA en Colombia.</w:t>
      </w:r>
    </w:p>
    <w:p>
      <w:pPr>
        <w:spacing w:line="480" w:lineRule="auto" w:after="0" w:before="0"/>
        <w:ind w:firstLine="720"/>
      </w:pPr>
      <w:r>
        <w:rPr>
          <w:rFonts w:ascii="Times New Roman" w:hAnsi="Times New Roman"/>
          <w:sz w:val="24"/>
        </w:rPr>
        <w:t>En conclusión, Stay Clean no solo es una respuesta a una necesidad institucional urgente, sino una oportunidad de innovación tecnológica con impacto social verificable, perfectamente alineada con los objetivos académicos del programa ADSO y con potencial de convertirse en un referente nacional de EdTech en bienestar psicosocial.</w:t>
      </w:r>
    </w:p>
    <w:p>
      <w:pPr>
        <w:spacing w:before="240" w:after="120" w:line="480" w:lineRule="auto"/>
        <w:ind w:firstLine="0"/>
      </w:pPr>
      <w:r>
        <w:rPr>
          <w:rFonts w:ascii="Times New Roman" w:hAnsi="Times New Roman"/>
          <w:b/>
          <w:sz w:val="24"/>
        </w:rPr>
        <w:t>Referencias</w:t>
      </w:r>
    </w:p>
    <w:p>
      <w:pPr>
        <w:spacing w:line="480" w:lineRule="auto" w:after="0"/>
        <w:ind w:left="720" w:hanging="720"/>
      </w:pPr>
      <w:r>
        <w:rPr>
          <w:rFonts w:ascii="Times New Roman" w:hAnsi="Times New Roman"/>
          <w:sz w:val="24"/>
        </w:rPr>
        <w:t>Cámara de Comercio de Medellín para Antioquia. (2024). Registro mercantil y estadísticas empresariales.</w:t>
      </w:r>
    </w:p>
    <w:p>
      <w:pPr>
        <w:spacing w:line="480" w:lineRule="auto" w:after="0"/>
        <w:ind w:left="720" w:hanging="720"/>
      </w:pPr>
      <w:r>
        <w:rPr>
          <w:rFonts w:ascii="Times New Roman" w:hAnsi="Times New Roman"/>
          <w:sz w:val="24"/>
        </w:rPr>
        <w:t>Congreso de Colombia. (2012). Ley 1581 de 2012: Protección de datos personales.</w:t>
      </w:r>
    </w:p>
    <w:p>
      <w:pPr>
        <w:spacing w:line="480" w:lineRule="auto" w:after="0"/>
        <w:ind w:left="720" w:hanging="720"/>
      </w:pPr>
      <w:r>
        <w:rPr>
          <w:rFonts w:ascii="Times New Roman" w:hAnsi="Times New Roman"/>
          <w:sz w:val="24"/>
        </w:rPr>
        <w:t>Congreso de Colombia. (2013). Ley 1616 de 2013: Salud mental.</w:t>
      </w:r>
    </w:p>
    <w:p>
      <w:pPr>
        <w:spacing w:line="480" w:lineRule="auto" w:after="0"/>
        <w:ind w:left="720" w:hanging="720"/>
      </w:pPr>
      <w:r>
        <w:rPr>
          <w:rFonts w:ascii="Times New Roman" w:hAnsi="Times New Roman"/>
          <w:sz w:val="24"/>
        </w:rPr>
        <w:t>Deterding, S., Dixon, D., Khaled, R., &amp; Nacke, L. (2011). From game design elements to gamefulness: Defining gamification. Proceedings of MindTrek.</w:t>
      </w:r>
    </w:p>
    <w:p>
      <w:pPr>
        <w:spacing w:line="480" w:lineRule="auto" w:after="0"/>
        <w:ind w:left="720" w:hanging="720"/>
      </w:pPr>
      <w:r>
        <w:rPr>
          <w:rFonts w:ascii="Times New Roman" w:hAnsi="Times New Roman"/>
          <w:sz w:val="24"/>
        </w:rPr>
        <w:t>Departamento Nacional de Planeación. (2020). CONPES 3992: Estrategia para la promoción de la salud mental en Colombia.</w:t>
      </w:r>
    </w:p>
    <w:p>
      <w:pPr>
        <w:spacing w:line="480" w:lineRule="auto" w:after="0"/>
        <w:ind w:left="720" w:hanging="720"/>
      </w:pPr>
      <w:r>
        <w:rPr>
          <w:rFonts w:ascii="Times New Roman" w:hAnsi="Times New Roman"/>
          <w:sz w:val="24"/>
        </w:rPr>
        <w:t>Godot Engine. (2024). Free and open source 2D and 3D game engine.</w:t>
      </w:r>
    </w:p>
    <w:p>
      <w:pPr>
        <w:spacing w:line="480" w:lineRule="auto" w:after="0"/>
        <w:ind w:left="720" w:hanging="720"/>
      </w:pPr>
      <w:r>
        <w:rPr>
          <w:rFonts w:ascii="Times New Roman" w:hAnsi="Times New Roman"/>
          <w:sz w:val="24"/>
        </w:rPr>
        <w:t>Headspace. (2024). Nod.</w:t>
      </w:r>
    </w:p>
    <w:p>
      <w:pPr>
        <w:spacing w:line="480" w:lineRule="auto" w:after="0"/>
        <w:ind w:left="720" w:hanging="720"/>
      </w:pPr>
      <w:r>
        <w:rPr>
          <w:rFonts w:ascii="Times New Roman" w:hAnsi="Times New Roman"/>
          <w:sz w:val="24"/>
        </w:rPr>
        <w:t>Kognito. (2024). Simulation-based mental health training.</w:t>
      </w:r>
    </w:p>
    <w:p>
      <w:pPr>
        <w:spacing w:line="480" w:lineRule="auto" w:after="0"/>
        <w:ind w:left="720" w:hanging="720"/>
      </w:pPr>
      <w:r>
        <w:rPr>
          <w:rFonts w:ascii="Times New Roman" w:hAnsi="Times New Roman"/>
          <w:sz w:val="24"/>
        </w:rPr>
        <w:t>Microsoft. (2024). Microsoft Forms.</w:t>
      </w:r>
    </w:p>
    <w:p>
      <w:pPr>
        <w:spacing w:line="480" w:lineRule="auto" w:after="0"/>
        <w:ind w:left="720" w:hanging="720"/>
      </w:pPr>
      <w:r>
        <w:rPr>
          <w:rFonts w:ascii="Times New Roman" w:hAnsi="Times New Roman"/>
          <w:sz w:val="24"/>
        </w:rPr>
        <w:t>Ministerio de Salud y Protección Social. (2024). SAVIA: Salud mental.</w:t>
      </w:r>
    </w:p>
    <w:p>
      <w:pPr>
        <w:spacing w:line="480" w:lineRule="auto" w:after="0"/>
        <w:ind w:left="720" w:hanging="720"/>
      </w:pPr>
      <w:r>
        <w:rPr>
          <w:rFonts w:ascii="Times New Roman" w:hAnsi="Times New Roman"/>
          <w:sz w:val="24"/>
        </w:rPr>
        <w:t>Organización Panamericana de la Salud. (2021). Estado de la salud mental en América Latina y el Caribe.</w:t>
      </w:r>
    </w:p>
    <w:p>
      <w:pPr>
        <w:spacing w:line="480" w:lineRule="auto" w:after="0"/>
        <w:ind w:left="720" w:hanging="720"/>
      </w:pPr>
      <w:r>
        <w:rPr>
          <w:rFonts w:ascii="Times New Roman" w:hAnsi="Times New Roman"/>
          <w:sz w:val="24"/>
        </w:rPr>
        <w:t>Phaser.io. (2024). Phaser 3: HTML5 game framework.</w:t>
      </w:r>
    </w:p>
    <w:p>
      <w:pPr>
        <w:spacing w:line="480" w:lineRule="auto" w:after="0"/>
        <w:ind w:left="720" w:hanging="720"/>
      </w:pPr>
      <w:r>
        <w:rPr>
          <w:rFonts w:ascii="Times New Roman" w:hAnsi="Times New Roman"/>
          <w:sz w:val="24"/>
        </w:rPr>
        <w:t>Ruta N Medellín. (2024). Ecosistema de innovación y tecnología de Medellín.</w:t>
      </w:r>
    </w:p>
    <w:p>
      <w:pPr>
        <w:spacing w:line="480" w:lineRule="auto" w:after="0"/>
        <w:ind w:left="720" w:hanging="720"/>
      </w:pPr>
      <w:r>
        <w:rPr>
          <w:rFonts w:ascii="Times New Roman" w:hAnsi="Times New Roman"/>
          <w:sz w:val="24"/>
        </w:rPr>
        <w:t>Servicio Nacional de Aprendizaje (SENA). (2024). Política de bienestar del aprendiz.</w:t>
      </w:r>
    </w:p>
    <w:p>
      <w:pPr>
        <w:spacing w:line="480" w:lineRule="auto" w:after="0"/>
        <w:ind w:left="720" w:hanging="720"/>
      </w:pPr>
      <w:r>
        <w:rPr>
          <w:rFonts w:ascii="Times New Roman" w:hAnsi="Times New Roman"/>
          <w:sz w:val="24"/>
        </w:rPr>
        <w:t>SilverCloud Health. (2024). Digital mental health platform.</w:t>
      </w:r>
    </w:p>
    <w:p>
      <w:pPr>
        <w:spacing w:line="480" w:lineRule="auto" w:after="0"/>
        <w:ind w:left="720" w:hanging="720"/>
      </w:pPr>
      <w:r>
        <w:rPr>
          <w:rFonts w:ascii="Times New Roman" w:hAnsi="Times New Roman"/>
          <w:sz w:val="24"/>
        </w:rPr>
        <w:t>Woebot Health. (2024). AI-powered mental health support.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