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5" w:before="0"/>
        <w:jc w:val="center"/>
      </w:pPr>
      <w:r>
        <w:rPr>
          <w:rFonts w:ascii="Arial" w:cs="Arial" w:eastAsia="Arial" w:hAnsi="Arial"/>
          <w:b/>
          <w:bCs/>
          <w:color w:val="1F3864"/>
          <w:sz w:val="36"/>
          <w:szCs w:val="36"/>
        </w:rPr>
        <w:t xml:space="preserve">Bayesian Optimisation Capstone</w:t>
      </w:r>
    </w:p>
    <w:p>
      <w:pPr>
        <w:spacing w:after="160" w:before="0"/>
        <w:jc w:val="center"/>
      </w:pPr>
      <w:r>
        <w:rPr>
          <w:rFonts w:ascii="Arial" w:cs="Arial" w:eastAsia="Arial" w:hAnsi="Arial"/>
          <w:color w:val="2E75B6"/>
          <w:sz w:val="22"/>
          <w:szCs w:val="22"/>
        </w:rPr>
        <w:t xml:space="preserve">Repository Structure, Libraries, and Documentation Review</w:t>
      </w:r>
    </w:p>
    <w:p>
      <w:pPr>
        <w:pBdr>
          <w:bottom w:val="single" w:color="2E75B6" w:sz="6" w:space="1"/>
        </w:pBdr>
        <w:spacing w:after="140" w:before="15"/>
      </w:pPr>
    </w:p>
    <w:p>
      <w:pPr>
        <w:pStyle w:val="Heading1"/>
        <w:spacing w:after="70" w:before="200"/>
      </w:pPr>
      <w:r>
        <w:rPr>
          <w:rFonts w:ascii="Arial" w:cs="Arial" w:eastAsia="Arial" w:hAnsi="Arial"/>
          <w:b/>
          <w:bCs/>
          <w:color w:val="1F3864"/>
          <w:sz w:val="25"/>
          <w:szCs w:val="25"/>
        </w:rPr>
        <w:t xml:space="preserve">1. Repository Structure</w:t>
      </w:r>
    </w:p>
    <w:p>
      <w:pPr>
        <w:spacing w:after="70" w:before="50"/>
      </w:pPr>
      <w:r>
        <w:rPr>
          <w:rFonts w:ascii="Arial" w:cs="Arial" w:eastAsia="Arial" w:hAnsi="Arial"/>
          <w:b/>
          <w:bCs/>
          <w:color w:val="1A1A1A"/>
          <w:sz w:val="20"/>
          <w:szCs w:val="20"/>
        </w:rPr>
        <w:t xml:space="preserve">Current state. </w:t>
      </w:r>
      <w:r>
        <w:rPr>
          <w:rFonts w:ascii="Arial" w:cs="Arial" w:eastAsia="Arial" w:hAnsi="Arial"/>
          <w:color w:val="1A1A1A"/>
          <w:sz w:val="20"/>
          <w:szCs w:val="20"/>
        </w:rPr>
        <w:t xml:space="preserve">Everything currently sits in a single flat outputs folder: weekly strategy markdown files, standalone notebook scripts, reflection Word documents, and one Excel tracker, all named by week number. This worked for fast iteration but has become harder to navigate now that five weeks of files (roughly 15 documents) sit side by side with no folder separation.</w:t>
      </w:r>
    </w:p>
    <w:p>
      <w:pPr>
        <w:spacing w:after="35" w:before="9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571750"/>
                    </a:xfrm>
                    <a:prstGeom prst="rect">
                      <a:avLst/>
                    </a:prstGeom>
                  </pic:spPr>
                </pic:pic>
              </a:graphicData>
            </a:graphic>
          </wp:inline>
        </w:drawing>
      </w:r>
    </w:p>
    <w:p>
      <w:pPr>
        <w:spacing w:after="120" w:before="0"/>
        <w:jc w:val="center"/>
      </w:pPr>
      <w:r>
        <w:rPr>
          <w:rFonts w:ascii="Arial" w:cs="Arial" w:eastAsia="Arial" w:hAnsi="Arial"/>
          <w:i/>
          <w:iCs/>
          <w:color w:val="595959"/>
          <w:sz w:val="16"/>
          <w:szCs w:val="16"/>
        </w:rPr>
        <w:t xml:space="preserve">Figure 1: Current flat structure (left) versus a proposed structure organised by purpose (right).</w:t>
      </w:r>
    </w:p>
    <w:p>
      <w:pPr>
        <w:spacing w:after="70" w:before="50"/>
      </w:pPr>
      <w:r>
        <w:rPr>
          <w:rFonts w:ascii="Arial" w:cs="Arial" w:eastAsia="Arial" w:hAnsi="Arial"/>
          <w:b/>
          <w:bCs/>
          <w:color w:val="1A1A1A"/>
          <w:sz w:val="20"/>
          <w:szCs w:val="20"/>
        </w:rPr>
        <w:t xml:space="preserve">Planned changes for clarity and reproducibility:</w:t>
      </w:r>
    </w:p>
    <w:p>
      <w:pPr>
        <w:pStyle w:val="ListParagraph"/>
        <w:numPr>
          <w:ilvl w:val="0"/>
          <w:numId w:val="2"/>
        </w:numPr>
        <w:spacing w:after="30" w:before="30"/>
      </w:pPr>
      <w:r>
        <w:rPr>
          <w:rFonts w:ascii="Arial" w:cs="Arial" w:eastAsia="Arial" w:hAnsi="Arial"/>
          <w:color w:val="1A1A1A"/>
          <w:sz w:val="20"/>
          <w:szCs w:val="20"/>
        </w:rPr>
        <w:t xml:space="preserve">Separate data/, notebooks/, src/, results/, docs/, and reflections/ folders, replacing the single outputs/ folder.</w:t>
      </w:r>
    </w:p>
    <w:p>
      <w:pPr>
        <w:pStyle w:val="ListParagraph"/>
        <w:numPr>
          <w:ilvl w:val="0"/>
          <w:numId w:val="2"/>
        </w:numPr>
        <w:spacing w:after="30" w:before="30"/>
      </w:pPr>
      <w:r>
        <w:rPr>
          <w:rFonts w:ascii="Arial" w:cs="Arial" w:eastAsia="Arial" w:hAnsi="Arial"/>
          <w:color w:val="1A1A1A"/>
          <w:sz w:val="20"/>
          <w:szCs w:val="20"/>
        </w:rPr>
        <w:t xml:space="preserve">Move repeated functions (fit_gp, ei_query, ucb_query, grid_search_query) out of each week's notebook into a shared src/acquisition.py and src/gp_surrogate.py, so Week 6 onward imports rather than copies code.</w:t>
      </w:r>
    </w:p>
    <w:p>
      <w:pPr>
        <w:pStyle w:val="ListParagraph"/>
        <w:numPr>
          <w:ilvl w:val="0"/>
          <w:numId w:val="2"/>
        </w:numPr>
        <w:spacing w:after="30" w:before="30"/>
      </w:pPr>
      <w:r>
        <w:rPr>
          <w:rFonts w:ascii="Arial" w:cs="Arial" w:eastAsia="Arial" w:hAnsi="Arial"/>
          <w:color w:val="1A1A1A"/>
          <w:sz w:val="20"/>
          <w:szCs w:val="20"/>
        </w:rPr>
        <w:t xml:space="preserve">Add a single query_log.csv that appends every week's submitted query and returned output, replacing the need to re-read five separate strategy documents to reconstruct history.</w:t>
      </w:r>
    </w:p>
    <w:p>
      <w:pPr>
        <w:pStyle w:val="ListParagraph"/>
        <w:numPr>
          <w:ilvl w:val="0"/>
          <w:numId w:val="2"/>
        </w:numPr>
        <w:spacing w:after="30" w:before="30"/>
      </w:pPr>
      <w:r>
        <w:rPr>
          <w:rFonts w:ascii="Arial" w:cs="Arial" w:eastAsia="Arial" w:hAnsi="Arial"/>
          <w:color w:val="1A1A1A"/>
          <w:sz w:val="20"/>
          <w:szCs w:val="20"/>
        </w:rPr>
        <w:t xml:space="preserve">Rename notebooks consistently as week{n}_pipeline.ipynb and convert the standalone .py scripts to .ipynb so outputs are visible inline, improving reproducibility for anyone re-running the work.</w:t>
      </w:r>
    </w:p>
    <w:p>
      <w:pPr>
        <w:pBdr>
          <w:bottom w:val="single" w:color="2E75B6" w:sz="6" w:space="1"/>
        </w:pBdr>
        <w:spacing w:after="140" w:before="15"/>
      </w:pPr>
    </w:p>
    <w:p>
      <w:pPr>
        <w:pStyle w:val="Heading1"/>
        <w:spacing w:after="70" w:before="200"/>
      </w:pPr>
      <w:r>
        <w:rPr>
          <w:rFonts w:ascii="Arial" w:cs="Arial" w:eastAsia="Arial" w:hAnsi="Arial"/>
          <w:b/>
          <w:bCs/>
          <w:color w:val="1F3864"/>
          <w:sz w:val="25"/>
          <w:szCs w:val="25"/>
        </w:rPr>
        <w:t xml:space="preserve">2. Coding Libraries and Packages</w:t>
      </w:r>
    </w:p>
    <w:p>
      <w:pPr>
        <w:spacing w:after="70" w:before="50"/>
      </w:pPr>
      <w:r>
        <w:rPr>
          <w:rFonts w:ascii="Arial" w:cs="Arial" w:eastAsia="Arial" w:hAnsi="Arial"/>
          <w:color w:val="1A1A1A"/>
          <w:sz w:val="20"/>
          <w:szCs w:val="20"/>
        </w:rPr>
        <w:t xml:space="preserve">Three libraries form the core of the approach, with a fourth added in Week 5 for comparison.</w:t>
      </w:r>
    </w:p>
    <w:p>
      <w:pPr>
        <w:spacing w:after="35" w:before="9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190750"/>
                    </a:xfrm>
                    <a:prstGeom prst="rect">
                      <a:avLst/>
                    </a:prstGeom>
                  </pic:spPr>
                </pic:pic>
              </a:graphicData>
            </a:graphic>
          </wp:inline>
        </w:drawing>
      </w:r>
    </w:p>
    <w:p>
      <w:pPr>
        <w:spacing w:after="120" w:before="0"/>
        <w:jc w:val="center"/>
      </w:pPr>
      <w:r>
        <w:rPr>
          <w:rFonts w:ascii="Arial" w:cs="Arial" w:eastAsia="Arial" w:hAnsi="Arial"/>
          <w:i/>
          <w:iCs/>
          <w:color w:val="595959"/>
          <w:sz w:val="16"/>
          <w:szCs w:val="16"/>
        </w:rPr>
        <w:t xml:space="preserve">Figure 2: Approximate role of each library across the full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2280"/>
        <w:gridCol w:w="2300"/>
      </w:tblGrid>
      <w:tr>
        <w:tc>
          <w:tcPr>
            <w:tcW w:type="dxa" w:w="2200"/>
            <w:tcBorders>
              <w:top w:val="none" w:color="FFFFFF" w:sz="0"/>
              <w:left w:val="none" w:color="FFFFFF" w:sz="0"/>
              <w:bottom w:val="none" w:color="FFFFFF" w:sz="0"/>
              <w:right w:val="none" w:color="FFFFFF" w:sz="0"/>
            </w:tcBorders>
            <w:shd w:fill="1F3864" w:val="clear"/>
            <w:tcMar>
              <w:top w:type="dxa" w:w="55"/>
              <w:left w:type="dxa" w:w="85"/>
              <w:bottom w:type="dxa" w:w="55"/>
              <w:right w:type="dxa" w:w="85"/>
            </w:tcMar>
          </w:tcPr>
          <w:p>
            <w:pPr>
              <w:jc w:val="center"/>
            </w:pPr>
            <w:r>
              <w:rPr>
                <w:rFonts w:ascii="Arial" w:cs="Arial" w:eastAsia="Arial" w:hAnsi="Arial"/>
                <w:b/>
                <w:bCs/>
                <w:color w:val="FFFFFF"/>
                <w:sz w:val="18"/>
                <w:szCs w:val="18"/>
              </w:rPr>
              <w:t xml:space="preserve">Library</w:t>
            </w:r>
          </w:p>
        </w:tc>
        <w:tc>
          <w:tcPr>
            <w:tcW w:type="dxa" w:w="2580"/>
            <w:tcBorders>
              <w:top w:val="none" w:color="FFFFFF" w:sz="0"/>
              <w:left w:val="none" w:color="FFFFFF" w:sz="0"/>
              <w:bottom w:val="none" w:color="FFFFFF" w:sz="0"/>
              <w:right w:val="none" w:color="FFFFFF" w:sz="0"/>
            </w:tcBorders>
            <w:shd w:fill="1F3864" w:val="clear"/>
            <w:tcMar>
              <w:top w:type="dxa" w:w="55"/>
              <w:left w:type="dxa" w:w="85"/>
              <w:bottom w:type="dxa" w:w="55"/>
              <w:right w:type="dxa" w:w="85"/>
            </w:tcMar>
          </w:tcPr>
          <w:p>
            <w:pPr>
              <w:jc w:val="center"/>
            </w:pPr>
            <w:r>
              <w:rPr>
                <w:rFonts w:ascii="Arial" w:cs="Arial" w:eastAsia="Arial" w:hAnsi="Arial"/>
                <w:b/>
                <w:bCs/>
                <w:color w:val="FFFFFF"/>
                <w:sz w:val="18"/>
                <w:szCs w:val="18"/>
              </w:rPr>
              <w:t xml:space="preserve">Used for</w:t>
            </w:r>
          </w:p>
        </w:tc>
        <w:tc>
          <w:tcPr>
            <w:tcW w:type="dxa" w:w="2280"/>
            <w:tcBorders>
              <w:top w:val="none" w:color="FFFFFF" w:sz="0"/>
              <w:left w:val="none" w:color="FFFFFF" w:sz="0"/>
              <w:bottom w:val="none" w:color="FFFFFF" w:sz="0"/>
              <w:right w:val="none" w:color="FFFFFF" w:sz="0"/>
            </w:tcBorders>
            <w:shd w:fill="1F3864" w:val="clear"/>
            <w:tcMar>
              <w:top w:type="dxa" w:w="55"/>
              <w:left w:type="dxa" w:w="85"/>
              <w:bottom w:type="dxa" w:w="55"/>
              <w:right w:type="dxa" w:w="85"/>
            </w:tcMar>
          </w:tcPr>
          <w:p>
            <w:pPr>
              <w:jc w:val="center"/>
            </w:pPr>
            <w:r>
              <w:rPr>
                <w:rFonts w:ascii="Arial" w:cs="Arial" w:eastAsia="Arial" w:hAnsi="Arial"/>
                <w:b/>
                <w:bCs/>
                <w:color w:val="FFFFFF"/>
                <w:sz w:val="18"/>
                <w:szCs w:val="18"/>
              </w:rPr>
              <w:t xml:space="preserve">Why appropriate</w:t>
            </w:r>
          </w:p>
        </w:tc>
        <w:tc>
          <w:tcPr>
            <w:tcW w:type="dxa" w:w="2300"/>
            <w:tcBorders>
              <w:top w:val="none" w:color="FFFFFF" w:sz="0"/>
              <w:left w:val="none" w:color="FFFFFF" w:sz="0"/>
              <w:bottom w:val="none" w:color="FFFFFF" w:sz="0"/>
              <w:right w:val="none" w:color="FFFFFF" w:sz="0"/>
            </w:tcBorders>
            <w:shd w:fill="1F3864" w:val="clear"/>
            <w:tcMar>
              <w:top w:type="dxa" w:w="55"/>
              <w:left w:type="dxa" w:w="85"/>
              <w:bottom w:type="dxa" w:w="55"/>
              <w:right w:type="dxa" w:w="85"/>
            </w:tcMar>
          </w:tcPr>
          <w:p>
            <w:pPr>
              <w:jc w:val="center"/>
            </w:pPr>
            <w:r>
              <w:rPr>
                <w:rFonts w:ascii="Arial" w:cs="Arial" w:eastAsia="Arial" w:hAnsi="Arial"/>
                <w:b/>
                <w:bCs/>
                <w:color w:val="FFFFFF"/>
                <w:sz w:val="18"/>
                <w:szCs w:val="18"/>
              </w:rPr>
              <w:t xml:space="preserve">Trade-off considered</w:t>
            </w:r>
          </w:p>
        </w:tc>
      </w:tr>
      <w:tr>
        <w:tc>
          <w:tcPr>
            <w:tcW w:type="dxa" w:w="2200"/>
            <w:tcBorders>
              <w:top w:val="single" w:color="CCCCCC" w:sz="1"/>
              <w:left w:val="single" w:color="CCCCCC" w:sz="1"/>
              <w:bottom w:val="single" w:color="CCCCCC" w:sz="1"/>
              <w:right w:val="single" w:color="CCCCCC" w:sz="1"/>
            </w:tcBorders>
            <w:shd w:fill="F2F2F2" w:val="clear"/>
            <w:tcMar>
              <w:top w:type="dxa" w:w="55"/>
              <w:left w:type="dxa" w:w="85"/>
              <w:bottom w:type="dxa" w:w="55"/>
              <w:right w:type="dxa" w:w="85"/>
            </w:tcMar>
          </w:tcPr>
          <w:p>
            <w:r>
              <w:rPr>
                <w:rFonts w:ascii="Arial" w:cs="Arial" w:eastAsia="Arial" w:hAnsi="Arial"/>
                <w:color w:val="1A1A1A"/>
                <w:sz w:val="18"/>
                <w:szCs w:val="18"/>
              </w:rPr>
              <w:t xml:space="preserve">scikit-learn</w:t>
            </w:r>
          </w:p>
        </w:tc>
        <w:tc>
          <w:tcPr>
            <w:tcW w:type="dxa" w:w="2580"/>
            <w:tcBorders>
              <w:top w:val="single" w:color="CCCCCC" w:sz="1"/>
              <w:left w:val="single" w:color="CCCCCC" w:sz="1"/>
              <w:bottom w:val="single" w:color="CCCCCC" w:sz="1"/>
              <w:right w:val="single" w:color="CCCCCC" w:sz="1"/>
            </w:tcBorders>
            <w:shd w:fill="F2F2F2" w:val="clear"/>
            <w:tcMar>
              <w:top w:type="dxa" w:w="55"/>
              <w:left w:type="dxa" w:w="85"/>
              <w:bottom w:type="dxa" w:w="55"/>
              <w:right w:type="dxa" w:w="85"/>
            </w:tcMar>
          </w:tcPr>
          <w:p>
            <w:r>
              <w:rPr>
                <w:rFonts w:ascii="Arial" w:cs="Arial" w:eastAsia="Arial" w:hAnsi="Arial"/>
                <w:color w:val="1A1A1A"/>
                <w:sz w:val="18"/>
                <w:szCs w:val="18"/>
              </w:rPr>
              <w:t xml:space="preserve">GaussianProcessRegressor, StandardScaler</w:t>
            </w:r>
          </w:p>
        </w:tc>
        <w:tc>
          <w:tcPr>
            <w:tcW w:type="dxa" w:w="2280"/>
            <w:tcBorders>
              <w:top w:val="single" w:color="CCCCCC" w:sz="1"/>
              <w:left w:val="single" w:color="CCCCCC" w:sz="1"/>
              <w:bottom w:val="single" w:color="CCCCCC" w:sz="1"/>
              <w:right w:val="single" w:color="CCCCCC" w:sz="1"/>
            </w:tcBorders>
            <w:shd w:fill="F2F2F2" w:val="clear"/>
            <w:tcMar>
              <w:top w:type="dxa" w:w="55"/>
              <w:left w:type="dxa" w:w="85"/>
              <w:bottom w:type="dxa" w:w="55"/>
              <w:right w:type="dxa" w:w="85"/>
            </w:tcMar>
          </w:tcPr>
          <w:p>
            <w:r>
              <w:rPr>
                <w:rFonts w:ascii="Arial" w:cs="Arial" w:eastAsia="Arial" w:hAnsi="Arial"/>
                <w:color w:val="1A1A1A"/>
                <w:sz w:val="18"/>
                <w:szCs w:val="18"/>
              </w:rPr>
              <w:t xml:space="preserve">Exact inference, calibrated uncertainty, works well with 12-47 observations</w:t>
            </w:r>
          </w:p>
        </w:tc>
        <w:tc>
          <w:tcPr>
            <w:tcW w:type="dxa" w:w="2300"/>
            <w:tcBorders>
              <w:top w:val="single" w:color="CCCCCC" w:sz="1"/>
              <w:left w:val="single" w:color="CCCCCC" w:sz="1"/>
              <w:bottom w:val="single" w:color="CCCCCC" w:sz="1"/>
              <w:right w:val="single" w:color="CCCCCC" w:sz="1"/>
            </w:tcBorders>
            <w:shd w:fill="F2F2F2" w:val="clear"/>
            <w:tcMar>
              <w:top w:type="dxa" w:w="55"/>
              <w:left w:type="dxa" w:w="85"/>
              <w:bottom w:type="dxa" w:w="55"/>
              <w:right w:type="dxa" w:w="85"/>
            </w:tcMar>
          </w:tcPr>
          <w:p>
            <w:r>
              <w:rPr>
                <w:rFonts w:ascii="Arial" w:cs="Arial" w:eastAsia="Arial" w:hAnsi="Arial"/>
                <w:color w:val="1A1A1A"/>
                <w:sz w:val="18"/>
                <w:szCs w:val="18"/>
              </w:rPr>
              <w:t xml:space="preserve">Slower than a custom GP at scale, but the project never exceeds 47 points</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85"/>
              <w:bottom w:type="dxa" w:w="55"/>
              <w:right w:type="dxa" w:w="85"/>
            </w:tcMar>
          </w:tcPr>
          <w:p>
            <w:r>
              <w:rPr>
                <w:rFonts w:ascii="Arial" w:cs="Arial" w:eastAsia="Arial" w:hAnsi="Arial"/>
                <w:color w:val="1A1A1A"/>
                <w:sz w:val="18"/>
                <w:szCs w:val="18"/>
              </w:rPr>
              <w:t xml:space="preserve">scipy</w:t>
            </w:r>
          </w:p>
        </w:tc>
        <w:tc>
          <w:tcPr>
            <w:tcW w:type="dxa" w:w="2580"/>
            <w:tcBorders>
              <w:top w:val="single" w:color="CCCCCC" w:sz="1"/>
              <w:left w:val="single" w:color="CCCCCC" w:sz="1"/>
              <w:bottom w:val="single" w:color="CCCCCC" w:sz="1"/>
              <w:right w:val="single" w:color="CCCCCC" w:sz="1"/>
            </w:tcBorders>
            <w:shd w:fill="FFFFFF" w:val="clear"/>
            <w:tcMar>
              <w:top w:type="dxa" w:w="55"/>
              <w:left w:type="dxa" w:w="85"/>
              <w:bottom w:type="dxa" w:w="55"/>
              <w:right w:type="dxa" w:w="85"/>
            </w:tcMar>
          </w:tcPr>
          <w:p>
            <w:r>
              <w:rPr>
                <w:rFonts w:ascii="Arial" w:cs="Arial" w:eastAsia="Arial" w:hAnsi="Arial"/>
                <w:color w:val="1A1A1A"/>
                <w:sz w:val="18"/>
                <w:szCs w:val="18"/>
              </w:rPr>
              <w:t xml:space="preserve">Sobol sequences, norm.cdf/pdf for EI</w:t>
            </w:r>
          </w:p>
        </w:tc>
        <w:tc>
          <w:tcPr>
            <w:tcW w:type="dxa" w:w="2280"/>
            <w:tcBorders>
              <w:top w:val="single" w:color="CCCCCC" w:sz="1"/>
              <w:left w:val="single" w:color="CCCCCC" w:sz="1"/>
              <w:bottom w:val="single" w:color="CCCCCC" w:sz="1"/>
              <w:right w:val="single" w:color="CCCCCC" w:sz="1"/>
            </w:tcBorders>
            <w:shd w:fill="FFFFFF" w:val="clear"/>
            <w:tcMar>
              <w:top w:type="dxa" w:w="55"/>
              <w:left w:type="dxa" w:w="85"/>
              <w:bottom w:type="dxa" w:w="55"/>
              <w:right w:type="dxa" w:w="85"/>
            </w:tcMar>
          </w:tcPr>
          <w:p>
            <w:r>
              <w:rPr>
                <w:rFonts w:ascii="Arial" w:cs="Arial" w:eastAsia="Arial" w:hAnsi="Arial"/>
                <w:color w:val="1A1A1A"/>
                <w:sz w:val="18"/>
                <w:szCs w:val="18"/>
              </w:rPr>
              <w:t xml:space="preserve">Quasi-random candidates give better space coverage than uniform sampling</w:t>
            </w:r>
          </w:p>
        </w:tc>
        <w:tc>
          <w:tcPr>
            <w:tcW w:type="dxa" w:w="2300"/>
            <w:tcBorders>
              <w:top w:val="single" w:color="CCCCCC" w:sz="1"/>
              <w:left w:val="single" w:color="CCCCCC" w:sz="1"/>
              <w:bottom w:val="single" w:color="CCCCCC" w:sz="1"/>
              <w:right w:val="single" w:color="CCCCCC" w:sz="1"/>
            </w:tcBorders>
            <w:shd w:fill="FFFFFF" w:val="clear"/>
            <w:tcMar>
              <w:top w:type="dxa" w:w="55"/>
              <w:left w:type="dxa" w:w="85"/>
              <w:bottom w:type="dxa" w:w="55"/>
              <w:right w:type="dxa" w:w="85"/>
            </w:tcMar>
          </w:tcPr>
          <w:p>
            <w:r>
              <w:rPr>
                <w:rFonts w:ascii="Arial" w:cs="Arial" w:eastAsia="Arial" w:hAnsi="Arial"/>
                <w:color w:val="1A1A1A"/>
                <w:sz w:val="18"/>
                <w:szCs w:val="18"/>
              </w:rPr>
              <w:t xml:space="preserve">Sobol requires scipy &gt;= 1.7; minor version dependency to manage</w:t>
            </w:r>
          </w:p>
        </w:tc>
      </w:tr>
      <w:tr>
        <w:tc>
          <w:tcPr>
            <w:tcW w:type="dxa" w:w="2200"/>
            <w:tcBorders>
              <w:top w:val="single" w:color="CCCCCC" w:sz="1"/>
              <w:left w:val="single" w:color="CCCCCC" w:sz="1"/>
              <w:bottom w:val="single" w:color="CCCCCC" w:sz="1"/>
              <w:right w:val="single" w:color="CCCCCC" w:sz="1"/>
            </w:tcBorders>
            <w:shd w:fill="F2F2F2" w:val="clear"/>
            <w:tcMar>
              <w:top w:type="dxa" w:w="55"/>
              <w:left w:type="dxa" w:w="85"/>
              <w:bottom w:type="dxa" w:w="55"/>
              <w:right w:type="dxa" w:w="85"/>
            </w:tcMar>
          </w:tcPr>
          <w:p>
            <w:r>
              <w:rPr>
                <w:rFonts w:ascii="Arial" w:cs="Arial" w:eastAsia="Arial" w:hAnsi="Arial"/>
                <w:color w:val="1A1A1A"/>
                <w:sz w:val="18"/>
                <w:szCs w:val="18"/>
              </w:rPr>
              <w:t xml:space="preserve">numpy / pandas</w:t>
            </w:r>
          </w:p>
        </w:tc>
        <w:tc>
          <w:tcPr>
            <w:tcW w:type="dxa" w:w="2580"/>
            <w:tcBorders>
              <w:top w:val="single" w:color="CCCCCC" w:sz="1"/>
              <w:left w:val="single" w:color="CCCCCC" w:sz="1"/>
              <w:bottom w:val="single" w:color="CCCCCC" w:sz="1"/>
              <w:right w:val="single" w:color="CCCCCC" w:sz="1"/>
            </w:tcBorders>
            <w:shd w:fill="F2F2F2" w:val="clear"/>
            <w:tcMar>
              <w:top w:type="dxa" w:w="55"/>
              <w:left w:type="dxa" w:w="85"/>
              <w:bottom w:type="dxa" w:w="55"/>
              <w:right w:type="dxa" w:w="85"/>
            </w:tcMar>
          </w:tcPr>
          <w:p>
            <w:r>
              <w:rPr>
                <w:rFonts w:ascii="Arial" w:cs="Arial" w:eastAsia="Arial" w:hAnsi="Arial"/>
                <w:color w:val="1A1A1A"/>
                <w:sz w:val="18"/>
                <w:szCs w:val="18"/>
              </w:rPr>
              <w:t xml:space="preserve">Array maths, query history, CSV export</w:t>
            </w:r>
          </w:p>
        </w:tc>
        <w:tc>
          <w:tcPr>
            <w:tcW w:type="dxa" w:w="2280"/>
            <w:tcBorders>
              <w:top w:val="single" w:color="CCCCCC" w:sz="1"/>
              <w:left w:val="single" w:color="CCCCCC" w:sz="1"/>
              <w:bottom w:val="single" w:color="CCCCCC" w:sz="1"/>
              <w:right w:val="single" w:color="CCCCCC" w:sz="1"/>
            </w:tcBorders>
            <w:shd w:fill="F2F2F2" w:val="clear"/>
            <w:tcMar>
              <w:top w:type="dxa" w:w="55"/>
              <w:left w:type="dxa" w:w="85"/>
              <w:bottom w:type="dxa" w:w="55"/>
              <w:right w:type="dxa" w:w="85"/>
            </w:tcMar>
          </w:tcPr>
          <w:p>
            <w:r>
              <w:rPr>
                <w:rFonts w:ascii="Arial" w:cs="Arial" w:eastAsia="Arial" w:hAnsi="Arial"/>
                <w:color w:val="1A1A1A"/>
                <w:sz w:val="18"/>
                <w:szCs w:val="18"/>
              </w:rPr>
              <w:t xml:space="preserve">Standard, well-documented, no realistic alternative needed</w:t>
            </w:r>
          </w:p>
        </w:tc>
        <w:tc>
          <w:tcPr>
            <w:tcW w:type="dxa" w:w="2300"/>
            <w:tcBorders>
              <w:top w:val="single" w:color="CCCCCC" w:sz="1"/>
              <w:left w:val="single" w:color="CCCCCC" w:sz="1"/>
              <w:bottom w:val="single" w:color="CCCCCC" w:sz="1"/>
              <w:right w:val="single" w:color="CCCCCC" w:sz="1"/>
            </w:tcBorders>
            <w:shd w:fill="F2F2F2" w:val="clear"/>
            <w:tcMar>
              <w:top w:type="dxa" w:w="55"/>
              <w:left w:type="dxa" w:w="85"/>
              <w:bottom w:type="dxa" w:w="55"/>
              <w:right w:type="dxa" w:w="85"/>
            </w:tcMar>
          </w:tcPr>
          <w:p>
            <w:r>
              <w:rPr>
                <w:rFonts w:ascii="Arial" w:cs="Arial" w:eastAsia="Arial" w:hAnsi="Arial"/>
                <w:color w:val="1A1A1A"/>
                <w:sz w:val="18"/>
                <w:szCs w:val="18"/>
              </w:rPr>
              <w:t xml:space="preserve">None significant at this scale</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85"/>
              <w:bottom w:type="dxa" w:w="55"/>
              <w:right w:type="dxa" w:w="85"/>
            </w:tcMar>
          </w:tcPr>
          <w:p>
            <w:r>
              <w:rPr>
                <w:rFonts w:ascii="Arial" w:cs="Arial" w:eastAsia="Arial" w:hAnsi="Arial"/>
                <w:color w:val="1A1A1A"/>
                <w:sz w:val="18"/>
                <w:szCs w:val="18"/>
              </w:rPr>
              <w:t xml:space="preserve">PyTorch</w:t>
            </w:r>
          </w:p>
        </w:tc>
        <w:tc>
          <w:tcPr>
            <w:tcW w:type="dxa" w:w="2580"/>
            <w:tcBorders>
              <w:top w:val="single" w:color="CCCCCC" w:sz="1"/>
              <w:left w:val="single" w:color="CCCCCC" w:sz="1"/>
              <w:bottom w:val="single" w:color="CCCCCC" w:sz="1"/>
              <w:right w:val="single" w:color="CCCCCC" w:sz="1"/>
            </w:tcBorders>
            <w:shd w:fill="FFFFFF" w:val="clear"/>
            <w:tcMar>
              <w:top w:type="dxa" w:w="55"/>
              <w:left w:type="dxa" w:w="85"/>
              <w:bottom w:type="dxa" w:w="55"/>
              <w:right w:type="dxa" w:w="85"/>
            </w:tcMar>
          </w:tcPr>
          <w:p>
            <w:r>
              <w:rPr>
                <w:rFonts w:ascii="Arial" w:cs="Arial" w:eastAsia="Arial" w:hAnsi="Arial"/>
                <w:color w:val="1A1A1A"/>
                <w:sz w:val="18"/>
                <w:szCs w:val="18"/>
              </w:rPr>
              <w:t xml:space="preserve">Week 5 MLP surrogate, for comparison only</w:t>
            </w:r>
          </w:p>
        </w:tc>
        <w:tc>
          <w:tcPr>
            <w:tcW w:type="dxa" w:w="2280"/>
            <w:tcBorders>
              <w:top w:val="single" w:color="CCCCCC" w:sz="1"/>
              <w:left w:val="single" w:color="CCCCCC" w:sz="1"/>
              <w:bottom w:val="single" w:color="CCCCCC" w:sz="1"/>
              <w:right w:val="single" w:color="CCCCCC" w:sz="1"/>
            </w:tcBorders>
            <w:shd w:fill="FFFFFF" w:val="clear"/>
            <w:tcMar>
              <w:top w:type="dxa" w:w="55"/>
              <w:left w:type="dxa" w:w="85"/>
              <w:bottom w:type="dxa" w:w="55"/>
              <w:right w:type="dxa" w:w="85"/>
            </w:tcMar>
          </w:tcPr>
          <w:p>
            <w:r>
              <w:rPr>
                <w:rFonts w:ascii="Arial" w:cs="Arial" w:eastAsia="Arial" w:hAnsi="Arial"/>
                <w:color w:val="1A1A1A"/>
                <w:sz w:val="18"/>
                <w:szCs w:val="18"/>
              </w:rPr>
              <w:t xml:space="preserve">Flexible for a small custom architecture; easy MC Dropout</w:t>
            </w:r>
          </w:p>
        </w:tc>
        <w:tc>
          <w:tcPr>
            <w:tcW w:type="dxa" w:w="2300"/>
            <w:tcBorders>
              <w:top w:val="single" w:color="CCCCCC" w:sz="1"/>
              <w:left w:val="single" w:color="CCCCCC" w:sz="1"/>
              <w:bottom w:val="single" w:color="CCCCCC" w:sz="1"/>
              <w:right w:val="single" w:color="CCCCCC" w:sz="1"/>
            </w:tcBorders>
            <w:shd w:fill="FFFFFF" w:val="clear"/>
            <w:tcMar>
              <w:top w:type="dxa" w:w="55"/>
              <w:left w:type="dxa" w:w="85"/>
              <w:bottom w:type="dxa" w:w="55"/>
              <w:right w:type="dxa" w:w="85"/>
            </w:tcMar>
          </w:tcPr>
          <w:p>
            <w:r>
              <w:rPr>
                <w:rFonts w:ascii="Arial" w:cs="Arial" w:eastAsia="Arial" w:hAnsi="Arial"/>
                <w:color w:val="1A1A1A"/>
                <w:sz w:val="18"/>
                <w:szCs w:val="18"/>
              </w:rPr>
              <w:t xml:space="preserve">Networks have 7-19x more parameters than observations per function, so PyTorch results are documented, not used to drive queries</w:t>
            </w:r>
          </w:p>
        </w:tc>
      </w:tr>
    </w:tbl>
    <w:p>
      <w:pPr>
        <w:spacing w:after="100" w:before="0"/>
      </w:pPr>
    </w:p>
    <w:p>
      <w:pPr>
        <w:spacing w:after="70" w:before="50"/>
      </w:pPr>
      <w:r>
        <w:rPr>
          <w:rFonts w:ascii="Arial" w:cs="Arial" w:eastAsia="Arial" w:hAnsi="Arial"/>
          <w:color w:val="1A1A1A"/>
          <w:sz w:val="20"/>
          <w:szCs w:val="20"/>
        </w:rPr>
        <w:t xml:space="preserve">TensorFlow was not adopted alongside PyTorch. Both frameworks would have served the small comparison network equally well; PyTorch was chosen for its more direct, less boilerplate-heavy syntax when defining a custom four-layer MLP, which matched the exploratory, frequently-changing nature of this part of the project.</w:t>
      </w:r>
    </w:p>
    <w:p>
      <w:pPr>
        <w:pBdr>
          <w:bottom w:val="single" w:color="2E75B6" w:sz="6" w:space="1"/>
        </w:pBdr>
        <w:spacing w:after="140" w:before="15"/>
      </w:pPr>
    </w:p>
    <w:p>
      <w:pPr>
        <w:pStyle w:val="Heading1"/>
        <w:spacing w:after="70" w:before="200"/>
      </w:pPr>
      <w:r>
        <w:rPr>
          <w:rFonts w:ascii="Arial" w:cs="Arial" w:eastAsia="Arial" w:hAnsi="Arial"/>
          <w:b/>
          <w:bCs/>
          <w:color w:val="1F3864"/>
          <w:sz w:val="25"/>
          <w:szCs w:val="25"/>
        </w:rPr>
        <w:t xml:space="preserve">3. Documentation Review</w:t>
      </w:r>
    </w:p>
    <w:p>
      <w:pPr>
        <w:spacing w:after="70" w:before="50"/>
      </w:pPr>
      <w:r>
        <w:rPr>
          <w:rFonts w:ascii="Arial" w:cs="Arial" w:eastAsia="Arial" w:hAnsi="Arial"/>
          <w:b/>
          <w:bCs/>
          <w:color w:val="1A1A1A"/>
          <w:sz w:val="20"/>
          <w:szCs w:val="20"/>
        </w:rPr>
        <w:t xml:space="preserve">Current README and strategy docs </w:t>
      </w:r>
      <w:r>
        <w:rPr>
          <w:rFonts w:ascii="Arial" w:cs="Arial" w:eastAsia="Arial" w:hAnsi="Arial"/>
          <w:color w:val="1A1A1A"/>
          <w:sz w:val="20"/>
          <w:szCs w:val="20"/>
        </w:rPr>
        <w:t xml:space="preserve">describe the project purpose (maximising eight black-box functions under a one-query-per-week budget), the input/output format (hyphen-separated decimal vectors in [0,1], single float outputs), and the high-level method (GP surrogate with UCB initially, evolving to EI, Thompson Sampling, then a four-method mix). The README draft from Week 2 still reflects an early-stage method list and has not been updated since.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none" w:color="FFFFFF" w:sz="0"/>
              <w:left w:val="none" w:color="FFFFFF" w:sz="0"/>
              <w:bottom w:val="none" w:color="FFFFFF" w:sz="0"/>
              <w:right w:val="none" w:color="FFFFFF" w:sz="0"/>
            </w:tcBorders>
            <w:shd w:fill="1F3864" w:val="clear"/>
            <w:tcMar>
              <w:top w:type="dxa" w:w="55"/>
              <w:left w:type="dxa" w:w="85"/>
              <w:bottom w:type="dxa" w:w="55"/>
              <w:right w:type="dxa" w:w="85"/>
            </w:tcMar>
          </w:tcPr>
          <w:p>
            <w:pPr>
              <w:jc w:val="center"/>
            </w:pPr>
            <w:r>
              <w:rPr>
                <w:rFonts w:ascii="Arial" w:cs="Arial" w:eastAsia="Arial" w:hAnsi="Arial"/>
                <w:b/>
                <w:bCs/>
                <w:color w:val="FFFFFF"/>
                <w:sz w:val="18"/>
                <w:szCs w:val="18"/>
              </w:rPr>
              <w:t xml:space="preserve">Document</w:t>
            </w:r>
          </w:p>
        </w:tc>
        <w:tc>
          <w:tcPr>
            <w:tcW w:type="dxa" w:w="3280"/>
            <w:tcBorders>
              <w:top w:val="none" w:color="FFFFFF" w:sz="0"/>
              <w:left w:val="none" w:color="FFFFFF" w:sz="0"/>
              <w:bottom w:val="none" w:color="FFFFFF" w:sz="0"/>
              <w:right w:val="none" w:color="FFFFFF" w:sz="0"/>
            </w:tcBorders>
            <w:shd w:fill="1F3864" w:val="clear"/>
            <w:tcMar>
              <w:top w:type="dxa" w:w="55"/>
              <w:left w:type="dxa" w:w="85"/>
              <w:bottom w:type="dxa" w:w="55"/>
              <w:right w:type="dxa" w:w="85"/>
            </w:tcMar>
          </w:tcPr>
          <w:p>
            <w:pPr>
              <w:jc w:val="center"/>
            </w:pPr>
            <w:r>
              <w:rPr>
                <w:rFonts w:ascii="Arial" w:cs="Arial" w:eastAsia="Arial" w:hAnsi="Arial"/>
                <w:b/>
                <w:bCs/>
                <w:color w:val="FFFFFF"/>
                <w:sz w:val="18"/>
                <w:szCs w:val="18"/>
              </w:rPr>
              <w:t xml:space="preserve">Currently reflects</w:t>
            </w:r>
          </w:p>
        </w:tc>
        <w:tc>
          <w:tcPr>
            <w:tcW w:type="dxa" w:w="3280"/>
            <w:tcBorders>
              <w:top w:val="none" w:color="FFFFFF" w:sz="0"/>
              <w:left w:val="none" w:color="FFFFFF" w:sz="0"/>
              <w:bottom w:val="none" w:color="FFFFFF" w:sz="0"/>
              <w:right w:val="none" w:color="FFFFFF" w:sz="0"/>
            </w:tcBorders>
            <w:shd w:fill="1F3864" w:val="clear"/>
            <w:tcMar>
              <w:top w:type="dxa" w:w="55"/>
              <w:left w:type="dxa" w:w="85"/>
              <w:bottom w:type="dxa" w:w="55"/>
              <w:right w:type="dxa" w:w="85"/>
            </w:tcMar>
          </w:tcPr>
          <w:p>
            <w:pPr>
              <w:jc w:val="center"/>
            </w:pPr>
            <w:r>
              <w:rPr>
                <w:rFonts w:ascii="Arial" w:cs="Arial" w:eastAsia="Arial" w:hAnsi="Arial"/>
                <w:b/>
                <w:bCs/>
                <w:color w:val="FFFFFF"/>
                <w:sz w:val="18"/>
                <w:szCs w:val="18"/>
              </w:rPr>
              <w:t xml:space="preserve">Needs updating to</w:t>
            </w:r>
          </w:p>
        </w:tc>
      </w:tr>
      <w:tr>
        <w:tc>
          <w:tcPr>
            <w:tcW w:type="dxa" w:w="2800"/>
            <w:tcBorders>
              <w:top w:val="single" w:color="CCCCCC" w:sz="1"/>
              <w:left w:val="single" w:color="CCCCCC" w:sz="1"/>
              <w:bottom w:val="single" w:color="CCCCCC" w:sz="1"/>
              <w:right w:val="single" w:color="CCCCCC" w:sz="1"/>
            </w:tcBorders>
            <w:shd w:fill="F2F2F2" w:val="clear"/>
            <w:tcMar>
              <w:top w:type="dxa" w:w="55"/>
              <w:left w:type="dxa" w:w="85"/>
              <w:bottom w:type="dxa" w:w="55"/>
              <w:right w:type="dxa" w:w="85"/>
            </w:tcMar>
          </w:tcPr>
          <w:p>
            <w:r>
              <w:rPr>
                <w:rFonts w:ascii="Arial" w:cs="Arial" w:eastAsia="Arial" w:hAnsi="Arial"/>
                <w:color w:val="1A1A1A"/>
                <w:sz w:val="18"/>
                <w:szCs w:val="18"/>
              </w:rPr>
              <w:t xml:space="preserve">README_draft.docx</w:t>
            </w:r>
          </w:p>
        </w:tc>
        <w:tc>
          <w:tcPr>
            <w:tcW w:type="dxa" w:w="3280"/>
            <w:tcBorders>
              <w:top w:val="single" w:color="CCCCCC" w:sz="1"/>
              <w:left w:val="single" w:color="CCCCCC" w:sz="1"/>
              <w:bottom w:val="single" w:color="CCCCCC" w:sz="1"/>
              <w:right w:val="single" w:color="CCCCCC" w:sz="1"/>
            </w:tcBorders>
            <w:shd w:fill="F2F2F2" w:val="clear"/>
            <w:tcMar>
              <w:top w:type="dxa" w:w="55"/>
              <w:left w:type="dxa" w:w="85"/>
              <w:bottom w:type="dxa" w:w="55"/>
              <w:right w:type="dxa" w:w="85"/>
            </w:tcMar>
          </w:tcPr>
          <w:p>
            <w:r>
              <w:rPr>
                <w:rFonts w:ascii="Arial" w:cs="Arial" w:eastAsia="Arial" w:hAnsi="Arial"/>
                <w:color w:val="1A1A1A"/>
                <w:sz w:val="18"/>
                <w:szCs w:val="18"/>
              </w:rPr>
              <w:t xml:space="preserve">Week 2 method (uniform UCB, per-function kappa)</w:t>
            </w:r>
          </w:p>
        </w:tc>
        <w:tc>
          <w:tcPr>
            <w:tcW w:type="dxa" w:w="3280"/>
            <w:tcBorders>
              <w:top w:val="single" w:color="CCCCCC" w:sz="1"/>
              <w:left w:val="single" w:color="CCCCCC" w:sz="1"/>
              <w:bottom w:val="single" w:color="CCCCCC" w:sz="1"/>
              <w:right w:val="single" w:color="CCCCCC" w:sz="1"/>
            </w:tcBorders>
            <w:shd w:fill="F2F2F2" w:val="clear"/>
            <w:tcMar>
              <w:top w:type="dxa" w:w="55"/>
              <w:left w:type="dxa" w:w="85"/>
              <w:bottom w:type="dxa" w:w="55"/>
              <w:right w:type="dxa" w:w="85"/>
            </w:tcMar>
          </w:tcPr>
          <w:p>
            <w:r>
              <w:rPr>
                <w:rFonts w:ascii="Arial" w:cs="Arial" w:eastAsia="Arial" w:hAnsi="Arial"/>
                <w:color w:val="1A1A1A"/>
                <w:sz w:val="18"/>
                <w:szCs w:val="18"/>
              </w:rPr>
              <w:t xml:space="preserve">Week 5 four-method mix, NN comparison, current running bests</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85"/>
              <w:bottom w:type="dxa" w:w="55"/>
              <w:right w:type="dxa" w:w="85"/>
            </w:tcMar>
          </w:tcPr>
          <w:p>
            <w:r>
              <w:rPr>
                <w:rFonts w:ascii="Arial" w:cs="Arial" w:eastAsia="Arial" w:hAnsi="Arial"/>
                <w:color w:val="1A1A1A"/>
                <w:sz w:val="18"/>
                <w:szCs w:val="18"/>
              </w:rPr>
              <w:t xml:space="preserve">week*_strategy.md</w:t>
            </w:r>
          </w:p>
        </w:tc>
        <w:tc>
          <w:tcPr>
            <w:tcW w:type="dxa" w:w="3280"/>
            <w:tcBorders>
              <w:top w:val="single" w:color="CCCCCC" w:sz="1"/>
              <w:left w:val="single" w:color="CCCCCC" w:sz="1"/>
              <w:bottom w:val="single" w:color="CCCCCC" w:sz="1"/>
              <w:right w:val="single" w:color="CCCCCC" w:sz="1"/>
            </w:tcBorders>
            <w:shd w:fill="FFFFFF" w:val="clear"/>
            <w:tcMar>
              <w:top w:type="dxa" w:w="55"/>
              <w:left w:type="dxa" w:w="85"/>
              <w:bottom w:type="dxa" w:w="55"/>
              <w:right w:type="dxa" w:w="85"/>
            </w:tcMar>
          </w:tcPr>
          <w:p>
            <w:r>
              <w:rPr>
                <w:rFonts w:ascii="Arial" w:cs="Arial" w:eastAsia="Arial" w:hAnsi="Arial"/>
                <w:color w:val="1A1A1A"/>
                <w:sz w:val="18"/>
                <w:szCs w:val="18"/>
              </w:rPr>
              <w:t xml:space="preserve">Accurate but scattered across 5 separate files</w:t>
            </w:r>
          </w:p>
        </w:tc>
        <w:tc>
          <w:tcPr>
            <w:tcW w:type="dxa" w:w="3280"/>
            <w:tcBorders>
              <w:top w:val="single" w:color="CCCCCC" w:sz="1"/>
              <w:left w:val="single" w:color="CCCCCC" w:sz="1"/>
              <w:bottom w:val="single" w:color="CCCCCC" w:sz="1"/>
              <w:right w:val="single" w:color="CCCCCC" w:sz="1"/>
            </w:tcBorders>
            <w:shd w:fill="FFFFFF" w:val="clear"/>
            <w:tcMar>
              <w:top w:type="dxa" w:w="55"/>
              <w:left w:type="dxa" w:w="85"/>
              <w:bottom w:type="dxa" w:w="55"/>
              <w:right w:type="dxa" w:w="85"/>
            </w:tcMar>
          </w:tcPr>
          <w:p>
            <w:r>
              <w:rPr>
                <w:rFonts w:ascii="Arial" w:cs="Arial" w:eastAsia="Arial" w:hAnsi="Arial"/>
                <w:color w:val="1A1A1A"/>
                <w:sz w:val="18"/>
                <w:szCs w:val="18"/>
              </w:rPr>
              <w:t xml:space="preserve">Consolidated into one docs/strategy_log.md with a running changelog</w:t>
            </w:r>
          </w:p>
        </w:tc>
      </w:tr>
      <w:tr>
        <w:tc>
          <w:tcPr>
            <w:tcW w:type="dxa" w:w="2800"/>
            <w:tcBorders>
              <w:top w:val="single" w:color="CCCCCC" w:sz="1"/>
              <w:left w:val="single" w:color="CCCCCC" w:sz="1"/>
              <w:bottom w:val="single" w:color="CCCCCC" w:sz="1"/>
              <w:right w:val="single" w:color="CCCCCC" w:sz="1"/>
            </w:tcBorders>
            <w:shd w:fill="F2F2F2" w:val="clear"/>
            <w:tcMar>
              <w:top w:type="dxa" w:w="55"/>
              <w:left w:type="dxa" w:w="85"/>
              <w:bottom w:type="dxa" w:w="55"/>
              <w:right w:type="dxa" w:w="85"/>
            </w:tcMar>
          </w:tcPr>
          <w:p>
            <w:r>
              <w:rPr>
                <w:rFonts w:ascii="Arial" w:cs="Arial" w:eastAsia="Arial" w:hAnsi="Arial"/>
                <w:color w:val="1A1A1A"/>
                <w:sz w:val="18"/>
                <w:szCs w:val="18"/>
              </w:rPr>
              <w:t xml:space="preserve">Model cards (Week 5)</w:t>
            </w:r>
          </w:p>
        </w:tc>
        <w:tc>
          <w:tcPr>
            <w:tcW w:type="dxa" w:w="3280"/>
            <w:tcBorders>
              <w:top w:val="single" w:color="CCCCCC" w:sz="1"/>
              <w:left w:val="single" w:color="CCCCCC" w:sz="1"/>
              <w:bottom w:val="single" w:color="CCCCCC" w:sz="1"/>
              <w:right w:val="single" w:color="CCCCCC" w:sz="1"/>
            </w:tcBorders>
            <w:shd w:fill="F2F2F2" w:val="clear"/>
            <w:tcMar>
              <w:top w:type="dxa" w:w="55"/>
              <w:left w:type="dxa" w:w="85"/>
              <w:bottom w:type="dxa" w:w="55"/>
              <w:right w:type="dxa" w:w="85"/>
            </w:tcMar>
          </w:tcPr>
          <w:p>
            <w:r>
              <w:rPr>
                <w:rFonts w:ascii="Arial" w:cs="Arial" w:eastAsia="Arial" w:hAnsi="Arial"/>
                <w:color w:val="1A1A1A"/>
                <w:sz w:val="18"/>
                <w:szCs w:val="18"/>
              </w:rPr>
              <w:t xml:space="preserve">Built on representative/synthetic data, not the real .npy files</w:t>
            </w:r>
          </w:p>
        </w:tc>
        <w:tc>
          <w:tcPr>
            <w:tcW w:type="dxa" w:w="3280"/>
            <w:tcBorders>
              <w:top w:val="single" w:color="CCCCCC" w:sz="1"/>
              <w:left w:val="single" w:color="CCCCCC" w:sz="1"/>
              <w:bottom w:val="single" w:color="CCCCCC" w:sz="1"/>
              <w:right w:val="single" w:color="CCCCCC" w:sz="1"/>
            </w:tcBorders>
            <w:shd w:fill="F2F2F2" w:val="clear"/>
            <w:tcMar>
              <w:top w:type="dxa" w:w="55"/>
              <w:left w:type="dxa" w:w="85"/>
              <w:bottom w:type="dxa" w:w="55"/>
              <w:right w:type="dxa" w:w="85"/>
            </w:tcMar>
          </w:tcPr>
          <w:p>
            <w:r>
              <w:rPr>
                <w:rFonts w:ascii="Arial" w:cs="Arial" w:eastAsia="Arial" w:hAnsi="Arial"/>
                <w:color w:val="1A1A1A"/>
                <w:sz w:val="18"/>
                <w:szCs w:val="18"/>
              </w:rPr>
              <w:t xml:space="preserve">Re-run against actual datasets once notebook executes successfully</w:t>
            </w:r>
          </w:p>
        </w:tc>
      </w:tr>
    </w:tbl>
    <w:p>
      <w:pPr>
        <w:spacing w:after="100" w:before="0"/>
      </w:pPr>
    </w:p>
    <w:p>
      <w:pPr>
        <w:spacing w:after="70" w:before="50"/>
      </w:pPr>
      <w:r>
        <w:rPr>
          <w:rFonts w:ascii="Arial" w:cs="Arial" w:eastAsia="Arial" w:hAnsi="Arial"/>
          <w:color w:val="1A1A1A"/>
          <w:sz w:val="20"/>
          <w:szCs w:val="20"/>
        </w:rPr>
        <w:t xml:space="preserve">The most urgent documentation gap is the README: it should be updated to state the current running best for all eight functions and the current acquisition method per function, since both have changed substantially since the draft was last written in Week 2.</w:t>
      </w:r>
    </w:p>
    <w:p>
      <w:pPr>
        <w:pBdr>
          <w:bottom w:val="single" w:color="2E75B6" w:sz="6" w:space="1"/>
        </w:pBdr>
        <w:spacing w:after="140" w:before="15"/>
      </w:pPr>
    </w:p>
    <w:p>
      <w:pPr>
        <w:spacing w:after="0" w:before="50"/>
        <w:jc w:val="center"/>
      </w:pPr>
      <w:r>
        <w:rPr>
          <w:rFonts w:ascii="Arial" w:cs="Arial" w:eastAsia="Arial" w:hAnsi="Arial"/>
          <w:i/>
          <w:iCs/>
          <w:color w:val="888780"/>
          <w:sz w:val="16"/>
          <w:szCs w:val="16"/>
        </w:rPr>
        <w:t xml:space="preserve">Repository and Documentation Review  |  Bayesian Optimisation Capstone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200"/>
      <w:outlineLvl w:val="0"/>
    </w:pPr>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8dc1427268bfe334fca54971319445f2aee8ee6.png"/><Relationship Id="rId8" Type="http://schemas.openxmlformats.org/officeDocument/2006/relationships/image" Target="media/9dee65e6b8e022e8694d3a241891ac92b44f93b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2026-06-27T22:24:41.389Z</dcterms:created>
  <dcterms:modified xsi:type="dcterms:W3CDTF">2026-06-27T22:24:41.401Z</dcterms:modified>
</cp:coreProperties>
</file>

<file path=docProps/custom.xml><?xml version="1.0" encoding="utf-8"?>
<Properties xmlns="http://schemas.openxmlformats.org/officeDocument/2006/custom-properties" xmlns:vt="http://schemas.openxmlformats.org/officeDocument/2006/docPropsVTypes"/>
</file>