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380"/>
        <w:jc w:val="center"/>
      </w:pPr>
      <w:r>
        <w:rPr>
          <w:rFonts w:ascii="Arial" w:cs="Arial" w:eastAsia="Arial" w:hAnsi="Arial"/>
          <w:b/>
          <w:bCs/>
          <w:color w:val="1F3864"/>
          <w:sz w:val="36"/>
          <w:szCs w:val="36"/>
        </w:rPr>
        <w:t xml:space="preserve">BBO CAPSTONE PROJECT</w:t>
      </w:r>
    </w:p>
    <w:p>
      <w:pPr>
        <w:spacing w:after="28" w:before="0"/>
        <w:jc w:val="center"/>
      </w:pPr>
      <w:r>
        <w:rPr>
          <w:rFonts w:ascii="Arial" w:cs="Arial" w:eastAsia="Arial" w:hAnsi="Arial"/>
          <w:color w:val="2E75B6"/>
          <w:sz w:val="26"/>
          <w:szCs w:val="26"/>
        </w:rPr>
        <w:t xml:space="preserve">Data Sheet and Model Card</w:t>
      </w:r>
    </w:p>
    <w:p>
      <w:pPr>
        <w:spacing w:after="460" w:before="0"/>
        <w:jc w:val="center"/>
      </w:pPr>
      <w:r>
        <w:rPr>
          <w:rFonts w:ascii="Arial" w:cs="Arial" w:eastAsia="Arial" w:hAnsi="Arial"/>
          <w:i/>
          <w:iCs/>
          <w:color w:val="595959"/>
          <w:sz w:val="20"/>
          <w:szCs w:val="20"/>
        </w:rPr>
        <w:t xml:space="preserve">Bayesian Black-Box Optimisation | 8 Functions | 10 Rounds</w:t>
      </w:r>
    </w:p>
    <w:p>
      <w:pPr>
        <w:pBdr>
          <w:bottom w:val="single" w:color="2E75B6" w:sz="6" w:space="1"/>
        </w:pBdr>
        <w:spacing w:after="105" w:before="10"/>
      </w:pPr>
    </w:p>
    <w:p>
      <w:pPr>
        <w:spacing w:after="28" w:before="180"/>
        <w:jc w:val="center"/>
      </w:pPr>
      <w:r>
        <w:rPr>
          <w:rFonts w:ascii="Arial" w:cs="Arial" w:eastAsia="Arial" w:hAnsi="Arial"/>
          <w:b/>
          <w:bCs/>
          <w:color w:val="1F3864"/>
          <w:sz w:val="30"/>
          <w:szCs w:val="30"/>
        </w:rPr>
        <w:t xml:space="preserve">PART 1: DATA SHEET</w:t>
      </w:r>
    </w:p>
    <w:p>
      <w:pPr>
        <w:spacing w:after="145" w:before="0"/>
        <w:jc w:val="center"/>
      </w:pPr>
      <w:r>
        <w:rPr>
          <w:rFonts w:ascii="Arial" w:cs="Arial" w:eastAsia="Arial" w:hAnsi="Arial"/>
          <w:i/>
          <w:iCs/>
          <w:color w:val="595959"/>
          <w:sz w:val="20"/>
          <w:szCs w:val="20"/>
        </w:rPr>
        <w:t xml:space="preserve">Gebru et al. 2021: Datasheets for Datasets</w:t>
      </w:r>
    </w:p>
    <w:p>
      <w:pPr>
        <w:pStyle w:val="Heading1"/>
        <w:spacing w:after="75" w:before="200"/>
      </w:pPr>
      <w:r>
        <w:rPr>
          <w:rFonts w:ascii="Arial" w:cs="Arial" w:eastAsia="Arial" w:hAnsi="Arial"/>
          <w:b/>
          <w:bCs/>
          <w:color w:val="1F3864"/>
          <w:sz w:val="26"/>
          <w:szCs w:val="26"/>
        </w:rPr>
        <w:t xml:space="preserve">1.  Motivation</w:t>
      </w:r>
    </w:p>
    <w:p>
      <w:pPr>
        <w:spacing w:after="70" w:before="12"/>
      </w:pPr>
      <w:r>
        <w:rPr>
          <w:rFonts w:ascii="Arial" w:cs="Arial" w:eastAsia="Arial" w:hAnsi="Arial"/>
          <w:color w:val="1A1A1A"/>
          <w:sz w:val="20"/>
          <w:szCs w:val="20"/>
        </w:rPr>
        <w:t xml:space="preserve">This dataset supports sequential black-box optimisation of eight synthetic functions over ten weekly iterations as a university capstone project. Each function takes a d-dimensional input in [0,1]^d and returns a scalar output; the objective is maximisation. The dataset records the complete query-response history so decisions can be audited and reproduced. It was created by a single researcher with a fixed budget of one irreversible query per function per week.</w:t>
      </w:r>
    </w:p>
    <w:p>
      <w:pPr>
        <w:pStyle w:val="Heading1"/>
        <w:spacing w:after="75" w:before="200"/>
      </w:pPr>
      <w:r>
        <w:rPr>
          <w:rFonts w:ascii="Arial" w:cs="Arial" w:eastAsia="Arial" w:hAnsi="Arial"/>
          <w:b/>
          <w:bCs/>
          <w:color w:val="1F3864"/>
          <w:sz w:val="26"/>
          <w:szCs w:val="26"/>
        </w:rPr>
        <w:t xml:space="preserve">2.  Composition</w:t>
      </w:r>
    </w:p>
    <w:p>
      <w:pPr>
        <w:spacing w:after="70" w:before="12"/>
      </w:pPr>
      <w:r>
        <w:rPr>
          <w:rFonts w:ascii="Arial" w:cs="Arial" w:eastAsia="Arial" w:hAnsi="Arial"/>
          <w:color w:val="1A1A1A"/>
          <w:sz w:val="20"/>
          <w:szCs w:val="20"/>
        </w:rPr>
        <w:t xml:space="preserve">The dataset contains three components per function: initial_inputs.npy and initial_outputs.npy (the original data provided by the capstone portal), and a weekly query record (submitted input and returned output for each of Weeks 1 to 10). Table 1 summarises the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1060"/>
        <w:gridCol w:w="1000"/>
        <w:gridCol w:w="1000"/>
        <w:gridCol w:w="1000"/>
        <w:gridCol w:w="1200"/>
        <w:gridCol w:w="1200"/>
        <w:gridCol w:w="1000"/>
      </w:tblGrid>
      <w:tr>
        <w:trPr>
          <w:tblHeader/>
        </w:trPr>
        <w:tc>
          <w:tcPr>
            <w:tcW w:type="dxa" w:w="10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Component</w:t>
            </w:r>
          </w:p>
        </w:tc>
        <w:tc>
          <w:tcPr>
            <w:tcW w:type="dxa" w:w="9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F1 2D</w:t>
            </w:r>
          </w:p>
        </w:tc>
        <w:tc>
          <w:tcPr>
            <w:tcW w:type="dxa" w:w="106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F2 2D</w:t>
            </w:r>
          </w:p>
        </w:tc>
        <w:tc>
          <w:tcPr>
            <w:tcW w:type="dxa" w:w="10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F3 3D</w:t>
            </w:r>
          </w:p>
        </w:tc>
        <w:tc>
          <w:tcPr>
            <w:tcW w:type="dxa" w:w="10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F4 4D</w:t>
            </w:r>
          </w:p>
        </w:tc>
        <w:tc>
          <w:tcPr>
            <w:tcW w:type="dxa" w:w="10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F5 4D</w:t>
            </w:r>
          </w:p>
        </w:tc>
        <w:tc>
          <w:tcPr>
            <w:tcW w:type="dxa" w:w="12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F6 5D</w:t>
            </w:r>
          </w:p>
        </w:tc>
        <w:tc>
          <w:tcPr>
            <w:tcW w:type="dxa" w:w="12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F7 6D</w:t>
            </w:r>
          </w:p>
        </w:tc>
        <w:tc>
          <w:tcPr>
            <w:tcW w:type="dxa" w:w="10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F8 8D</w:t>
            </w:r>
          </w:p>
        </w:tc>
      </w:tr>
      <w:tr>
        <w:tc>
          <w:tcPr>
            <w:tcW w:type="dxa" w:w="10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Initial obs</w:t>
            </w:r>
          </w:p>
        </w:tc>
        <w:tc>
          <w:tcPr>
            <w:tcW w:type="dxa" w:w="9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8</w:t>
            </w:r>
          </w:p>
        </w:tc>
        <w:tc>
          <w:tcPr>
            <w:tcW w:type="dxa" w:w="106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8</w:t>
            </w:r>
          </w:p>
        </w:tc>
        <w:tc>
          <w:tcPr>
            <w:tcW w:type="dxa" w:w="10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12</w:t>
            </w:r>
          </w:p>
        </w:tc>
        <w:tc>
          <w:tcPr>
            <w:tcW w:type="dxa" w:w="10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15</w:t>
            </w:r>
          </w:p>
        </w:tc>
        <w:tc>
          <w:tcPr>
            <w:tcW w:type="dxa" w:w="10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15</w:t>
            </w:r>
          </w:p>
        </w:tc>
        <w:tc>
          <w:tcPr>
            <w:tcW w:type="dxa" w:w="12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20</w:t>
            </w:r>
          </w:p>
        </w:tc>
        <w:tc>
          <w:tcPr>
            <w:tcW w:type="dxa" w:w="12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25</w:t>
            </w:r>
          </w:p>
        </w:tc>
        <w:tc>
          <w:tcPr>
            <w:tcW w:type="dxa" w:w="10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25</w:t>
            </w:r>
          </w:p>
        </w:tc>
      </w:tr>
      <w:tr>
        <w:tc>
          <w:tcPr>
            <w:tcW w:type="dxa" w:w="10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Total obs (W10)</w:t>
            </w:r>
          </w:p>
        </w:tc>
        <w:tc>
          <w:tcPr>
            <w:tcW w:type="dxa" w:w="9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~18</w:t>
            </w:r>
          </w:p>
        </w:tc>
        <w:tc>
          <w:tcPr>
            <w:tcW w:type="dxa" w:w="106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~18</w:t>
            </w:r>
          </w:p>
        </w:tc>
        <w:tc>
          <w:tcPr>
            <w:tcW w:type="dxa" w:w="10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~22</w:t>
            </w:r>
          </w:p>
        </w:tc>
        <w:tc>
          <w:tcPr>
            <w:tcW w:type="dxa" w:w="10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~25</w:t>
            </w:r>
          </w:p>
        </w:tc>
        <w:tc>
          <w:tcPr>
            <w:tcW w:type="dxa" w:w="10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~25</w:t>
            </w:r>
          </w:p>
        </w:tc>
        <w:tc>
          <w:tcPr>
            <w:tcW w:type="dxa" w:w="12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~30</w:t>
            </w:r>
          </w:p>
        </w:tc>
        <w:tc>
          <w:tcPr>
            <w:tcW w:type="dxa" w:w="12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~35</w:t>
            </w:r>
          </w:p>
        </w:tc>
        <w:tc>
          <w:tcPr>
            <w:tcW w:type="dxa" w:w="10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~35</w:t>
            </w:r>
          </w:p>
        </w:tc>
      </w:tr>
      <w:tr>
        <w:tc>
          <w:tcPr>
            <w:tcW w:type="dxa" w:w="10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Format</w:t>
            </w:r>
          </w:p>
        </w:tc>
        <w:tc>
          <w:tcPr>
            <w:tcW w:type="dxa" w:w="9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.npy + CSV</w:t>
            </w:r>
          </w:p>
        </w:tc>
        <w:tc>
          <w:tcPr>
            <w:tcW w:type="dxa" w:w="106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.npy + CSV</w:t>
            </w:r>
          </w:p>
        </w:tc>
        <w:tc>
          <w:tcPr>
            <w:tcW w:type="dxa" w:w="10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.npy + CSV</w:t>
            </w:r>
          </w:p>
        </w:tc>
        <w:tc>
          <w:tcPr>
            <w:tcW w:type="dxa" w:w="10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.npy + CSV</w:t>
            </w:r>
          </w:p>
        </w:tc>
        <w:tc>
          <w:tcPr>
            <w:tcW w:type="dxa" w:w="10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.npy + CSV</w:t>
            </w:r>
          </w:p>
        </w:tc>
        <w:tc>
          <w:tcPr>
            <w:tcW w:type="dxa" w:w="12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.npy + CSV</w:t>
            </w:r>
          </w:p>
        </w:tc>
        <w:tc>
          <w:tcPr>
            <w:tcW w:type="dxa" w:w="12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.npy + CSV</w:t>
            </w:r>
          </w:p>
        </w:tc>
        <w:tc>
          <w:tcPr>
            <w:tcW w:type="dxa" w:w="10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.npy + CSV</w:t>
            </w:r>
          </w:p>
        </w:tc>
      </w:tr>
    </w:tbl>
    <w:p>
      <w:pPr>
        <w:spacing w:after="0" w:before="60"/>
      </w:pPr>
    </w:p>
    <w:p>
      <w:pPr>
        <w:spacing w:after="70" w:before="12"/>
      </w:pPr>
      <w:r>
        <w:rPr>
          <w:rFonts w:ascii="Arial" w:cs="Arial" w:eastAsia="Arial" w:hAnsi="Arial"/>
          <w:i/>
          <w:iCs/>
          <w:color w:val="595959"/>
          <w:sz w:val="20"/>
          <w:szCs w:val="20"/>
        </w:rPr>
        <w:t xml:space="preserve">Table 1: Observation counts and formats per function. All arrays are NumPy binary (.npy); weekly records are also stored as CSV.</w:t>
      </w:r>
    </w:p>
    <w:p>
      <w:pPr>
        <w:spacing w:after="70" w:before="12"/>
      </w:pPr>
      <w:r>
        <w:rPr>
          <w:rFonts w:ascii="Arial" w:cs="Arial" w:eastAsia="Arial" w:hAnsi="Arial"/>
          <w:color w:val="1A1A1A"/>
          <w:sz w:val="20"/>
          <w:szCs w:val="20"/>
        </w:rPr>
        <w:t xml:space="preserve">There are no missing values. Every submitted query received a numeric response. The dataset is intentionally sparse relative to input dimensionality, and early queries (W1-W3) are far from the confirmed optimal regions, creating a spatial bias in the historical record.</w:t>
      </w:r>
    </w:p>
    <w:p>
      <w:pPr>
        <w:pStyle w:val="Heading1"/>
        <w:spacing w:after="75" w:before="200"/>
      </w:pPr>
      <w:r>
        <w:rPr>
          <w:rFonts w:ascii="Arial" w:cs="Arial" w:eastAsia="Arial" w:hAnsi="Arial"/>
          <w:b/>
          <w:bCs/>
          <w:color w:val="1F3864"/>
          <w:sz w:val="26"/>
          <w:szCs w:val="26"/>
        </w:rPr>
        <w:t xml:space="preserve">3.  Collection Process</w:t>
      </w:r>
    </w:p>
    <w:p>
      <w:pPr>
        <w:spacing w:after="70" w:before="12"/>
      </w:pPr>
      <w:r>
        <w:rPr>
          <w:rFonts w:ascii="Arial" w:cs="Arial" w:eastAsia="Arial" w:hAnsi="Arial"/>
          <w:color w:val="1A1A1A"/>
          <w:sz w:val="20"/>
          <w:szCs w:val="20"/>
        </w:rPr>
        <w:t xml:space="preserve">Queries were generated by a Bayesian optimisation pipeline using one of four surrogate models selected by LOO-CV RMSE: GP with ARD-RBF, GP with ARD-Matern-5/2, MC Dropout MLP, or Deep Kernel Learning. Acquisition functions used across ten rounds included UCB (W1-W2), Expected Improvement (W3-W9), GP Mean (W8-W10), Grid search (F6), and ZoMBI memory-pruned EI (F1, F4). No data was excluded post-collection; the ZoMBI pruning affects which points are used for fitting but does not delete records.</w:t>
      </w:r>
    </w:p>
    <w:p>
      <w:pPr>
        <w:pStyle w:val="Heading1"/>
        <w:spacing w:after="75" w:before="200"/>
      </w:pPr>
      <w:r>
        <w:rPr>
          <w:rFonts w:ascii="Arial" w:cs="Arial" w:eastAsia="Arial" w:hAnsi="Arial"/>
          <w:b/>
          <w:bCs/>
          <w:color w:val="1F3864"/>
          <w:sz w:val="26"/>
          <w:szCs w:val="26"/>
        </w:rPr>
        <w:t xml:space="preserve">4.  Preprocessing and Intended Uses</w:t>
      </w:r>
    </w:p>
    <w:p>
      <w:pPr>
        <w:pStyle w:val="ListParagraph"/>
        <w:numPr>
          <w:ilvl w:val="0"/>
          <w:numId w:val="2"/>
        </w:numPr>
        <w:spacing w:after="5" w:before="5"/>
      </w:pPr>
      <w:r>
        <w:rPr>
          <w:rFonts w:ascii="Arial" w:cs="Arial" w:eastAsia="Arial" w:hAnsi="Arial"/>
          <w:b/>
          <w:bCs/>
          <w:color w:val="1A1A1A"/>
          <w:sz w:val="20"/>
          <w:szCs w:val="20"/>
        </w:rPr>
        <w:t xml:space="preserve">X standardisation</w:t>
      </w:r>
      <w:r>
        <w:rPr>
          <w:rFonts w:ascii="Arial" w:cs="Arial" w:eastAsia="Arial" w:hAnsi="Arial"/>
          <w:color w:val="1A1A1A"/>
          <w:sz w:val="20"/>
          <w:szCs w:val="20"/>
        </w:rPr>
        <w:t xml:space="preserve">  (StandardScaler) applied to all surrogate inputs before fitting.</w:t>
      </w:r>
    </w:p>
    <w:p>
      <w:pPr>
        <w:pStyle w:val="ListParagraph"/>
        <w:numPr>
          <w:ilvl w:val="0"/>
          <w:numId w:val="2"/>
        </w:numPr>
        <w:spacing w:after="5" w:before="5"/>
      </w:pPr>
      <w:r>
        <w:rPr>
          <w:rFonts w:ascii="Arial" w:cs="Arial" w:eastAsia="Arial" w:hAnsi="Arial"/>
          <w:b/>
          <w:bCs/>
          <w:color w:val="1A1A1A"/>
          <w:sz w:val="20"/>
          <w:szCs w:val="20"/>
        </w:rPr>
        <w:t xml:space="preserve">Y standardisation</w:t>
      </w:r>
      <w:r>
        <w:rPr>
          <w:rFonts w:ascii="Arial" w:cs="Arial" w:eastAsia="Arial" w:hAnsi="Arial"/>
          <w:color w:val="1A1A1A"/>
          <w:sz w:val="20"/>
          <w:szCs w:val="20"/>
        </w:rPr>
        <w:t xml:space="preserve">  (zero mean, unit std) applied to all surrogates from W8 onward.</w:t>
      </w:r>
    </w:p>
    <w:p>
      <w:pPr>
        <w:pStyle w:val="ListParagraph"/>
        <w:numPr>
          <w:ilvl w:val="0"/>
          <w:numId w:val="2"/>
        </w:numPr>
        <w:spacing w:after="5" w:before="5"/>
      </w:pPr>
      <w:r>
        <w:rPr>
          <w:rFonts w:ascii="Arial" w:cs="Arial" w:eastAsia="Arial" w:hAnsi="Arial"/>
          <w:b/>
          <w:bCs/>
          <w:color w:val="1A1A1A"/>
          <w:sz w:val="20"/>
          <w:szCs w:val="20"/>
        </w:rPr>
        <w:t xml:space="preserve">ARD length scales</w:t>
      </w:r>
      <w:r>
        <w:rPr>
          <w:rFonts w:ascii="Arial" w:cs="Arial" w:eastAsia="Arial" w:hAnsi="Arial"/>
          <w:color w:val="1A1A1A"/>
          <w:sz w:val="20"/>
          <w:szCs w:val="20"/>
        </w:rPr>
        <w:t xml:space="preserve">  initialised to sqrt(d)/10 per arXiv:2502.09198. No imputation or augmentation.</w:t>
      </w:r>
    </w:p>
    <w:p>
      <w:pPr>
        <w:spacing w:after="0" w:before="8"/>
      </w:pPr>
    </w:p>
    <w:p>
      <w:pPr>
        <w:spacing w:after="70" w:before="12"/>
      </w:pPr>
      <w:r>
        <w:rPr>
          <w:rFonts w:ascii="Arial" w:cs="Arial" w:eastAsia="Arial" w:hAnsi="Arial"/>
          <w:b/>
          <w:bCs/>
          <w:color w:val="1A1A1A"/>
          <w:sz w:val="20"/>
          <w:szCs w:val="20"/>
        </w:rPr>
        <w:t xml:space="preserve">Intended uses: </w:t>
      </w:r>
      <w:r>
        <w:rPr>
          <w:rFonts w:ascii="Arial" w:cs="Arial" w:eastAsia="Arial" w:hAnsi="Arial"/>
          <w:color w:val="1A1A1A"/>
          <w:sz w:val="20"/>
          <w:szCs w:val="20"/>
        </w:rPr>
        <w:t xml:space="preserve">reproducible BBO research (fixed random_state=42), surrogate benchmarking on small-n problems, acquisition function convergence analysis, and teaching BBO with irreversible evaluations.</w:t>
      </w:r>
    </w:p>
    <w:p>
      <w:pPr>
        <w:spacing w:after="70" w:before="12"/>
      </w:pPr>
      <w:r>
        <w:rPr>
          <w:rFonts w:ascii="Arial" w:cs="Arial" w:eastAsia="Arial" w:hAnsi="Arial"/>
          <w:b/>
          <w:bCs/>
          <w:color w:val="1A1A1A"/>
          <w:sz w:val="20"/>
          <w:szCs w:val="20"/>
        </w:rPr>
        <w:t xml:space="preserve">Inappropriate uses: </w:t>
      </w:r>
      <w:r>
        <w:rPr>
          <w:rFonts w:ascii="Arial" w:cs="Arial" w:eastAsia="Arial" w:hAnsi="Arial"/>
          <w:color w:val="1A1A1A"/>
          <w:sz w:val="20"/>
          <w:szCs w:val="20"/>
        </w:rPr>
        <w:t xml:space="preserve">general ML benchmarking without disclosing capstone constraints; claiming state-of-the-art performance without context; applying F1 near-zero history to models requiring positive outputs without preprocessing.</w:t>
      </w:r>
    </w:p>
    <w:p>
      <w:pPr>
        <w:pStyle w:val="Heading1"/>
        <w:spacing w:after="75" w:before="200"/>
      </w:pPr>
      <w:r>
        <w:rPr>
          <w:rFonts w:ascii="Arial" w:cs="Arial" w:eastAsia="Arial" w:hAnsi="Arial"/>
          <w:b/>
          <w:bCs/>
          <w:color w:val="1F3864"/>
          <w:sz w:val="26"/>
          <w:szCs w:val="26"/>
        </w:rPr>
        <w:t xml:space="preserve">5.  Distribution and Maintenance</w:t>
      </w:r>
    </w:p>
    <w:p>
      <w:pPr>
        <w:spacing w:after="70" w:before="12"/>
      </w:pPr>
      <w:r>
        <w:rPr>
          <w:rFonts w:ascii="Arial" w:cs="Arial" w:eastAsia="Arial" w:hAnsi="Arial"/>
          <w:color w:val="1A1A1A"/>
          <w:sz w:val="20"/>
          <w:szCs w:val="20"/>
        </w:rPr>
        <w:t xml:space="preserve">Weekly notebooks and CSV query records are available in the public GitHub repository under the MIT Licence. The initial .npy files are the intellectual property of the capstone provider and must be obtained through the official portal. The dataset is maintained by the student researcher via the GitHub issue tracker and is considered complete after Week 10.</w:t>
      </w:r>
    </w:p>
    <w:p>
      <w:pPr>
        <w:pBdr>
          <w:bottom w:val="single" w:color="2E75B6" w:sz="6" w:space="1"/>
        </w:pBdr>
        <w:spacing w:after="105" w:before="10"/>
      </w:pPr>
    </w:p>
    <w:p>
      <w:pPr>
        <w:spacing w:after="0" w:before="0"/>
      </w:pPr>
      <w:r>
        <w:br w:type="page"/>
      </w:r>
    </w:p>
    <w:p>
      <w:pPr>
        <w:spacing w:after="28" w:before="180"/>
        <w:jc w:val="center"/>
      </w:pPr>
      <w:r>
        <w:rPr>
          <w:rFonts w:ascii="Arial" w:cs="Arial" w:eastAsia="Arial" w:hAnsi="Arial"/>
          <w:b/>
          <w:bCs/>
          <w:color w:val="1F3864"/>
          <w:sz w:val="30"/>
          <w:szCs w:val="30"/>
        </w:rPr>
        <w:t xml:space="preserve">PART 2: MODEL CARD</w:t>
      </w:r>
    </w:p>
    <w:p>
      <w:pPr>
        <w:spacing w:after="145" w:before="0"/>
        <w:jc w:val="center"/>
      </w:pPr>
      <w:r>
        <w:rPr>
          <w:rFonts w:ascii="Arial" w:cs="Arial" w:eastAsia="Arial" w:hAnsi="Arial"/>
          <w:i/>
          <w:iCs/>
          <w:color w:val="595959"/>
          <w:sz w:val="20"/>
          <w:szCs w:val="20"/>
        </w:rPr>
        <w:t xml:space="preserve">Mitchell et al. 2019: Model Cards for Model Reporting</w:t>
      </w:r>
    </w:p>
    <w:p>
      <w:pPr>
        <w:pStyle w:val="Heading1"/>
        <w:spacing w:after="75" w:before="200"/>
      </w:pPr>
      <w:r>
        <w:rPr>
          <w:rFonts w:ascii="Arial" w:cs="Arial" w:eastAsia="Arial" w:hAnsi="Arial"/>
          <w:b/>
          <w:bCs/>
          <w:color w:val="1F3864"/>
          <w:sz w:val="26"/>
          <w:szCs w:val="26"/>
        </w:rPr>
        <w:t xml:space="preserve">1.  Overview</w:t>
      </w:r>
    </w:p>
    <w:p>
      <w:pPr>
        <w:spacing w:after="70" w:before="12"/>
      </w:pPr>
      <w:r>
        <w:rPr>
          <w:rFonts w:ascii="Arial" w:cs="Arial" w:eastAsia="Arial" w:hAnsi="Arial"/>
          <w:color w:val="1A1A1A"/>
          <w:sz w:val="20"/>
          <w:szCs w:val="20"/>
        </w:rPr>
        <w:t xml:space="preserve">This model card describes the BBO optimisation approach used across ten rounds of the Black-Box Optimisation Capstone Challenge.</w:t>
      </w:r>
    </w:p>
    <w:p>
      <w:pPr>
        <w:spacing w:after="70" w:before="12"/>
      </w:pPr>
      <w:r>
        <w:rPr>
          <w:rFonts w:ascii="Arial" w:cs="Arial" w:eastAsia="Arial" w:hAnsi="Arial"/>
          <w:b/>
          <w:bCs/>
          <w:color w:val="1A1A1A"/>
          <w:sz w:val="20"/>
          <w:szCs w:val="20"/>
        </w:rPr>
        <w:t xml:space="preserve">Name: </w:t>
      </w:r>
      <w:r>
        <w:rPr>
          <w:rFonts w:ascii="Arial" w:cs="Arial" w:eastAsia="Arial" w:hAnsi="Arial"/>
          <w:color w:val="1A1A1A"/>
          <w:sz w:val="20"/>
          <w:szCs w:val="20"/>
        </w:rPr>
        <w:t xml:space="preserve">BBO Capstone Optimisation Pipeline</w:t>
      </w:r>
    </w:p>
    <w:p>
      <w:pPr>
        <w:spacing w:after="70" w:before="12"/>
      </w:pPr>
      <w:r>
        <w:rPr>
          <w:rFonts w:ascii="Arial" w:cs="Arial" w:eastAsia="Arial" w:hAnsi="Arial"/>
          <w:b/>
          <w:bCs/>
          <w:color w:val="1A1A1A"/>
          <w:sz w:val="20"/>
          <w:szCs w:val="20"/>
        </w:rPr>
        <w:t xml:space="preserve">Type: </w:t>
      </w:r>
      <w:r>
        <w:rPr>
          <w:rFonts w:ascii="Arial" w:cs="Arial" w:eastAsia="Arial" w:hAnsi="Arial"/>
          <w:color w:val="1A1A1A"/>
          <w:sz w:val="20"/>
          <w:szCs w:val="20"/>
        </w:rPr>
        <w:t xml:space="preserve">Sequential Bayesian Optimisation with adaptive surrogate selection and acquisition scheduling</w:t>
      </w:r>
    </w:p>
    <w:p>
      <w:pPr>
        <w:spacing w:after="70" w:before="12"/>
      </w:pPr>
      <w:r>
        <w:rPr>
          <w:rFonts w:ascii="Arial" w:cs="Arial" w:eastAsia="Arial" w:hAnsi="Arial"/>
          <w:b/>
          <w:bCs/>
          <w:color w:val="1A1A1A"/>
          <w:sz w:val="20"/>
          <w:szCs w:val="20"/>
        </w:rPr>
        <w:t xml:space="preserve">Version: </w:t>
      </w:r>
      <w:r>
        <w:rPr>
          <w:rFonts w:ascii="Arial" w:cs="Arial" w:eastAsia="Arial" w:hAnsi="Arial"/>
          <w:color w:val="1A1A1A"/>
          <w:sz w:val="20"/>
          <w:szCs w:val="20"/>
        </w:rPr>
        <w:t xml:space="preserve">Week 10 (final). Evolved from uniform GP-UCB to per-function GP Mean and length scale ensemble.</w:t>
      </w:r>
    </w:p>
    <w:p>
      <w:pPr>
        <w:spacing w:after="70" w:before="12"/>
      </w:pPr>
      <w:r>
        <w:rPr>
          <w:rFonts w:ascii="Arial" w:cs="Arial" w:eastAsia="Arial" w:hAnsi="Arial"/>
          <w:b/>
          <w:bCs/>
          <w:color w:val="1A1A1A"/>
          <w:sz w:val="20"/>
          <w:szCs w:val="20"/>
        </w:rPr>
        <w:t xml:space="preserve">Repository: </w:t>
      </w:r>
      <w:r>
        <w:rPr>
          <w:rFonts w:ascii="Arial" w:cs="Arial" w:eastAsia="Arial" w:hAnsi="Arial"/>
          <w:color w:val="1A1A1A"/>
          <w:sz w:val="20"/>
          <w:szCs w:val="20"/>
        </w:rPr>
        <w:t xml:space="preserve">Available at the public GitHub repository linked in the capstone submission.</w:t>
      </w:r>
    </w:p>
    <w:p>
      <w:pPr>
        <w:pStyle w:val="Heading1"/>
        <w:spacing w:after="75" w:before="200"/>
      </w:pPr>
      <w:r>
        <w:rPr>
          <w:rFonts w:ascii="Arial" w:cs="Arial" w:eastAsia="Arial" w:hAnsi="Arial"/>
          <w:b/>
          <w:bCs/>
          <w:color w:val="1F3864"/>
          <w:sz w:val="26"/>
          <w:szCs w:val="26"/>
        </w:rPr>
        <w:t xml:space="preserve">2.  Intended Use</w:t>
      </w:r>
    </w:p>
    <w:p>
      <w:pPr>
        <w:pStyle w:val="Heading2"/>
        <w:spacing w:after="55" w:before="145"/>
      </w:pPr>
      <w:r>
        <w:rPr>
          <w:rFonts w:ascii="Arial" w:cs="Arial" w:eastAsia="Arial" w:hAnsi="Arial"/>
          <w:b/>
          <w:bCs/>
          <w:color w:val="2E75B6"/>
          <w:sz w:val="22"/>
          <w:szCs w:val="22"/>
        </w:rPr>
        <w:t xml:space="preserve">2.1  Suitable tasks</w:t>
      </w:r>
    </w:p>
    <w:p>
      <w:pPr>
        <w:pStyle w:val="ListParagraph"/>
        <w:numPr>
          <w:ilvl w:val="0"/>
          <w:numId w:val="2"/>
        </w:numPr>
        <w:spacing w:after="5" w:before="5"/>
      </w:pPr>
      <w:r>
        <w:rPr>
          <w:rFonts w:ascii="Arial" w:cs="Arial" w:eastAsia="Arial" w:hAnsi="Arial"/>
          <w:b/>
          <w:bCs/>
          <w:color w:val="1A1A1A"/>
          <w:sz w:val="20"/>
          <w:szCs w:val="20"/>
        </w:rPr>
        <w:t xml:space="preserve">Single-objective maximisation</w:t>
      </w:r>
      <w:r>
        <w:rPr>
          <w:rFonts w:ascii="Arial" w:cs="Arial" w:eastAsia="Arial" w:hAnsi="Arial"/>
          <w:color w:val="1A1A1A"/>
          <w:sz w:val="20"/>
          <w:szCs w:val="20"/>
        </w:rPr>
        <w:t xml:space="preserve"> of black-box functions with d in {2, 3, 4, 5, 6, 8} and one irreversible query per round.</w:t>
      </w:r>
    </w:p>
    <w:p>
      <w:pPr>
        <w:pStyle w:val="ListParagraph"/>
        <w:numPr>
          <w:ilvl w:val="0"/>
          <w:numId w:val="2"/>
        </w:numPr>
        <w:spacing w:after="5" w:before="5"/>
      </w:pPr>
      <w:r>
        <w:rPr>
          <w:rFonts w:ascii="Arial" w:cs="Arial" w:eastAsia="Arial" w:hAnsi="Arial"/>
          <w:b/>
          <w:bCs/>
          <w:color w:val="1A1A1A"/>
          <w:sz w:val="20"/>
          <w:szCs w:val="20"/>
        </w:rPr>
        <w:t xml:space="preserve">Small-n settings (n &lt; 50)</w:t>
      </w:r>
      <w:r>
        <w:rPr>
          <w:rFonts w:ascii="Arial" w:cs="Arial" w:eastAsia="Arial" w:hAnsi="Arial"/>
          <w:color w:val="1A1A1A"/>
          <w:sz w:val="20"/>
          <w:szCs w:val="20"/>
        </w:rPr>
        <w:t xml:space="preserve"> where GP uncertainty estimates are calibrated and LOO-CV surrogate selection is tractable.</w:t>
      </w:r>
    </w:p>
    <w:p>
      <w:pPr>
        <w:pStyle w:val="ListParagraph"/>
        <w:numPr>
          <w:ilvl w:val="0"/>
          <w:numId w:val="2"/>
        </w:numPr>
        <w:spacing w:after="5" w:before="5"/>
      </w:pPr>
      <w:r>
        <w:rPr>
          <w:rFonts w:ascii="Arial" w:cs="Arial" w:eastAsia="Arial" w:hAnsi="Arial"/>
          <w:b/>
          <w:bCs/>
          <w:color w:val="1A1A1A"/>
          <w:sz w:val="20"/>
          <w:szCs w:val="20"/>
        </w:rPr>
        <w:t xml:space="preserve">Late-stage convergence: </w:t>
      </w:r>
      <w:r>
        <w:rPr>
          <w:rFonts w:ascii="Arial" w:cs="Arial" w:eastAsia="Arial" w:hAnsi="Arial"/>
          <w:color w:val="1A1A1A"/>
          <w:sz w:val="20"/>
          <w:szCs w:val="20"/>
        </w:rPr>
        <w:t xml:space="preserve">GP Mean and EI xi=0 tuned for final-round pure exploitation when the surrogate is confident.</w:t>
      </w:r>
    </w:p>
    <w:p>
      <w:pPr>
        <w:pStyle w:val="Heading2"/>
        <w:spacing w:after="55" w:before="145"/>
      </w:pPr>
      <w:r>
        <w:rPr>
          <w:rFonts w:ascii="Arial" w:cs="Arial" w:eastAsia="Arial" w:hAnsi="Arial"/>
          <w:b/>
          <w:bCs/>
          <w:color w:val="2E75B6"/>
          <w:sz w:val="22"/>
          <w:szCs w:val="22"/>
        </w:rPr>
        <w:t xml:space="preserve">2.2  Use cases to avoid</w:t>
      </w:r>
    </w:p>
    <w:p>
      <w:pPr>
        <w:pStyle w:val="ListParagraph"/>
        <w:numPr>
          <w:ilvl w:val="0"/>
          <w:numId w:val="2"/>
        </w:numPr>
        <w:spacing w:after="5" w:before="5"/>
      </w:pPr>
      <w:r>
        <w:rPr>
          <w:rFonts w:ascii="Arial" w:cs="Arial" w:eastAsia="Arial" w:hAnsi="Arial"/>
          <w:b/>
          <w:bCs/>
          <w:color w:val="1A1A1A"/>
          <w:sz w:val="20"/>
          <w:szCs w:val="20"/>
        </w:rPr>
        <w:t xml:space="preserve">Noisy functions: </w:t>
      </w:r>
      <w:r>
        <w:rPr>
          <w:rFonts w:ascii="Arial" w:cs="Arial" w:eastAsia="Arial" w:hAnsi="Arial"/>
          <w:color w:val="1A1A1A"/>
          <w:sz w:val="20"/>
          <w:szCs w:val="20"/>
        </w:rPr>
        <w:t xml:space="preserve">current EI assumes noiseless evaluations; q-Log-EI from BoTorch required for noisy settings.</w:t>
      </w:r>
    </w:p>
    <w:p>
      <w:pPr>
        <w:pStyle w:val="ListParagraph"/>
        <w:numPr>
          <w:ilvl w:val="0"/>
          <w:numId w:val="2"/>
        </w:numPr>
        <w:spacing w:after="5" w:before="5"/>
      </w:pPr>
      <w:r>
        <w:rPr>
          <w:rFonts w:ascii="Arial" w:cs="Arial" w:eastAsia="Arial" w:hAnsi="Arial"/>
          <w:b/>
          <w:bCs/>
          <w:color w:val="1A1A1A"/>
          <w:sz w:val="20"/>
          <w:szCs w:val="20"/>
        </w:rPr>
        <w:t xml:space="preserve">Batch queries: </w:t>
      </w:r>
      <w:r>
        <w:rPr>
          <w:rFonts w:ascii="Arial" w:cs="Arial" w:eastAsia="Arial" w:hAnsi="Arial"/>
          <w:color w:val="1A1A1A"/>
          <w:sz w:val="20"/>
          <w:szCs w:val="20"/>
        </w:rPr>
        <w:t xml:space="preserve">pipeline generates one query per function per round; diversification strategy not implemented.</w:t>
      </w:r>
    </w:p>
    <w:p>
      <w:pPr>
        <w:pStyle w:val="ListParagraph"/>
        <w:numPr>
          <w:ilvl w:val="0"/>
          <w:numId w:val="2"/>
        </w:numPr>
        <w:spacing w:after="5" w:before="5"/>
      </w:pPr>
      <w:r>
        <w:rPr>
          <w:rFonts w:ascii="Arial" w:cs="Arial" w:eastAsia="Arial" w:hAnsi="Arial"/>
          <w:b/>
          <w:bCs/>
          <w:color w:val="1A1A1A"/>
          <w:sz w:val="20"/>
          <w:szCs w:val="20"/>
        </w:rPr>
        <w:t xml:space="preserve">Multi-modal functions: </w:t>
      </w:r>
      <w:r>
        <w:rPr>
          <w:rFonts w:ascii="Arial" w:cs="Arial" w:eastAsia="Arial" w:hAnsi="Arial"/>
          <w:color w:val="1A1A1A"/>
          <w:sz w:val="20"/>
          <w:szCs w:val="20"/>
        </w:rPr>
        <w:t xml:space="preserve">no global search phase before exploitation; a better basin outside the search radius will be missed.</w:t>
      </w:r>
    </w:p>
    <w:p>
      <w:pPr>
        <w:pStyle w:val="Heading1"/>
        <w:spacing w:after="75" w:before="200"/>
      </w:pPr>
      <w:r>
        <w:rPr>
          <w:rFonts w:ascii="Arial" w:cs="Arial" w:eastAsia="Arial" w:hAnsi="Arial"/>
          <w:b/>
          <w:bCs/>
          <w:color w:val="1F3864"/>
          <w:sz w:val="26"/>
          <w:szCs w:val="26"/>
        </w:rPr>
        <w:t xml:space="preserve">3.  Strategy Details Across Ten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2500"/>
        <w:gridCol w:w="5460"/>
      </w:tblGrid>
      <w:tr>
        <w:trPr>
          <w:tblHeader/>
        </w:trPr>
        <w:tc>
          <w:tcPr>
            <w:tcW w:type="dxa" w:w="7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Week</w:t>
            </w:r>
          </w:p>
        </w:tc>
        <w:tc>
          <w:tcPr>
            <w:tcW w:type="dxa" w:w="7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Gains</w:t>
            </w:r>
          </w:p>
        </w:tc>
        <w:tc>
          <w:tcPr>
            <w:tcW w:type="dxa" w:w="25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Method</w:t>
            </w:r>
          </w:p>
        </w:tc>
        <w:tc>
          <w:tcPr>
            <w:tcW w:type="dxa" w:w="546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Key Event</w:t>
            </w:r>
          </w:p>
        </w:tc>
      </w:tr>
      <w:tr>
        <w:tc>
          <w:tcPr>
            <w:tcW w:type="dxa" w:w="7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W1</w:t>
            </w:r>
          </w:p>
        </w:tc>
        <w:tc>
          <w:tcPr>
            <w:tcW w:type="dxa" w:w="7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4/8</w:t>
            </w:r>
          </w:p>
        </w:tc>
        <w:tc>
          <w:tcPr>
            <w:tcW w:type="dxa" w:w="25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UCB uniform</w:t>
            </w:r>
          </w:p>
        </w:tc>
        <w:tc>
          <w:tcPr>
            <w:tcW w:type="dxa" w:w="546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Broad initial sweep; high variance</w:t>
            </w:r>
          </w:p>
        </w:tc>
      </w:tr>
      <w:tr>
        <w:tc>
          <w:tcPr>
            <w:tcW w:type="dxa" w:w="7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W2</w:t>
            </w:r>
          </w:p>
        </w:tc>
        <w:tc>
          <w:tcPr>
            <w:tcW w:type="dxa" w:w="7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2/8</w:t>
            </w:r>
          </w:p>
        </w:tc>
        <w:tc>
          <w:tcPr>
            <w:tcW w:type="dxa" w:w="25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EI constrained</w:t>
            </w:r>
          </w:p>
        </w:tc>
        <w:tc>
          <w:tcPr>
            <w:tcW w:type="dxa" w:w="546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First per-function bounds</w:t>
            </w:r>
          </w:p>
        </w:tc>
      </w:tr>
      <w:tr>
        <w:tc>
          <w:tcPr>
            <w:tcW w:type="dxa" w:w="7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W3</w:t>
            </w:r>
          </w:p>
        </w:tc>
        <w:tc>
          <w:tcPr>
            <w:tcW w:type="dxa" w:w="7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3/8</w:t>
            </w:r>
          </w:p>
        </w:tc>
        <w:tc>
          <w:tcPr>
            <w:tcW w:type="dxa" w:w="25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EI multi-method</w:t>
            </w:r>
          </w:p>
        </w:tc>
        <w:tc>
          <w:tcPr>
            <w:tcW w:type="dxa" w:w="546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Thompson sampling (F8)</w:t>
            </w:r>
          </w:p>
        </w:tc>
      </w:tr>
      <w:tr>
        <w:tc>
          <w:tcPr>
            <w:tcW w:type="dxa" w:w="7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W4</w:t>
            </w:r>
          </w:p>
        </w:tc>
        <w:tc>
          <w:tcPr>
            <w:tcW w:type="dxa" w:w="7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4/8</w:t>
            </w:r>
          </w:p>
        </w:tc>
        <w:tc>
          <w:tcPr>
            <w:tcW w:type="dxa" w:w="25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EI anchored</w:t>
            </w:r>
          </w:p>
        </w:tc>
        <w:tc>
          <w:tcPr>
            <w:tcW w:type="dxa" w:w="546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Anchor-to-ATB rule introduced</w:t>
            </w:r>
          </w:p>
        </w:tc>
      </w:tr>
      <w:tr>
        <w:tc>
          <w:tcPr>
            <w:tcW w:type="dxa" w:w="7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W5</w:t>
            </w:r>
          </w:p>
        </w:tc>
        <w:tc>
          <w:tcPr>
            <w:tcW w:type="dxa" w:w="7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2/8</w:t>
            </w:r>
          </w:p>
        </w:tc>
        <w:tc>
          <w:tcPr>
            <w:tcW w:type="dxa" w:w="25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EI LOO-CV</w:t>
            </w:r>
          </w:p>
        </w:tc>
        <w:tc>
          <w:tcPr>
            <w:tcW w:type="dxa" w:w="546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LOO-CV surrogate selection added</w:t>
            </w:r>
          </w:p>
        </w:tc>
      </w:tr>
      <w:tr>
        <w:tc>
          <w:tcPr>
            <w:tcW w:type="dxa" w:w="7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W6</w:t>
            </w:r>
          </w:p>
        </w:tc>
        <w:tc>
          <w:tcPr>
            <w:tcW w:type="dxa" w:w="7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2/8</w:t>
            </w:r>
          </w:p>
        </w:tc>
        <w:tc>
          <w:tcPr>
            <w:tcW w:type="dxa" w:w="25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 DKL + MC Drop</w:t>
            </w:r>
          </w:p>
        </w:tc>
        <w:tc>
          <w:tcPr>
            <w:tcW w:type="dxa" w:w="546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DKL found F5 dim1-near-zero (+507)</w:t>
            </w:r>
          </w:p>
        </w:tc>
      </w:tr>
      <w:tr>
        <w:tc>
          <w:tcPr>
            <w:tcW w:type="dxa" w:w="7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W7</w:t>
            </w:r>
          </w:p>
        </w:tc>
        <w:tc>
          <w:tcPr>
            <w:tcW w:type="dxa" w:w="7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3/8</w:t>
            </w:r>
          </w:p>
        </w:tc>
        <w:tc>
          <w:tcPr>
            <w:tcW w:type="dxa" w:w="25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ARD kernels + ZoMBI</w:t>
            </w:r>
          </w:p>
        </w:tc>
        <w:tc>
          <w:tcPr>
            <w:tcW w:type="dxa" w:w="546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Colleague ARD suggestion applied</w:t>
            </w:r>
          </w:p>
        </w:tc>
      </w:tr>
      <w:tr>
        <w:tc>
          <w:tcPr>
            <w:tcW w:type="dxa" w:w="7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W8</w:t>
            </w:r>
          </w:p>
        </w:tc>
        <w:tc>
          <w:tcPr>
            <w:tcW w:type="dxa" w:w="7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5/8</w:t>
            </w:r>
          </w:p>
        </w:tc>
        <w:tc>
          <w:tcPr>
            <w:tcW w:type="dxa" w:w="25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ARD Matern + GP Mean</w:t>
            </w:r>
          </w:p>
        </w:tc>
        <w:tc>
          <w:tcPr>
            <w:tcW w:type="dxa" w:w="546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Best round: ZoMBI F1 breakthrough</w:t>
            </w:r>
          </w:p>
        </w:tc>
      </w:tr>
      <w:tr>
        <w:tc>
          <w:tcPr>
            <w:tcW w:type="dxa" w:w="7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W9</w:t>
            </w:r>
          </w:p>
        </w:tc>
        <w:tc>
          <w:tcPr>
            <w:tcW w:type="dxa" w:w="7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4/8</w:t>
            </w:r>
          </w:p>
        </w:tc>
        <w:tc>
          <w:tcPr>
            <w:tcW w:type="dxa" w:w="25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Mean tight</w:t>
            </w:r>
          </w:p>
        </w:tc>
        <w:tc>
          <w:tcPr>
            <w:tcW w:type="dxa" w:w="546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F3, F5, F7 new ATBs</w:t>
            </w:r>
          </w:p>
        </w:tc>
      </w:tr>
      <w:tr>
        <w:tc>
          <w:tcPr>
            <w:tcW w:type="dxa" w:w="7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W10</w:t>
            </w:r>
          </w:p>
        </w:tc>
        <w:tc>
          <w:tcPr>
            <w:tcW w:type="dxa" w:w="7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TBD</w:t>
            </w:r>
          </w:p>
        </w:tc>
        <w:tc>
          <w:tcPr>
            <w:tcW w:type="dxa" w:w="25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LS Ensemble + micro-bounds</w:t>
            </w:r>
          </w:p>
        </w:tc>
        <w:tc>
          <w:tcPr>
            <w:tcW w:type="dxa" w:w="546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Final round</w:t>
            </w:r>
          </w:p>
        </w:tc>
      </w:tr>
    </w:tbl>
    <w:p>
      <w:pPr>
        <w:spacing w:after="0" w:before="70"/>
      </w:pPr>
    </w:p>
    <w:p>
      <w:pPr>
        <w:pStyle w:val="Heading2"/>
        <w:spacing w:after="55" w:before="145"/>
      </w:pPr>
      <w:r>
        <w:rPr>
          <w:rFonts w:ascii="Arial" w:cs="Arial" w:eastAsia="Arial" w:hAnsi="Arial"/>
          <w:b/>
          <w:bCs/>
          <w:color w:val="2E75B6"/>
          <w:sz w:val="22"/>
          <w:szCs w:val="22"/>
        </w:rPr>
        <w:t xml:space="preserve">3.1  Surrogate architectures</w:t>
      </w:r>
    </w:p>
    <w:p>
      <w:pPr>
        <w:spacing w:after="70" w:before="12"/>
      </w:pPr>
      <w:r>
        <w:rPr>
          <w:rFonts w:ascii="Arial" w:cs="Arial" w:eastAsia="Arial" w:hAnsi="Arial"/>
          <w:b/>
          <w:bCs/>
          <w:color w:val="1A1A1A"/>
          <w:sz w:val="20"/>
          <w:szCs w:val="20"/>
        </w:rPr>
        <w:t xml:space="preserve">GP ARD-Matern-5/2 (default W8+): </w:t>
      </w:r>
      <w:r>
        <w:rPr>
          <w:rFonts w:ascii="Arial" w:cs="Arial" w:eastAsia="Arial" w:hAnsi="Arial"/>
          <w:color w:val="1A1A1A"/>
          <w:sz w:val="20"/>
          <w:szCs w:val="20"/>
        </w:rPr>
        <w:t xml:space="preserve">sklearn GaussianProcessRegressor, ConstantKernel x Matern(nu=2.5, ARD) + WhiteKernel, Y standardised, ls_init=sqrt(d)/10, n_restarts=15, random_state=42.</w:t>
      </w:r>
    </w:p>
    <w:p>
      <w:pPr>
        <w:spacing w:after="70" w:before="12"/>
      </w:pPr>
      <w:r>
        <w:rPr>
          <w:rFonts w:ascii="Arial" w:cs="Arial" w:eastAsia="Arial" w:hAnsi="Arial"/>
          <w:b/>
          <w:bCs/>
          <w:color w:val="1A1A1A"/>
          <w:sz w:val="20"/>
          <w:szCs w:val="20"/>
        </w:rPr>
        <w:t xml:space="preserve">MC Dropout MLP (Gal and Ghahramani 2016): </w:t>
      </w:r>
      <w:r>
        <w:rPr>
          <w:rFonts w:ascii="Arial" w:cs="Arial" w:eastAsia="Arial" w:hAnsi="Arial"/>
          <w:color w:val="1A1A1A"/>
          <w:sz w:val="20"/>
          <w:szCs w:val="20"/>
        </w:rPr>
        <w:t xml:space="preserve">Input(d)-&gt;Lin(max(32,8d))-&gt;ReLU-&gt;Drop(0.1)-&gt;Lin(max(16,4d))-&gt;ReLU-&gt;Drop(0.1)-&gt;Lin(1). T=50 stochastic forward passes for uncertainty estimation.</w:t>
      </w:r>
    </w:p>
    <w:p>
      <w:pPr>
        <w:spacing w:after="70" w:before="12"/>
      </w:pPr>
      <w:r>
        <w:rPr>
          <w:rFonts w:ascii="Arial" w:cs="Arial" w:eastAsia="Arial" w:hAnsi="Arial"/>
          <w:b/>
          <w:bCs/>
          <w:color w:val="1A1A1A"/>
          <w:sz w:val="20"/>
          <w:szCs w:val="20"/>
        </w:rPr>
        <w:t xml:space="preserve">Deep Kernel Learning (Wilson et al. 2016): </w:t>
      </w:r>
      <w:r>
        <w:rPr>
          <w:rFonts w:ascii="Arial" w:cs="Arial" w:eastAsia="Arial" w:hAnsi="Arial"/>
          <w:color w:val="1A1A1A"/>
          <w:sz w:val="20"/>
          <w:szCs w:val="20"/>
        </w:rPr>
        <w:t xml:space="preserve">NN feature extractor Input(d)-&gt;Lin(max(16,4d))-&gt;ReLU-&gt;Lin(2) jointly trained with a GPyTorch exact GP. Discovered F5 dim1-near-zero region in Week 6.</w:t>
      </w:r>
    </w:p>
    <w:p>
      <w:pPr>
        <w:spacing w:after="70" w:before="12"/>
      </w:pPr>
      <w:r>
        <w:rPr>
          <w:rFonts w:ascii="Arial" w:cs="Arial" w:eastAsia="Arial" w:hAnsi="Arial"/>
          <w:b/>
          <w:bCs/>
          <w:color w:val="1A1A1A"/>
          <w:sz w:val="20"/>
          <w:szCs w:val="20"/>
        </w:rPr>
        <w:t xml:space="preserve">Length scale ensemble (arXiv LB-BO 2025): </w:t>
      </w:r>
      <w:r>
        <w:rPr>
          <w:rFonts w:ascii="Arial" w:cs="Arial" w:eastAsia="Arial" w:hAnsi="Arial"/>
          <w:color w:val="1A1A1A"/>
          <w:sz w:val="20"/>
          <w:szCs w:val="20"/>
        </w:rPr>
        <w:t xml:space="preserve">Five GPs with fixed ls in {0.01, 0.05, 0.1, 0.5, 1.0}; EI averaged across the ensemble. Applied to F4 in Week 10 to target a sharp peak missed for eight rounds.</w:t>
      </w:r>
    </w:p>
    <w:p>
      <w:pPr>
        <w:pStyle w:val="Heading2"/>
        <w:spacing w:after="55" w:before="145"/>
      </w:pPr>
      <w:r>
        <w:rPr>
          <w:rFonts w:ascii="Arial" w:cs="Arial" w:eastAsia="Arial" w:hAnsi="Arial"/>
          <w:b/>
          <w:bCs/>
          <w:color w:val="2E75B6"/>
          <w:sz w:val="22"/>
          <w:szCs w:val="22"/>
        </w:rPr>
        <w:t xml:space="preserve">3.2  Key design decisions</w:t>
      </w:r>
    </w:p>
    <w:p>
      <w:pPr>
        <w:pStyle w:val="ListParagraph"/>
        <w:numPr>
          <w:ilvl w:val="0"/>
          <w:numId w:val="2"/>
        </w:numPr>
        <w:spacing w:after="5" w:before="5"/>
      </w:pPr>
      <w:r>
        <w:rPr>
          <w:rFonts w:ascii="Arial" w:cs="Arial" w:eastAsia="Arial" w:hAnsi="Arial"/>
          <w:b/>
          <w:bCs/>
          <w:color w:val="1A1A1A"/>
          <w:sz w:val="20"/>
          <w:szCs w:val="20"/>
        </w:rPr>
        <w:t xml:space="preserve">Anchor-to-ATB rule (W5+): </w:t>
      </w:r>
      <w:r>
        <w:rPr>
          <w:rFonts w:ascii="Arial" w:cs="Arial" w:eastAsia="Arial" w:hAnsi="Arial"/>
          <w:color w:val="1A1A1A"/>
          <w:sz w:val="20"/>
          <w:szCs w:val="20"/>
        </w:rPr>
        <w:t xml:space="preserve">all search bounds anchored to the confirmed all-time best input, not the most recent query. Every violation caused a decline.</w:t>
      </w:r>
    </w:p>
    <w:p>
      <w:pPr>
        <w:pStyle w:val="ListParagraph"/>
        <w:numPr>
          <w:ilvl w:val="0"/>
          <w:numId w:val="2"/>
        </w:numPr>
        <w:spacing w:after="5" w:before="5"/>
      </w:pPr>
      <w:r>
        <w:rPr>
          <w:rFonts w:ascii="Arial" w:cs="Arial" w:eastAsia="Arial" w:hAnsi="Arial"/>
          <w:b/>
          <w:bCs/>
          <w:color w:val="1A1A1A"/>
          <w:sz w:val="20"/>
          <w:szCs w:val="20"/>
        </w:rPr>
        <w:t xml:space="preserve">LOO-CV surrogate selection (W5+): </w:t>
      </w:r>
      <w:r>
        <w:rPr>
          <w:rFonts w:ascii="Arial" w:cs="Arial" w:eastAsia="Arial" w:hAnsi="Arial"/>
          <w:color w:val="1A1A1A"/>
          <w:sz w:val="20"/>
          <w:szCs w:val="20"/>
        </w:rPr>
        <w:t xml:space="preserve">per-function surrogate chosen by lowest LOO-CV RMSE among four options each week.</w:t>
      </w:r>
    </w:p>
    <w:p>
      <w:pPr>
        <w:pStyle w:val="ListParagraph"/>
        <w:numPr>
          <w:ilvl w:val="0"/>
          <w:numId w:val="2"/>
        </w:numPr>
        <w:spacing w:after="5" w:before="5"/>
      </w:pPr>
      <w:r>
        <w:rPr>
          <w:rFonts w:ascii="Arial" w:cs="Arial" w:eastAsia="Arial" w:hAnsi="Arial"/>
          <w:b/>
          <w:bCs/>
          <w:color w:val="1A1A1A"/>
          <w:sz w:val="20"/>
          <w:szCs w:val="20"/>
        </w:rPr>
        <w:t xml:space="preserve">Colleague suggestions adopted (W8): </w:t>
      </w:r>
      <w:r>
        <w:rPr>
          <w:rFonts w:ascii="Arial" w:cs="Arial" w:eastAsia="Arial" w:hAnsi="Arial"/>
          <w:color w:val="1A1A1A"/>
          <w:sz w:val="20"/>
          <w:szCs w:val="20"/>
        </w:rPr>
        <w:t xml:space="preserve">ARD kernels replacing isotropic RBF; Y scaling on GP; Matern replacing RBF as default kernel.</w:t>
      </w:r>
    </w:p>
    <w:p>
      <w:pPr>
        <w:pStyle w:val="ListParagraph"/>
        <w:numPr>
          <w:ilvl w:val="0"/>
          <w:numId w:val="2"/>
        </w:numPr>
        <w:spacing w:after="5" w:before="5"/>
      </w:pPr>
      <w:r>
        <w:rPr>
          <w:rFonts w:ascii="Arial" w:cs="Arial" w:eastAsia="Arial" w:hAnsi="Arial"/>
          <w:b/>
          <w:bCs/>
          <w:color w:val="1A1A1A"/>
          <w:sz w:val="20"/>
          <w:szCs w:val="20"/>
        </w:rPr>
        <w:t xml:space="preserve">Pinned ZoMBI (W9-W10): </w:t>
      </w:r>
      <w:r>
        <w:rPr>
          <w:rFonts w:ascii="Arial" w:cs="Arial" w:eastAsia="Arial" w:hAnsi="Arial"/>
          <w:color w:val="1A1A1A"/>
          <w:sz w:val="20"/>
          <w:szCs w:val="20"/>
        </w:rPr>
        <w:t xml:space="preserve">W2 best input forced into ZoMBI memory for F4 to prevent the confirmed sharp peak from being pruned.</w:t>
      </w:r>
    </w:p>
    <w:p>
      <w:pPr>
        <w:pStyle w:val="Heading1"/>
        <w:spacing w:after="75" w:before="200"/>
      </w:pPr>
      <w:r>
        <w:rPr>
          <w:rFonts w:ascii="Arial" w:cs="Arial" w:eastAsia="Arial" w:hAnsi="Arial"/>
          <w:b/>
          <w:bCs/>
          <w:color w:val="1F3864"/>
          <w:sz w:val="26"/>
          <w:szCs w:val="26"/>
        </w:rPr>
        <w:t xml:space="preserve">4.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20"/>
        <w:gridCol w:w="840"/>
        <w:gridCol w:w="840"/>
        <w:gridCol w:w="600"/>
        <w:gridCol w:w="1800"/>
        <w:gridCol w:w="840"/>
        <w:gridCol w:w="840"/>
      </w:tblGrid>
      <w:tr>
        <w:trPr>
          <w:tblHeader/>
        </w:trPr>
        <w:tc>
          <w:tcPr>
            <w:tcW w:type="dxa" w:w="48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Fn</w:t>
            </w:r>
          </w:p>
        </w:tc>
        <w:tc>
          <w:tcPr>
            <w:tcW w:type="dxa" w:w="42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Dim</w:t>
            </w:r>
          </w:p>
        </w:tc>
        <w:tc>
          <w:tcPr>
            <w:tcW w:type="dxa" w:w="84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Initial</w:t>
            </w:r>
          </w:p>
        </w:tc>
        <w:tc>
          <w:tcPr>
            <w:tcW w:type="dxa" w:w="84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ATB</w:t>
            </w:r>
          </w:p>
        </w:tc>
        <w:tc>
          <w:tcPr>
            <w:tcW w:type="dxa" w:w="6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ATB Wk</w:t>
            </w:r>
          </w:p>
        </w:tc>
        <w:tc>
          <w:tcPr>
            <w:tcW w:type="dxa" w:w="180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Key Methods</w:t>
            </w:r>
          </w:p>
        </w:tc>
        <w:tc>
          <w:tcPr>
            <w:tcW w:type="dxa" w:w="84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Unresolved</w:t>
            </w:r>
          </w:p>
        </w:tc>
        <w:tc>
          <w:tcPr>
            <w:tcW w:type="dxa" w:w="840"/>
            <w:tcBorders>
              <w:top w:val="single" w:color="CCCCDD" w:sz="1"/>
              <w:left w:val="single" w:color="CCCCDD" w:sz="1"/>
              <w:bottom w:val="single" w:color="CCCCDD" w:sz="1"/>
              <w:right w:val="single" w:color="CCCCDD" w:sz="1"/>
            </w:tcBorders>
            <w:shd w:fill="1F3864" w:val="clear"/>
            <w:tcMar>
              <w:top w:type="dxa" w:w="55"/>
              <w:left w:type="dxa" w:w="85"/>
              <w:bottom w:type="dxa" w:w="55"/>
              <w:right w:type="dxa" w:w="85"/>
            </w:tcMar>
          </w:tcPr>
          <w:p>
            <w:pPr>
              <w:jc w:val="left"/>
            </w:pPr>
            <w:r>
              <w:rPr>
                <w:rFonts w:ascii="Arial" w:cs="Arial" w:eastAsia="Arial" w:hAnsi="Arial"/>
                <w:b/>
                <w:bCs/>
                <w:color w:val="FFFFFF"/>
                <w:sz w:val="19"/>
                <w:szCs w:val="19"/>
              </w:rPr>
              <w:t xml:space="preserve">Gains</w:t>
            </w:r>
          </w:p>
        </w:tc>
      </w:tr>
      <w:tr>
        <w:tc>
          <w:tcPr>
            <w:tcW w:type="dxa" w:w="48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bCs/>
                <w:color w:val="1F3864"/>
                <w:sz w:val="19"/>
                <w:szCs w:val="19"/>
              </w:rPr>
              <w:t xml:space="preserve">F1</w:t>
            </w:r>
          </w:p>
        </w:tc>
        <w:tc>
          <w:tcPr>
            <w:tcW w:type="dxa" w:w="42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2D</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7.71e-16</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7.62e-9</w:t>
            </w:r>
          </w:p>
        </w:tc>
        <w:tc>
          <w:tcPr>
            <w:tcW w:type="dxa" w:w="6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W9</w:t>
            </w:r>
          </w:p>
        </w:tc>
        <w:tc>
          <w:tcPr>
            <w:tcW w:type="dxa" w:w="18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ZoMBI, GP Mean</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No</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9</w:t>
            </w:r>
          </w:p>
        </w:tc>
      </w:tr>
      <w:tr>
        <w:tc>
          <w:tcPr>
            <w:tcW w:type="dxa" w:w="48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bCs/>
                <w:color w:val="1F3864"/>
                <w:sz w:val="19"/>
                <w:szCs w:val="19"/>
              </w:rPr>
              <w:t xml:space="preserve">F2</w:t>
            </w:r>
          </w:p>
        </w:tc>
        <w:tc>
          <w:tcPr>
            <w:tcW w:type="dxa" w:w="42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2D</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0.611</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0.764</w:t>
            </w:r>
          </w:p>
        </w:tc>
        <w:tc>
          <w:tcPr>
            <w:tcW w:type="dxa" w:w="6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W8</w:t>
            </w:r>
          </w:p>
        </w:tc>
        <w:tc>
          <w:tcPr>
            <w:tcW w:type="dxa" w:w="18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DKL, GP Mean</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No</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8</w:t>
            </w:r>
          </w:p>
        </w:tc>
      </w:tr>
      <w:tr>
        <w:tc>
          <w:tcPr>
            <w:tcW w:type="dxa" w:w="48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bCs/>
                <w:color w:val="1F3864"/>
                <w:sz w:val="19"/>
                <w:szCs w:val="19"/>
              </w:rPr>
              <w:t xml:space="preserve">F3</w:t>
            </w:r>
          </w:p>
        </w:tc>
        <w:tc>
          <w:tcPr>
            <w:tcW w:type="dxa" w:w="42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3D</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-0.035</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-5.1e-4</w:t>
            </w:r>
          </w:p>
        </w:tc>
        <w:tc>
          <w:tcPr>
            <w:tcW w:type="dxa" w:w="6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W9</w:t>
            </w:r>
          </w:p>
        </w:tc>
        <w:tc>
          <w:tcPr>
            <w:tcW w:type="dxa" w:w="18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MC Drop, GP Mean</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No</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7</w:t>
            </w:r>
          </w:p>
        </w:tc>
      </w:tr>
      <w:tr>
        <w:tc>
          <w:tcPr>
            <w:tcW w:type="dxa" w:w="48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bCs/>
                <w:color w:val="1F3864"/>
                <w:sz w:val="19"/>
                <w:szCs w:val="19"/>
              </w:rPr>
              <w:t xml:space="preserve">F4</w:t>
            </w:r>
          </w:p>
        </w:tc>
        <w:tc>
          <w:tcPr>
            <w:tcW w:type="dxa" w:w="42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4D</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-4.026</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0.534</w:t>
            </w:r>
          </w:p>
        </w:tc>
        <w:tc>
          <w:tcPr>
            <w:tcW w:type="dxa" w:w="6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W2</w:t>
            </w:r>
          </w:p>
        </w:tc>
        <w:tc>
          <w:tcPr>
            <w:tcW w:type="dxa" w:w="18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ZoMBI, LS Ensemble</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Yes</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1</w:t>
            </w:r>
          </w:p>
        </w:tc>
      </w:tr>
      <w:tr>
        <w:tc>
          <w:tcPr>
            <w:tcW w:type="dxa" w:w="48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bCs/>
                <w:color w:val="1F3864"/>
                <w:sz w:val="19"/>
                <w:szCs w:val="19"/>
              </w:rPr>
              <w:t xml:space="preserve">F5</w:t>
            </w:r>
          </w:p>
        </w:tc>
        <w:tc>
          <w:tcPr>
            <w:tcW w:type="dxa" w:w="42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4D</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1089</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4440</w:t>
            </w:r>
          </w:p>
        </w:tc>
        <w:tc>
          <w:tcPr>
            <w:tcW w:type="dxa" w:w="6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W9</w:t>
            </w:r>
          </w:p>
        </w:tc>
        <w:tc>
          <w:tcPr>
            <w:tcW w:type="dxa" w:w="18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DKL, GP Mean</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No</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6</w:t>
            </w:r>
          </w:p>
        </w:tc>
      </w:tr>
      <w:tr>
        <w:tc>
          <w:tcPr>
            <w:tcW w:type="dxa" w:w="48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bCs/>
                <w:color w:val="1F3864"/>
                <w:sz w:val="19"/>
                <w:szCs w:val="19"/>
              </w:rPr>
              <w:t xml:space="preserve">F6</w:t>
            </w:r>
          </w:p>
        </w:tc>
        <w:tc>
          <w:tcPr>
            <w:tcW w:type="dxa" w:w="42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5D</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-0.714</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-0.680</w:t>
            </w:r>
          </w:p>
        </w:tc>
        <w:tc>
          <w:tcPr>
            <w:tcW w:type="dxa" w:w="6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W4</w:t>
            </w:r>
          </w:p>
        </w:tc>
        <w:tc>
          <w:tcPr>
            <w:tcW w:type="dxa" w:w="18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Grid</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Yes</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3</w:t>
            </w:r>
          </w:p>
        </w:tc>
      </w:tr>
      <w:tr>
        <w:tc>
          <w:tcPr>
            <w:tcW w:type="dxa" w:w="48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bCs/>
                <w:color w:val="1F3864"/>
                <w:sz w:val="19"/>
                <w:szCs w:val="19"/>
              </w:rPr>
              <w:t xml:space="preserve">F7</w:t>
            </w:r>
          </w:p>
        </w:tc>
        <w:tc>
          <w:tcPr>
            <w:tcW w:type="dxa" w:w="42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6D</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1.365</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2.747</w:t>
            </w:r>
          </w:p>
        </w:tc>
        <w:tc>
          <w:tcPr>
            <w:tcW w:type="dxa" w:w="6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W9</w:t>
            </w:r>
          </w:p>
        </w:tc>
        <w:tc>
          <w:tcPr>
            <w:tcW w:type="dxa" w:w="180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GP Mean</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No</w:t>
            </w:r>
          </w:p>
        </w:tc>
        <w:tc>
          <w:tcPr>
            <w:tcW w:type="dxa" w:w="840"/>
            <w:tcBorders>
              <w:top w:val="single" w:color="CCCCDD" w:sz="1"/>
              <w:left w:val="single" w:color="CCCCDD" w:sz="1"/>
              <w:bottom w:val="single" w:color="CCCCDD" w:sz="1"/>
              <w:right w:val="single" w:color="CCCCDD" w:sz="1"/>
            </w:tcBorders>
            <w:shd w:fill="FFFFFF"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6</w:t>
            </w:r>
          </w:p>
        </w:tc>
      </w:tr>
      <w:tr>
        <w:tc>
          <w:tcPr>
            <w:tcW w:type="dxa" w:w="48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bCs/>
                <w:color w:val="1F3864"/>
                <w:sz w:val="19"/>
                <w:szCs w:val="19"/>
              </w:rPr>
              <w:t xml:space="preserve">F8</w:t>
            </w:r>
          </w:p>
        </w:tc>
        <w:tc>
          <w:tcPr>
            <w:tcW w:type="dxa" w:w="42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8D</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9.598</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9.996</w:t>
            </w:r>
          </w:p>
        </w:tc>
        <w:tc>
          <w:tcPr>
            <w:tcW w:type="dxa" w:w="6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W7</w:t>
            </w:r>
          </w:p>
        </w:tc>
        <w:tc>
          <w:tcPr>
            <w:tcW w:type="dxa" w:w="180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GP, UCB, EI xi=0</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No</w:t>
            </w:r>
          </w:p>
        </w:tc>
        <w:tc>
          <w:tcPr>
            <w:tcW w:type="dxa" w:w="840"/>
            <w:tcBorders>
              <w:top w:val="single" w:color="CCCCDD" w:sz="1"/>
              <w:left w:val="single" w:color="CCCCDD" w:sz="1"/>
              <w:bottom w:val="single" w:color="CCCCDD" w:sz="1"/>
              <w:right w:val="single" w:color="CCCCDD" w:sz="1"/>
            </w:tcBorders>
            <w:shd w:fill="EEF4FB" w:val="clear"/>
            <w:tcMar>
              <w:top w:type="dxa" w:w="55"/>
              <w:left w:type="dxa" w:w="85"/>
              <w:bottom w:type="dxa" w:w="55"/>
              <w:right w:type="dxa" w:w="85"/>
            </w:tcMar>
          </w:tcPr>
          <w:p>
            <w:pPr>
              <w:jc w:val="left"/>
            </w:pPr>
            <w:r>
              <w:rPr>
                <w:rFonts w:ascii="Arial" w:cs="Arial" w:eastAsia="Arial" w:hAnsi="Arial"/>
                <w:b w:val="false"/>
                <w:bCs w:val="false"/>
                <w:color w:val="1A1A1A"/>
                <w:sz w:val="19"/>
                <w:szCs w:val="19"/>
              </w:rPr>
              <w:t xml:space="preserve">3</w:t>
            </w:r>
          </w:p>
        </w:tc>
      </w:tr>
    </w:tbl>
    <w:p>
      <w:pPr>
        <w:spacing w:after="0" w:before="65"/>
      </w:pPr>
    </w:p>
    <w:p>
      <w:pPr>
        <w:pStyle w:val="Heading2"/>
        <w:spacing w:after="55" w:before="145"/>
      </w:pPr>
      <w:r>
        <w:rPr>
          <w:rFonts w:ascii="Arial" w:cs="Arial" w:eastAsia="Arial" w:hAnsi="Arial"/>
          <w:b/>
          <w:bCs/>
          <w:color w:val="2E75B6"/>
          <w:sz w:val="22"/>
          <w:szCs w:val="22"/>
        </w:rPr>
        <w:t xml:space="preserve">4.1  Metrics</w:t>
      </w:r>
    </w:p>
    <w:p>
      <w:pPr>
        <w:pStyle w:val="ListParagraph"/>
        <w:numPr>
          <w:ilvl w:val="0"/>
          <w:numId w:val="2"/>
        </w:numPr>
        <w:spacing w:after="5" w:before="5"/>
      </w:pPr>
      <w:r>
        <w:rPr>
          <w:rFonts w:ascii="Arial" w:cs="Arial" w:eastAsia="Arial" w:hAnsi="Arial"/>
          <w:b/>
          <w:bCs/>
          <w:color w:val="1A1A1A"/>
          <w:sz w:val="20"/>
          <w:szCs w:val="20"/>
        </w:rPr>
        <w:t xml:space="preserve">Primary: </w:t>
      </w:r>
      <w:r>
        <w:rPr>
          <w:rFonts w:ascii="Arial" w:cs="Arial" w:eastAsia="Arial" w:hAnsi="Arial"/>
          <w:color w:val="1A1A1A"/>
          <w:sz w:val="20"/>
          <w:szCs w:val="20"/>
        </w:rPr>
        <w:t xml:space="preserve">all-time best output value per function (maximisation objective).</w:t>
      </w:r>
    </w:p>
    <w:p>
      <w:pPr>
        <w:pStyle w:val="ListParagraph"/>
        <w:numPr>
          <w:ilvl w:val="0"/>
          <w:numId w:val="2"/>
        </w:numPr>
        <w:spacing w:after="5" w:before="5"/>
      </w:pPr>
      <w:r>
        <w:rPr>
          <w:rFonts w:ascii="Arial" w:cs="Arial" w:eastAsia="Arial" w:hAnsi="Arial"/>
          <w:b/>
          <w:bCs/>
          <w:color w:val="1A1A1A"/>
          <w:sz w:val="20"/>
          <w:szCs w:val="20"/>
        </w:rPr>
        <w:t xml:space="preserve">LOO-CV RMSE: </w:t>
      </w:r>
      <w:r>
        <w:rPr>
          <w:rFonts w:ascii="Arial" w:cs="Arial" w:eastAsia="Arial" w:hAnsi="Arial"/>
          <w:color w:val="1A1A1A"/>
          <w:sz w:val="20"/>
          <w:szCs w:val="20"/>
        </w:rPr>
        <w:t xml:space="preserve">per-round surrogate selection; printed in model cards at the end of each notebook.</w:t>
      </w:r>
    </w:p>
    <w:p>
      <w:pPr>
        <w:pStyle w:val="ListParagraph"/>
        <w:numPr>
          <w:ilvl w:val="0"/>
          <w:numId w:val="2"/>
        </w:numPr>
        <w:spacing w:after="5" w:before="5"/>
      </w:pPr>
      <w:r>
        <w:rPr>
          <w:rFonts w:ascii="Arial" w:cs="Arial" w:eastAsia="Arial" w:hAnsi="Arial"/>
          <w:b/>
          <w:bCs/>
          <w:color w:val="1A1A1A"/>
          <w:sz w:val="20"/>
          <w:szCs w:val="20"/>
        </w:rPr>
        <w:t xml:space="preserve">L2 distance from ATB input: </w:t>
      </w:r>
      <w:r>
        <w:rPr>
          <w:rFonts w:ascii="Arial" w:cs="Arial" w:eastAsia="Arial" w:hAnsi="Arial"/>
          <w:color w:val="1A1A1A"/>
          <w:sz w:val="20"/>
          <w:szCs w:val="20"/>
        </w:rPr>
        <w:t xml:space="preserve">query drift diagnostic; consistent predictor of decline when this exceeded 0.10.</w:t>
      </w:r>
    </w:p>
    <w:p>
      <w:pPr>
        <w:pStyle w:val="ListParagraph"/>
        <w:numPr>
          <w:ilvl w:val="0"/>
          <w:numId w:val="2"/>
        </w:numPr>
        <w:spacing w:after="5" w:before="5"/>
      </w:pPr>
      <w:r>
        <w:rPr>
          <w:rFonts w:ascii="Arial" w:cs="Arial" w:eastAsia="Arial" w:hAnsi="Arial"/>
          <w:b/>
          <w:bCs/>
          <w:color w:val="1A1A1A"/>
          <w:sz w:val="20"/>
          <w:szCs w:val="20"/>
        </w:rPr>
        <w:t xml:space="preserve">Gains per round: </w:t>
      </w:r>
      <w:r>
        <w:rPr>
          <w:rFonts w:ascii="Arial" w:cs="Arial" w:eastAsia="Arial" w:hAnsi="Arial"/>
          <w:color w:val="1A1A1A"/>
          <w:sz w:val="20"/>
          <w:szCs w:val="20"/>
        </w:rPr>
        <w:t xml:space="preserve">functions setting a new all-time best; ranged from 2/8 (W5, W6) to 5/8 (W8).</w:t>
      </w:r>
    </w:p>
    <w:p>
      <w:pPr>
        <w:pStyle w:val="Heading1"/>
        <w:spacing w:after="75" w:before="200"/>
      </w:pPr>
      <w:r>
        <w:rPr>
          <w:rFonts w:ascii="Arial" w:cs="Arial" w:eastAsia="Arial" w:hAnsi="Arial"/>
          <w:b/>
          <w:bCs/>
          <w:color w:val="1F3864"/>
          <w:sz w:val="26"/>
          <w:szCs w:val="26"/>
        </w:rPr>
        <w:t xml:space="preserve">5.  Assumptions and Limitations</w:t>
      </w:r>
    </w:p>
    <w:p>
      <w:pPr>
        <w:spacing w:after="70" w:before="12"/>
      </w:pPr>
      <w:r>
        <w:rPr>
          <w:rFonts w:ascii="Arial" w:cs="Arial" w:eastAsia="Arial" w:hAnsi="Arial"/>
          <w:b/>
          <w:bCs/>
          <w:color w:val="1A1A1A"/>
          <w:sz w:val="20"/>
          <w:szCs w:val="20"/>
        </w:rPr>
        <w:t xml:space="preserve">Proximity assumption: </w:t>
      </w:r>
      <w:r>
        <w:rPr>
          <w:rFonts w:ascii="Arial" w:cs="Arial" w:eastAsia="Arial" w:hAnsi="Arial"/>
          <w:color w:val="1A1A1A"/>
          <w:sz w:val="20"/>
          <w:szCs w:val="20"/>
        </w:rPr>
        <w:t xml:space="preserve">the optimum lies near the confirmed best input. Justified by the data but risks missing a better basin in unexplored regions. Trapped F4 for eight rounds.</w:t>
      </w:r>
    </w:p>
    <w:p>
      <w:pPr>
        <w:spacing w:after="70" w:before="12"/>
      </w:pPr>
      <w:r>
        <w:rPr>
          <w:rFonts w:ascii="Arial" w:cs="Arial" w:eastAsia="Arial" w:hAnsi="Arial"/>
          <w:b/>
          <w:bCs/>
          <w:color w:val="1A1A1A"/>
          <w:sz w:val="20"/>
          <w:szCs w:val="20"/>
        </w:rPr>
        <w:t xml:space="preserve">Stationarity assumption: </w:t>
      </w:r>
      <w:r>
        <w:rPr>
          <w:rFonts w:ascii="Arial" w:cs="Arial" w:eastAsia="Arial" w:hAnsi="Arial"/>
          <w:color w:val="1A1A1A"/>
          <w:sz w:val="20"/>
          <w:szCs w:val="20"/>
        </w:rPr>
        <w:t xml:space="preserve">ARD Matern-5/2 assumes a uniform correlation structure. Violated by F5 where the dim1-near-zero region is qualitatively different (required DKL to discover).</w:t>
      </w:r>
    </w:p>
    <w:p>
      <w:pPr>
        <w:spacing w:after="70" w:before="12"/>
      </w:pPr>
      <w:r>
        <w:rPr>
          <w:rFonts w:ascii="Arial" w:cs="Arial" w:eastAsia="Arial" w:hAnsi="Arial"/>
          <w:b/>
          <w:bCs/>
          <w:color w:val="1A1A1A"/>
          <w:sz w:val="20"/>
          <w:szCs w:val="20"/>
        </w:rPr>
        <w:t xml:space="preserve">Noiseless evaluation: </w:t>
      </w:r>
      <w:r>
        <w:rPr>
          <w:rFonts w:ascii="Arial" w:cs="Arial" w:eastAsia="Arial" w:hAnsi="Arial"/>
          <w:color w:val="1A1A1A"/>
          <w:sz w:val="20"/>
          <w:szCs w:val="20"/>
        </w:rPr>
        <w:t xml:space="preserve">the portal returns deterministic outputs. GP Mean and EI xi=0 would require reformulation under observation noise.</w:t>
      </w:r>
    </w:p>
    <w:p>
      <w:pPr>
        <w:spacing w:after="70" w:before="12"/>
      </w:pPr>
      <w:r>
        <w:rPr>
          <w:rFonts w:ascii="Arial" w:cs="Arial" w:eastAsia="Arial" w:hAnsi="Arial"/>
          <w:color w:val="1A1A1A"/>
          <w:sz w:val="20"/>
          <w:szCs w:val="20"/>
        </w:rPr>
        <w:t xml:space="preserve">Computational constraints: one query per function per week with no iterative refinement. n &lt; 50 observations means the GP cannot reliably identify which dimensions matter at 6D or 8D. LOO-CV across four surrogates is 4x the cost of a single GP but acceptable at this scale.</w:t>
      </w:r>
    </w:p>
    <w:p>
      <w:pPr>
        <w:spacing w:after="70" w:before="12"/>
      </w:pPr>
      <w:r>
        <w:rPr>
          <w:rFonts w:ascii="Arial" w:cs="Arial" w:eastAsia="Arial" w:hAnsi="Arial"/>
          <w:color w:val="1A1A1A"/>
          <w:sz w:val="20"/>
          <w:szCs w:val="20"/>
        </w:rPr>
        <w:t xml:space="preserve">Sampling biases: early broad queries persist in the training set and bias the GP mean in imbalanced functions (F4: 30 negative, 3 positive observations). By Week 10 all search boxes are concentrated within a 0.02-0.08 radius of the confirmed best; any global optimum outside this will be missed.</w:t>
      </w:r>
    </w:p>
    <w:p>
      <w:pPr>
        <w:pStyle w:val="Heading1"/>
        <w:spacing w:after="75" w:before="200"/>
      </w:pPr>
      <w:r>
        <w:rPr>
          <w:rFonts w:ascii="Arial" w:cs="Arial" w:eastAsia="Arial" w:hAnsi="Arial"/>
          <w:b/>
          <w:bCs/>
          <w:color w:val="1F3864"/>
          <w:sz w:val="26"/>
          <w:szCs w:val="26"/>
        </w:rPr>
        <w:t xml:space="preserve">6.  Ethical Considerations</w:t>
      </w:r>
    </w:p>
    <w:p>
      <w:pPr>
        <w:spacing w:after="70" w:before="12"/>
      </w:pPr>
      <w:r>
        <w:rPr>
          <w:rFonts w:ascii="Arial" w:cs="Arial" w:eastAsia="Arial" w:hAnsi="Arial"/>
          <w:color w:val="1A1A1A"/>
          <w:sz w:val="20"/>
          <w:szCs w:val="20"/>
        </w:rPr>
        <w:t xml:space="preserve">Every design decision in this pipeline is traceable. Each notebook contains inline paper citations, a method_config dictionary encoding all parameters, LOO-CV RMSE model cards, and an ARD length scale diagnostic. Weekly post-mortem markdown files preserve the reasoning behind every change. A reviewer with no prior knowledge could reconstruct the full decision logic from these artefacts alone.</w:t>
      </w:r>
    </w:p>
    <w:p>
      <w:pPr>
        <w:spacing w:after="70" w:before="12"/>
      </w:pPr>
      <w:r>
        <w:rPr>
          <w:rFonts w:ascii="Arial" w:cs="Arial" w:eastAsia="Arial" w:hAnsi="Arial"/>
          <w:color w:val="1A1A1A"/>
          <w:sz w:val="20"/>
          <w:szCs w:val="20"/>
        </w:rPr>
        <w:t xml:space="preserve">The irreversible-query constraint maps directly to real-world ML deployment: drug trial dosing, A/B test splits, and infrastructure configuration all share the same structure. The anchor-to-ATB discipline is the same discipline required in any setting where evaluations are expensive and feedback is delayed.</w:t>
      </w:r>
    </w:p>
    <w:p>
      <w:pPr>
        <w:spacing w:after="70" w:before="12"/>
      </w:pPr>
      <w:r>
        <w:rPr>
          <w:rFonts w:ascii="Arial" w:cs="Arial" w:eastAsia="Arial" w:hAnsi="Arial"/>
          <w:color w:val="1A1A1A"/>
          <w:sz w:val="20"/>
          <w:szCs w:val="20"/>
        </w:rPr>
        <w:t xml:space="preserve">Limitations of this card: this describes a student pipeline with a budget of one query per week. It should not be used to benchmark commercial BBO systems or make claims beyond the synthetic functions in this capstone programme.</w:t>
      </w:r>
    </w:p>
    <w:p>
      <w:pPr>
        <w:pBdr>
          <w:bottom w:val="single" w:color="2E75B6" w:sz="6" w:space="1"/>
        </w:pBdr>
        <w:spacing w:after="105" w:before="10"/>
      </w:pPr>
    </w:p>
    <w:p>
      <w:pPr>
        <w:spacing w:after="0" w:before="18"/>
        <w:jc w:val="center"/>
      </w:pPr>
      <w:r>
        <w:rPr>
          <w:rFonts w:ascii="Arial" w:cs="Arial" w:eastAsia="Arial" w:hAnsi="Arial"/>
          <w:i/>
          <w:iCs/>
          <w:color w:val="595959"/>
          <w:sz w:val="20"/>
          <w:szCs w:val="20"/>
        </w:rPr>
        <w:t xml:space="preserve">BBO Capstone | Data Sheet and Model Card | Gebru et al. 2021 and Mitchell et al. 2019</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2026-08-11T14:36:14.006Z</dcterms:created>
  <dcterms:modified xsi:type="dcterms:W3CDTF">2026-08-11T14:36:14.007Z</dcterms:modified>
</cp:coreProperties>
</file>

<file path=docProps/custom.xml><?xml version="1.0" encoding="utf-8"?>
<Properties xmlns="http://schemas.openxmlformats.org/officeDocument/2006/custom-properties" xmlns:vt="http://schemas.openxmlformats.org/officeDocument/2006/docPropsVTypes"/>
</file>