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F3864"/>
          <w:sz w:val="33"/>
          <w:szCs w:val="33"/>
        </w:rPr>
        <w:t xml:space="preserve">Bayesian Optimisation Capstone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1"/>
          <w:szCs w:val="21"/>
        </w:rPr>
        <w:t xml:space="preserve">Discussion Board: Technical Justification and Literature Review</w:t>
      </w:r>
    </w:p>
    <w:p>
      <w:pPr>
        <w:pBdr>
          <w:bottom w:val="single" w:color="2E75B6" w:sz="6" w:space="1"/>
        </w:pBdr>
        <w:spacing w:after="110" w:before="10"/>
      </w:pP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 Main Technical Justification</w:t>
      </w:r>
    </w:p>
    <w:p>
      <w:pPr>
        <w:spacing w:after="8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core justification is sample efficiency. With at most 45 observations per function and one query per week, any surrogate requiring hundreds of training points is structurally unsuitable. A Gaussian Process with an RBF kernel is the only widely studied model providing both a calibrated predictive mean and a closed-form uncertainty estimate from datasets this small, a property proved by Rasmussen and Williams (2006). That uncertainty estimate is what makes EI meaningful: it concentrates queries near regions where the posterior mean is high and uncertainty is non-trivial, rather than sampling blindly.</w:t>
      </w:r>
    </w:p>
    <w:p>
      <w:pPr>
        <w:spacing w:after="12" w:before="55"/>
        <w:jc w:val="center"/>
      </w:pPr>
      <w:r>
        <w:drawing>
          <wp:inline distT="0" distB="0" distL="0" distR="0">
            <wp:extent cx="428625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1: Functions improved per week across the project. The W5 decline to 2/8 provided the empirical signal that drove the anchor-to-all-time-best correction in W6.</w:t>
      </w:r>
    </w:p>
    <w:p>
      <w:pPr>
        <w:spacing w:after="8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confirmed by the chart above and by leave-one-out RMSE: the GP outperformed MC Dropout on 7 of 8 functions in Week 5 and DKL on 6 of 8 in Week 6. Surrogate selection is now data-driven rather than assumed.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 Academic Literature</w:t>
      </w:r>
    </w:p>
    <w:p>
      <w:pPr>
        <w:spacing w:after="12" w:before="55"/>
        <w:jc w:val="center"/>
      </w:pPr>
      <w:r>
        <w:drawing>
          <wp:inline distT="0" distB="0" distL="0" distR="0">
            <wp:extent cx="466725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2: Technical stack, each library mapped to its academic source and project role.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Jones, Schonlau and Welch (1998)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are the foundational EI paper. The closed-form formula used from Week 3 onward comes from their equation (15); xi=0.01 follows the empirical recommendation in Frazier (2018).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Gal and Ghahramani (2016)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introduced MC Dropout as a Bayesian approximation. Keeping dropout active at inference with T=50 passes provides the epistemic uncertainty used by the Week 5 and 6 MLP surrogate.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Wilson et al. (2016) and Gardner et al. (2018)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established Deep Kernel Learning via GPyTorch, with joint marginal likelihood training of the NN feature extractor and GP hyperparameters.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 et al. ICLR 2024 (arXiv:2305.20028)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conducted a BNN surrogate study confirming GPs outperform BNNs on 7 of 8 low-data functions, justifying the GP as the production query generator.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 Libraries and Framework Choices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scikit-learn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was chosen for the vanilla GP because it is stable at n below 50 without GPU infrastructure and its marginal likelihood optimiser with n_restarts handles the small-data regime reliably.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PyTorch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was chosen over TensorFlow because keeping dropout active at inference is a one-line change using model.train(). TensorFlow requires a custom training flag passed explicitly through the call signature.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GPyTorch and scipy.stats.qmc.Sobol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complement the above. GPyTorch is the only library supporting exact GP inference with a jointly optimised NN feature extractor. Sobol sequences improve candidate coverage versus uniform random sampling at the same budget.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 GitHub Repository Documentation</w:t>
      </w:r>
    </w:p>
    <w:p>
      <w:pPr>
        <w:spacing w:after="12" w:before="55"/>
        <w:jc w:val="center"/>
      </w:pPr>
      <w:r>
        <w:drawing>
          <wp:inline distT="0" distB="0" distL="0" distR="0">
            <wp:extent cx="466725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 3: Model card summary showing LOO-CV RMSE for all three surrogates across each function. Green cells indicate the surrogate selected for the Week 6 query.</w:t>
      </w:r>
    </w:p>
    <w:p>
      <w:pPr>
        <w:spacing w:after="8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repository documents reasoning at three levels: notebooks (section headers cite the motivating paper and explain each parameter), docs/ (weekly strategy markdown files with post-mortem reasoning after each round), and results/ (submitted CSV queries and returned outputs as a verifiable audit trail). The model card table above is reproduced at the end of each notebook, making the surrogate selection decision transparent to peers, facilitators and future employers.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 Future Sources and Refinements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BoTorch (Balandat et al. 2020)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offers Monte Carlo acquisition functions supporting batch queries if the query budget increases.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BBOB benchmark suite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would allow cross-checking the project functions against standard profiles to reveal whether any follow known patterns such as separable or multimodal surfaces, suggesting more targeted strategies.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arXiv:2402.02746 (2024)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titled Standard GP is All You Need for High-Dimensional BO benchmarked the vanilla GP against six specialised methods across twelve datasets and found it competitive, supporting the continued GP-first approach.</w:t>
      </w:r>
    </w:p>
    <w:p>
      <w:pPr>
        <w:spacing w:after="80" w:before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immediate software priority is a requirements.txt pinning all library versions and populating results/ with real CSV outputs so any reader can rerun the notebooks and verify queries exactly.</w:t>
      </w:r>
    </w:p>
    <w:p>
      <w:pPr>
        <w:pBdr>
          <w:bottom w:val="single" w:color="2E75B6" w:sz="6" w:space="1"/>
        </w:pBdr>
        <w:spacing w:after="110" w:before="10"/>
      </w:pPr>
    </w:p>
    <w:p>
      <w:pPr>
        <w:spacing w:after="0" w:before="22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Discussion Board  |  Bayesian Optimisation Capstone</w:t>
      </w:r>
    </w:p>
    <w:sectPr>
      <w:pgSz w:w="12240" w:h="15840" w:orient="portrait"/>
      <w:pgMar w:top="990" w:right="990" w:bottom="990" w:left="9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c36709b0087ff5c528130a5ca194b33adc1c58.png"/><Relationship Id="rId8" Type="http://schemas.openxmlformats.org/officeDocument/2006/relationships/image" Target="media/34d5ef719c3e27f3a1647aa801d5d2b505a4ee87.png"/><Relationship Id="rId9" Type="http://schemas.openxmlformats.org/officeDocument/2006/relationships/image" Target="media/fb9af1f9921ec22e143eae26a2963ade7495db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2026-07-02T11:18:02.106Z</dcterms:created>
  <dcterms:modified xsi:type="dcterms:W3CDTF">2026-07-02T11:18:02.121Z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