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0"/>
        <w:jc w:val="center"/>
      </w:pPr>
      <w:r>
        <w:rPr>
          <w:rFonts w:ascii="Arial" w:cs="Arial" w:eastAsia="Arial" w:hAnsi="Arial"/>
          <w:b/>
          <w:bCs/>
          <w:color w:val="1B4F72"/>
          <w:sz w:val="100"/>
          <w:szCs w:val="100"/>
        </w:rPr>
        <w:t xml:space="preserve">ActProve</w:t>
      </w:r>
    </w:p>
    <w:p>
      <w:pPr>
        <w:spacing w:after="80" w:before="0"/>
        <w:jc w:val="center"/>
      </w:pPr>
      <w:r>
        <w:rPr>
          <w:rFonts w:ascii="Arial" w:cs="Arial" w:eastAsia="Arial" w:hAnsi="Arial"/>
          <w:color w:val="1D8348"/>
          <w:sz w:val="36"/>
          <w:szCs w:val="36"/>
        </w:rPr>
        <w:t xml:space="preserve">actprove.com</w:t>
      </w:r>
    </w:p>
    <w:p>
      <w:pPr>
        <w:pBdr>
          <w:bottom w:val="single" w:color="1D8348" w:sz="10"/>
        </w:pBdr>
        <w:spacing w:after="400" w:before="0"/>
        <w:jc w:val="center"/>
      </w:pPr>
    </w:p>
    <w:p>
      <w:pPr>
        <w:spacing w:after="60" w:before="60"/>
      </w:pPr>
    </w:p>
    <w:p>
      <w:pPr>
        <w:spacing w:after="200" w:before="0"/>
        <w:jc w:val="center"/>
      </w:pPr>
      <w:r>
        <w:rPr>
          <w:rFonts w:ascii="Arial" w:cs="Arial" w:eastAsia="Arial" w:hAnsi="Arial"/>
          <w:b/>
          <w:bCs/>
          <w:color w:val="7D3C98"/>
          <w:sz w:val="60"/>
          <w:szCs w:val="60"/>
        </w:rPr>
        <w:t xml:space="preserve">PHASE 2</w:t>
      </w:r>
    </w:p>
    <w:p>
      <w:pPr>
        <w:spacing w:after="120" w:before="0"/>
        <w:jc w:val="center"/>
      </w:pPr>
      <w:r>
        <w:rPr>
          <w:rFonts w:ascii="Arial" w:cs="Arial" w:eastAsia="Arial" w:hAnsi="Arial"/>
          <w:b/>
          <w:bCs/>
          <w:color w:val="1B4F72"/>
          <w:sz w:val="40"/>
          <w:szCs w:val="40"/>
        </w:rPr>
        <w:t xml:space="preserve">From MVP to Real Product</w:t>
      </w:r>
    </w:p>
    <w:p>
      <w:pPr>
        <w:spacing w:after="400" w:before="0"/>
        <w:jc w:val="center"/>
      </w:pPr>
      <w:r>
        <w:rPr>
          <w:rFonts w:ascii="Arial" w:cs="Arial" w:eastAsia="Arial" w:hAnsi="Arial"/>
          <w:i/>
          <w:iCs/>
          <w:color w:val="555555"/>
          <w:sz w:val="26"/>
          <w:szCs w:val="26"/>
        </w:rPr>
        <w:t xml:space="preserve">Full Product Specification, Architecture, GTM Strategy, Financial Model &amp; Build Roadmap</w:t>
      </w:r>
    </w:p>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ActProve — EU AI Act Compliance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2.0 — 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May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Classification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Confidential — Founder Eyes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Pages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100+ pages</w:t>
            </w:r>
          </w:p>
        </w:tc>
      </w:tr>
    </w:tbl>
    <w:p>
      <w:pPr>
        <w:spacing w:after="60" w:before="60"/>
      </w:pPr>
    </w:p>
    <w:p>
      <w:pPr>
        <w:spacing w:after="60" w:before="60"/>
      </w:pPr>
    </w:p>
    <w:p>
      <w:pPr>
        <w:spacing w:after="60" w:before="60"/>
      </w:pPr>
    </w:p>
    <w:p>
      <w:pPr>
        <w:jc w:val="center"/>
      </w:pPr>
      <w:r>
        <w:rPr>
          <w:rFonts w:ascii="Arial" w:cs="Arial" w:eastAsia="Arial" w:hAnsi="Arial"/>
          <w:i/>
          <w:iCs/>
          <w:color w:val="D5D8DC"/>
          <w:sz w:val="18"/>
          <w:szCs w:val="18"/>
        </w:rPr>
        <w:t xml:space="preserve">Built with Claude · Powered by conviction · Secured by regulation</w:t>
      </w:r>
    </w:p>
    <w:p>
      <w:r>
        <w:br/>
      </w:r>
    </w:p>
    <w:p>
      <w:pPr>
        <w:pStyle w:val="Heading1"/>
        <w:spacing w:after="240" w:before="480"/>
      </w:pPr>
      <w:r>
        <w:rPr>
          <w:rFonts w:ascii="Arial" w:cs="Arial" w:eastAsia="Arial" w:hAnsi="Arial"/>
          <w:b/>
          <w:bCs/>
          <w:color w:val="1B4F72"/>
          <w:sz w:val="40"/>
          <w:szCs w:val="40"/>
        </w:rPr>
        <w:t xml:space="preserve">1. Phase 2 Vision — From Tool to Platform</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1.1 What Phase 1 Proved</w:t>
      </w:r>
    </w:p>
    <w:p>
      <w:pPr>
        <w:spacing w:after="80" w:before="80"/>
      </w:pPr>
      <w:r>
        <w:rPr>
          <w:rFonts w:ascii="Arial" w:cs="Arial" w:eastAsia="Arial" w:hAnsi="Arial"/>
          <w:color w:val="1A1A1A"/>
          <w:sz w:val="20"/>
          <w:szCs w:val="20"/>
        </w:rPr>
        <w:t xml:space="preserve">Phase 1 (MVP) established ActProve as a functional compliance tool: users can add AI systems, classify risks, generate documents, and share a Trust Page. The goal was to prove one thing: that SMBs will pay for a structured, easy-to-use EU AI Act compliance workflow.</w:t>
      </w:r>
    </w:p>
    <w:p>
      <w:pPr>
        <w:spacing w:after="60" w:before="60"/>
      </w:pPr>
    </w:p>
    <w:p>
      <w:pPr>
        <w:spacing w:after="80" w:before="80"/>
      </w:pPr>
      <w:r>
        <w:rPr>
          <w:rFonts w:ascii="Arial" w:cs="Arial" w:eastAsia="Arial" w:hAnsi="Arial"/>
          <w:color w:val="1A1A1A"/>
          <w:sz w:val="20"/>
          <w:szCs w:val="20"/>
        </w:rPr>
        <w:t xml:space="preserve">Phase 2 transforms ActProve from a compliance tool into a compliance operations platform — the de facto standard for how European SMBs manage AI governance. The difference is not in features; it is in depth, reliability, integrations, and the network effects that make ActProve impossible to replace.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5F5E3" w:val="clear"/>
            <w:tcMar>
              <w:top w:type="dxa" w:w="140"/>
              <w:left w:type="dxa" w:w="220"/>
              <w:bottom w:type="dxa" w:w="140"/>
              <w:right w:type="dxa" w:w="220"/>
            </w:tcMar>
          </w:tcPr>
          <w:p>
            <w:r>
              <w:rPr>
                <w:rFonts w:ascii="Arial" w:cs="Arial" w:eastAsia="Arial" w:hAnsi="Arial"/>
                <w:b/>
                <w:bCs/>
                <w:color w:val="1B4F72"/>
                <w:sz w:val="21"/>
                <w:szCs w:val="21"/>
              </w:rPr>
              <w:t xml:space="preserve">Phase 2 North Star:</w:t>
            </w:r>
          </w:p>
          <w:p>
            <w:pPr>
              <w:spacing w:before="80"/>
            </w:pPr>
            <w:r>
              <w:rPr>
                <w:rFonts w:ascii="Arial" w:cs="Arial" w:eastAsia="Arial" w:hAnsi="Arial"/>
                <w:color w:val="1A1A1A"/>
                <w:sz w:val="19"/>
                <w:szCs w:val="19"/>
              </w:rPr>
              <w:t xml:space="preserve">ActProve becomes the first thing a CTO installs when a company gets its first enterprise client asking for AI compliance proof. Like how Vanta became the default for SOC 2, ActProve becomes the default for EU AI Act.</w:t>
            </w:r>
          </w:p>
        </w:tc>
      </w:tr>
    </w:tbl>
    <w:p>
      <w:pPr>
        <w:spacing w:after="60" w:before="60"/>
      </w:pPr>
    </w:p>
    <w:p>
      <w:pPr>
        <w:pStyle w:val="Heading2"/>
        <w:spacing w:after="180" w:before="360"/>
      </w:pPr>
      <w:r>
        <w:rPr>
          <w:rFonts w:ascii="Arial" w:cs="Arial" w:eastAsia="Arial" w:hAnsi="Arial"/>
          <w:b/>
          <w:bCs/>
          <w:color w:val="1B4F72"/>
          <w:sz w:val="30"/>
          <w:szCs w:val="30"/>
        </w:rPr>
        <w:t xml:space="preserve">1.2 Phase 2 Objectives — 18-Month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CCCCCC" w:sz="1"/>
              <w:left w:val="single" w:color="CCCCCC" w:sz="1"/>
              <w:bottom w:val="single" w:color="CCCCCC" w:sz="1"/>
              <w:right w:val="single" w:color="CCCCCC" w:sz="1"/>
            </w:tcBorders>
            <w:shd w:fill="1D8348"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600"/>
            <w:tcBorders>
              <w:top w:val="single" w:color="CCCCCC" w:sz="1"/>
              <w:left w:val="single" w:color="CCCCCC" w:sz="1"/>
              <w:bottom w:val="single" w:color="CCCCCC" w:sz="1"/>
              <w:right w:val="single" w:color="CCCCCC" w:sz="1"/>
            </w:tcBorders>
            <w:shd w:fill="1D8348" w:val="clear"/>
            <w:tcMar>
              <w:top w:type="dxa" w:w="80"/>
              <w:left w:type="dxa" w:w="120"/>
              <w:bottom w:type="dxa" w:w="80"/>
              <w:right w:type="dxa" w:w="120"/>
            </w:tcMar>
          </w:tcPr>
          <w:p>
            <w:r>
              <w:rPr>
                <w:rFonts w:ascii="Arial" w:cs="Arial" w:eastAsia="Arial" w:hAnsi="Arial"/>
                <w:b/>
                <w:bCs/>
                <w:color w:val="FFFFFF"/>
                <w:sz w:val="19"/>
                <w:szCs w:val="19"/>
              </w:rPr>
              <w:t xml:space="preserve">Phase 1 End</w:t>
            </w:r>
          </w:p>
        </w:tc>
        <w:tc>
          <w:tcPr>
            <w:tcW w:type="dxa" w:w="2000"/>
            <w:tcBorders>
              <w:top w:val="single" w:color="CCCCCC" w:sz="1"/>
              <w:left w:val="single" w:color="CCCCCC" w:sz="1"/>
              <w:bottom w:val="single" w:color="CCCCCC" w:sz="1"/>
              <w:right w:val="single" w:color="CCCCCC" w:sz="1"/>
            </w:tcBorders>
            <w:shd w:fill="1D8348" w:val="clear"/>
            <w:tcMar>
              <w:top w:type="dxa" w:w="80"/>
              <w:left w:type="dxa" w:w="120"/>
              <w:bottom w:type="dxa" w:w="80"/>
              <w:right w:type="dxa" w:w="120"/>
            </w:tcMar>
          </w:tcPr>
          <w:p>
            <w:r>
              <w:rPr>
                <w:rFonts w:ascii="Arial" w:cs="Arial" w:eastAsia="Arial" w:hAnsi="Arial"/>
                <w:b/>
                <w:bCs/>
                <w:color w:val="FFFFFF"/>
                <w:sz w:val="19"/>
                <w:szCs w:val="19"/>
              </w:rPr>
              <w:t xml:space="preserve">Phase 2 Target (Month 18)</w:t>
            </w:r>
          </w:p>
        </w:tc>
        <w:tc>
          <w:tcPr>
            <w:tcW w:type="dxa" w:w="3560"/>
            <w:tcBorders>
              <w:top w:val="single" w:color="CCCCCC" w:sz="1"/>
              <w:left w:val="single" w:color="CCCCCC" w:sz="1"/>
              <w:bottom w:val="single" w:color="CCCCCC" w:sz="1"/>
              <w:right w:val="single" w:color="CCCCCC" w:sz="1"/>
            </w:tcBorders>
            <w:shd w:fill="1D8348" w:val="clear"/>
            <w:tcMar>
              <w:top w:type="dxa" w:w="80"/>
              <w:left w:type="dxa" w:w="120"/>
              <w:bottom w:type="dxa" w:w="80"/>
              <w:right w:type="dxa" w:w="120"/>
            </w:tcMar>
          </w:tcPr>
          <w:p>
            <w:r>
              <w:rPr>
                <w:rFonts w:ascii="Arial" w:cs="Arial" w:eastAsia="Arial" w:hAnsi="Arial"/>
                <w:b/>
                <w:bCs/>
                <w:color w:val="FFFFFF"/>
                <w:sz w:val="19"/>
                <w:szCs w:val="19"/>
              </w:rPr>
              <w:t xml:space="preserve">How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MRR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Product-led growth + partner channel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Paying customers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400+</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Self-serve + agency resellers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Countries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EU-wide (27 countries)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Localization + country pages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Regulations covered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only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 NIS2 + DORA + ISO 42001</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Regulation expansion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 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(solo 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3–5 people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First hires: growth + customer success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15+ (Slack, Jira, Azure, AWS, GCP, HubSpot...)</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 marketplace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customers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 API + developer docs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NPS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&gt; 50</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CS playbook + product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Gross margin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Operational efficiency + pricing power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ARR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$120K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&gt; $1.2M</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All of the above</w:t>
            </w:r>
          </w:p>
        </w:tc>
      </w:tr>
    </w:tbl>
    <w:p>
      <w:pPr>
        <w:spacing w:after="60" w:before="60"/>
      </w:pPr>
    </w:p>
    <w:p>
      <w:pPr>
        <w:pStyle w:val="Heading2"/>
        <w:spacing w:after="180" w:before="360"/>
      </w:pPr>
      <w:r>
        <w:rPr>
          <w:rFonts w:ascii="Arial" w:cs="Arial" w:eastAsia="Arial" w:hAnsi="Arial"/>
          <w:b/>
          <w:bCs/>
          <w:color w:val="1B4F72"/>
          <w:sz w:val="30"/>
          <w:szCs w:val="30"/>
        </w:rPr>
        <w:t xml:space="preserve">1.3 Strategic Pillars</w:t>
      </w:r>
    </w:p>
    <w:p>
      <w:pPr>
        <w:pStyle w:val="Heading3"/>
        <w:spacing w:after="140" w:before="280"/>
      </w:pPr>
      <w:r>
        <w:rPr>
          <w:rFonts w:ascii="Arial" w:cs="Arial" w:eastAsia="Arial" w:hAnsi="Arial"/>
          <w:b/>
          <w:bCs/>
          <w:color w:val="1D8348"/>
          <w:sz w:val="24"/>
          <w:szCs w:val="24"/>
        </w:rPr>
        <w:t xml:space="preserve">Pillar 1: Depth Over Breadth</w:t>
      </w:r>
    </w:p>
    <w:p>
      <w:pPr>
        <w:spacing w:after="80" w:before="80"/>
      </w:pPr>
      <w:r>
        <w:rPr>
          <w:rFonts w:ascii="Arial" w:cs="Arial" w:eastAsia="Arial" w:hAnsi="Arial"/>
          <w:color w:val="1A1A1A"/>
          <w:sz w:val="20"/>
          <w:szCs w:val="20"/>
        </w:rPr>
        <w:t xml:space="preserve">Phase 1 covers the basics of EU AI Act. Phase 2 goes 10x deeper on the EU AI Act — sector-specific guidance, country-specific enforcement patterns, case-law integration as enforcement actions happen, automated gap analysis. Before expanding to new regulations, we must be the world's best EU AI Act tool.</w:t>
      </w:r>
    </w:p>
    <w:p>
      <w:pPr>
        <w:spacing w:after="60" w:before="60"/>
      </w:pPr>
    </w:p>
    <w:p>
      <w:pPr>
        <w:pStyle w:val="Heading3"/>
        <w:spacing w:after="140" w:before="280"/>
      </w:pPr>
      <w:r>
        <w:rPr>
          <w:rFonts w:ascii="Arial" w:cs="Arial" w:eastAsia="Arial" w:hAnsi="Arial"/>
          <w:b/>
          <w:bCs/>
          <w:color w:val="1D8348"/>
          <w:sz w:val="24"/>
          <w:szCs w:val="24"/>
        </w:rPr>
        <w:t xml:space="preserve">Pillar 2: Integration-First Architecture</w:t>
      </w:r>
    </w:p>
    <w:p>
      <w:pPr>
        <w:spacing w:after="80" w:before="80"/>
      </w:pPr>
      <w:r>
        <w:rPr>
          <w:rFonts w:ascii="Arial" w:cs="Arial" w:eastAsia="Arial" w:hAnsi="Arial"/>
          <w:color w:val="1A1A1A"/>
          <w:sz w:val="20"/>
          <w:szCs w:val="20"/>
        </w:rPr>
        <w:t xml:space="preserve">Compliance data lives everywhere: in Jira, Confluence, GitHub, Azure, AWS, GCP, HR systems. Phase 2 connects ActProve to where the data already lives — reducing manual entry, increasing data quality, and making ActProve sticky at the infrastructure level (not just the application level).</w:t>
      </w:r>
    </w:p>
    <w:p>
      <w:pPr>
        <w:spacing w:after="60" w:before="60"/>
      </w:pPr>
    </w:p>
    <w:p>
      <w:pPr>
        <w:pStyle w:val="Heading3"/>
        <w:spacing w:after="140" w:before="280"/>
      </w:pPr>
      <w:r>
        <w:rPr>
          <w:rFonts w:ascii="Arial" w:cs="Arial" w:eastAsia="Arial" w:hAnsi="Arial"/>
          <w:b/>
          <w:bCs/>
          <w:color w:val="1D8348"/>
          <w:sz w:val="24"/>
          <w:szCs w:val="24"/>
        </w:rPr>
        <w:t xml:space="preserve">Pillar 3: Partner-Led Distribution</w:t>
      </w:r>
    </w:p>
    <w:p>
      <w:pPr>
        <w:spacing w:after="80" w:before="80"/>
      </w:pPr>
      <w:r>
        <w:rPr>
          <w:rFonts w:ascii="Arial" w:cs="Arial" w:eastAsia="Arial" w:hAnsi="Arial"/>
          <w:color w:val="1A1A1A"/>
          <w:sz w:val="20"/>
          <w:szCs w:val="20"/>
        </w:rPr>
        <w:t xml:space="preserve">The fastest path to 400 customers is not direct sales. It is DPO consultants, law firms, and accounting firms who already have 20–200 SMB clients with this exact compliance need. Phase 2 builds a partner program that turns these advisors into ActProve resellers.</w:t>
      </w:r>
    </w:p>
    <w:p>
      <w:pPr>
        <w:spacing w:after="60" w:before="60"/>
      </w:pPr>
    </w:p>
    <w:p>
      <w:pPr>
        <w:pStyle w:val="Heading3"/>
        <w:spacing w:after="140" w:before="280"/>
      </w:pPr>
      <w:r>
        <w:rPr>
          <w:rFonts w:ascii="Arial" w:cs="Arial" w:eastAsia="Arial" w:hAnsi="Arial"/>
          <w:b/>
          <w:bCs/>
          <w:color w:val="1D8348"/>
          <w:sz w:val="24"/>
          <w:szCs w:val="24"/>
        </w:rPr>
        <w:t xml:space="preserve">Pillar 4: Evidence That Speaks for Itself</w:t>
      </w:r>
    </w:p>
    <w:p>
      <w:pPr>
        <w:spacing w:after="80" w:before="80"/>
      </w:pPr>
      <w:r>
        <w:rPr>
          <w:rFonts w:ascii="Arial" w:cs="Arial" w:eastAsia="Arial" w:hAnsi="Arial"/>
          <w:color w:val="1A1A1A"/>
          <w:sz w:val="20"/>
          <w:szCs w:val="20"/>
        </w:rPr>
        <w:t xml:space="preserve">When the first EU AI Act enforcement action happens (expected late 2026), ActProve-using companies need to be demonstrably protected. This means audit-grade evidence quality, immutable logs, and the ability to produce a complete compliance package in under 1 hour when regulators knock.</w:t>
      </w:r>
    </w:p>
    <w:p>
      <w:pPr>
        <w:spacing w:after="60" w:before="60"/>
      </w:pPr>
    </w:p>
    <w:p>
      <w:pPr>
        <w:pStyle w:val="Heading2"/>
        <w:spacing w:after="180" w:before="360"/>
      </w:pPr>
      <w:r>
        <w:rPr>
          <w:rFonts w:ascii="Arial" w:cs="Arial" w:eastAsia="Arial" w:hAnsi="Arial"/>
          <w:b/>
          <w:bCs/>
          <w:color w:val="1B4F72"/>
          <w:sz w:val="30"/>
          <w:szCs w:val="30"/>
        </w:rPr>
        <w:t xml:space="preserve">1.4 Competitive Moat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Moat Type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It Is</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 Phase 2 Builds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moat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Organization's compliance history, AI systems, decisions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month of use = deeper integration into their workflow. Switching cost grows with data.</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 moat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15+ integrations = ActProve is embedded in their infrastructure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Uninstalling ActProve means disconnecting from Azure, Jira, GitHub, Slack. Near impossible.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Network moat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Pages create external pressure to stay compliant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B2B clients start requiring ActProve Trust Page links. Non-customers face disadvantage.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Knowledge moat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interpretation, enforcement patterns, sector guidance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Proprietary compliance intelligence that improves with every customer and every enforcement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Partner moat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DPO network, law firms, accounting firms as resellers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Advisors recommend ActProve to new clients. Each partner = 10–50 new customers pipeline.</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2. Phase 2 Product Architecture</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2.1 Architecture Philosophy</w:t>
      </w:r>
    </w:p>
    <w:p>
      <w:pPr>
        <w:spacing w:after="80" w:before="80"/>
      </w:pPr>
      <w:r>
        <w:rPr>
          <w:rFonts w:ascii="Arial" w:cs="Arial" w:eastAsia="Arial" w:hAnsi="Arial"/>
          <w:color w:val="1A1A1A"/>
          <w:sz w:val="20"/>
          <w:szCs w:val="20"/>
        </w:rPr>
        <w:t xml:space="preserve">Phase 1 architecture (Next.js monolith + Supabase + Vercel) scales to roughly $500K ARR without modification. Phase 2 adds complexity only where it is genuinely needed — integrations, background processing, and public API. We do not prematurely optimize.</w:t>
      </w:r>
    </w:p>
    <w:p>
      <w:pPr>
        <w:spacing w:after="60" w:before="60"/>
      </w:pPr>
    </w:p>
    <w:p>
      <w:pPr>
        <w:pStyle w:val="Heading2"/>
        <w:spacing w:after="180" w:before="360"/>
      </w:pPr>
      <w:r>
        <w:rPr>
          <w:rFonts w:ascii="Arial" w:cs="Arial" w:eastAsia="Arial" w:hAnsi="Arial"/>
          <w:b/>
          <w:bCs/>
          <w:color w:val="1B4F72"/>
          <w:sz w:val="30"/>
          <w:szCs w:val="30"/>
        </w:rPr>
        <w:t xml:space="preserve">2.2 Full Technology Stack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 1 (MVP)</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 2 Addition</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Next.js 14 + Tailwind + shadcn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Same + Storybook for component docs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Component library documention for consistency as team grows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API layer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tRPC (internal)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tRPC + public REST API (OpenAPI spec)</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Enable integrations and developer ecosystem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Background 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 (sync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Inngest (event-driven background jobs)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PDF generation, AI classification, email send, integration syncs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Caching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Vercel Edge Cache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Upstash Redis (distributed cache)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Session cache, rate limiting, API responses, real-time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Postgres full-text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Typesense (self-hosted) OR Algolia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Fast, typo-tolerant search across AI systems, docs, regulations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Real-time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Supabase Realtime subscriptions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Live updates on dashboard, collaboration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Feature flags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Vercel Feature Flags OR LaunchDarkly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Safe rollouts, A/B tests, per-customer feature access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Error tracking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Sentry (frontend + backend)</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Production error monitoring, performance tracking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console.log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Axiom OR Logtail (structured logging)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Searchable logs, audit trails, debugging in production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Monitoring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Checkly (synthetic monitoring) + uptime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Automated tests running against production 24/7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PostHog (basic)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PostHog (full: funnels, cohorts, session replay)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Understand user behavior, find drop-off points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A/B testing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PostHog experiments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Test onboarding flows, pricing pages, feature introductions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Supabase 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Same + read replicas for reporting queries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Separate OLAP queries from transactional queries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File storage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Supabase Storage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Same + CDN optimization for Trust Pages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Faster asset delivery for public-facing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AI/LLM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Anthropic Claude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Claude API + prompt versioning + output caching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Cost optimization + consistency + A/B testing prompts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Email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Resend + React Email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Same + Loops.so for lifecycle marketing</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Separate transactional and marketing emails cleanly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Internationalization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next-intl (i18n)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Multi-language support (EN, DE, FR, PL, NL, ES, IT)</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CMS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Sanity CMS for blog + regulations DB</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Non-developer content updates for marketing + regulation updates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Vitest (unit) + Playwright (E2E)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Confidence in releases, catch regressions before they reach users</w:t>
            </w:r>
          </w:p>
        </w:tc>
      </w:tr>
    </w:tbl>
    <w:p>
      <w:pPr>
        <w:spacing w:after="60" w:before="60"/>
      </w:pPr>
    </w:p>
    <w:p>
      <w:pPr>
        <w:pStyle w:val="Heading2"/>
        <w:spacing w:after="180" w:before="360"/>
      </w:pPr>
      <w:r>
        <w:rPr>
          <w:rFonts w:ascii="Arial" w:cs="Arial" w:eastAsia="Arial" w:hAnsi="Arial"/>
          <w:b/>
          <w:bCs/>
          <w:color w:val="1B4F72"/>
          <w:sz w:val="30"/>
          <w:szCs w:val="30"/>
        </w:rPr>
        <w:t xml:space="preserve">2.3 Microservices — When and Why</w:t>
      </w:r>
    </w:p>
    <w:p>
      <w:pPr>
        <w:spacing w:after="80" w:before="80"/>
      </w:pPr>
      <w:r>
        <w:rPr>
          <w:rFonts w:ascii="Arial" w:cs="Arial" w:eastAsia="Arial" w:hAnsi="Arial"/>
          <w:color w:val="1A1A1A"/>
          <w:sz w:val="20"/>
          <w:szCs w:val="20"/>
        </w:rPr>
        <w:t xml:space="preserve">ActProve stays as a monolith through Phase 2. The only exception: two compute-intensive operations become separate services to avoid cold-start latency: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 Separate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PDF Generation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Puppeteer requires persistent Chrome instance, heavy memory, slow cold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Dedicated Fly.io instance with warm Chrome pool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Inngest job: 'document.pdf.requested'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Classification Worker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Batch classification for bulk imports, re-classification on regulation updates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Vercel Function with extended timeout (5 min)</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Inngest job: 'ai_systems.classify.batch'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Regulation Sync Worker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Runs nightly to check for EU official journal updates, new guidelines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Vercel Cron + Inngest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Cron: 02:00 UTC daily</w:t>
            </w:r>
          </w:p>
        </w:tc>
      </w:tr>
    </w:tbl>
    <w:p>
      <w:pPr>
        <w:spacing w:after="60" w:before="60"/>
      </w:pPr>
    </w:p>
    <w:p>
      <w:pPr>
        <w:pStyle w:val="Heading2"/>
        <w:spacing w:after="180" w:before="360"/>
      </w:pPr>
      <w:r>
        <w:rPr>
          <w:rFonts w:ascii="Arial" w:cs="Arial" w:eastAsia="Arial" w:hAnsi="Arial"/>
          <w:b/>
          <w:bCs/>
          <w:color w:val="1B4F72"/>
          <w:sz w:val="30"/>
          <w:szCs w:val="30"/>
        </w:rPr>
        <w:t xml:space="preserve">2.4 Database Schema Additions — Phase 2</w:t>
      </w:r>
    </w:p>
    <w:p>
      <w:pPr>
        <w:pStyle w:val="Heading3"/>
        <w:spacing w:after="140" w:before="280"/>
      </w:pPr>
      <w:r>
        <w:rPr>
          <w:rFonts w:ascii="Arial" w:cs="Arial" w:eastAsia="Arial" w:hAnsi="Arial"/>
          <w:b/>
          <w:bCs/>
          <w:color w:val="1D8348"/>
          <w:sz w:val="24"/>
          <w:szCs w:val="24"/>
        </w:rPr>
        <w:t xml:space="preserve">2.4.1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integrations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Tracks active integrations per org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org_id, type, credentials_encrypted, status, last_sync_at, config_json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integration_sync_logs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Log of every integration sync</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integration_id, started_at, ended_at, records_synced, errors_json,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regulation_frameworks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Extensible regulation registry (NIS2, DORA, etc.)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code, name, jurisdiction, enforcement_date, description, obligations_json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org_frameworks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Which frameworks an org is tracking</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org_id, framework_id, status, activated_at, custom_settings_json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framework_obligations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Specific obligations per framework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framework_id, code, title, description, applies_to, due_date, priority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org_obligations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Per-org obligation completion tracking</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org_id, obligation_id, status, evidence_url, completed_at,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api_keys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 API key management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org_id, key_hash, name, permissions_json, last_used_at, expires_at, revoked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api_usage_logs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API call tracking for billing + rate limiting</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api_key_id, endpoint, method, status_code, response_ms, created_at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partner_accounts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DPO/agency partner organizations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 name, email, commission_rate, referral_code, total_referred, total_earnings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partner_referrals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Track referral → customer conversions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partner_id, referred_org_id, status, commission_amount, paid_at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webhook_endpoints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Customer-configured webhooks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org_id, url, events_json, secret_hash, active, last_delivered_at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webhook_deliveries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Log of webhook delivery attempts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webhook_id, event_type, payload_json, status, attempts, last_attempt_at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ai_incidents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system incident log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org_id, ai_system_id, title, description, severity, status, reported_at, resolved_at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supplier_assessments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Third-party AI vendor assessments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org_id, vendor_name, assessment_date, score, findings_json, next_review_date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localization_overrides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Per-org language preferences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org_id, locale, custom_strings_json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custom_risk_rules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Org-specific classification rules (Team plan)</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org_id, rule_name, condition_json, resulting_tier,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benchmarks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Anonymized industry compliance benchmarks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industry, country, avg_systems, avg_compliance_score, sample_size, updated_at</w:t>
            </w:r>
          </w:p>
        </w:tc>
      </w:tr>
    </w:tbl>
    <w:p>
      <w:pPr>
        <w:spacing w:after="60" w:before="60"/>
      </w:pPr>
    </w:p>
    <w:p>
      <w:pPr>
        <w:pStyle w:val="Heading2"/>
        <w:spacing w:after="180" w:before="360"/>
      </w:pPr>
      <w:r>
        <w:rPr>
          <w:rFonts w:ascii="Arial" w:cs="Arial" w:eastAsia="Arial" w:hAnsi="Arial"/>
          <w:b/>
          <w:bCs/>
          <w:color w:val="1B4F72"/>
          <w:sz w:val="30"/>
          <w:szCs w:val="30"/>
        </w:rPr>
        <w:t xml:space="preserve">2.5 Security Architecture — Phase 2</w:t>
      </w:r>
    </w:p>
    <w:p>
      <w:pPr>
        <w:pStyle w:val="Heading3"/>
        <w:spacing w:after="140" w:before="280"/>
      </w:pPr>
      <w:r>
        <w:rPr>
          <w:rFonts w:ascii="Arial" w:cs="Arial" w:eastAsia="Arial" w:hAnsi="Arial"/>
          <w:b/>
          <w:bCs/>
          <w:color w:val="1D8348"/>
          <w:sz w:val="24"/>
          <w:szCs w:val="24"/>
        </w:rPr>
        <w:t xml:space="preserve">2.5.1 Encryption</w:t>
      </w:r>
    </w:p>
    <w:p>
      <w:pPr>
        <w:pStyle w:val="ListParagraph"/>
        <w:numPr>
          <w:ilvl w:val="0"/>
          <w:numId w:val="2"/>
        </w:numPr>
        <w:spacing w:after="40" w:before="40"/>
      </w:pPr>
      <w:r>
        <w:rPr>
          <w:rFonts w:ascii="Arial" w:cs="Arial" w:eastAsia="Arial" w:hAnsi="Arial"/>
          <w:color w:val="1A1A1A"/>
          <w:sz w:val="20"/>
          <w:szCs w:val="20"/>
        </w:rPr>
        <w:t xml:space="preserve">Integration credentials: encrypted at rest using AES-256-GCM with org-specific keys stored in Supabase Vault</w:t>
      </w:r>
    </w:p>
    <w:p>
      <w:pPr>
        <w:pStyle w:val="ListParagraph"/>
        <w:numPr>
          <w:ilvl w:val="0"/>
          <w:numId w:val="2"/>
        </w:numPr>
        <w:spacing w:after="40" w:before="40"/>
      </w:pPr>
      <w:r>
        <w:rPr>
          <w:rFonts w:ascii="Arial" w:cs="Arial" w:eastAsia="Arial" w:hAnsi="Arial"/>
          <w:color w:val="1A1A1A"/>
          <w:sz w:val="20"/>
          <w:szCs w:val="20"/>
        </w:rPr>
        <w:t xml:space="preserve">API keys: stored as bcrypt hashes (like passwords) — ActProve cannot retrieve them, only verify them</w:t>
      </w:r>
    </w:p>
    <w:p>
      <w:pPr>
        <w:pStyle w:val="ListParagraph"/>
        <w:numPr>
          <w:ilvl w:val="0"/>
          <w:numId w:val="2"/>
        </w:numPr>
        <w:spacing w:after="40" w:before="40"/>
      </w:pPr>
      <w:r>
        <w:rPr>
          <w:rFonts w:ascii="Arial" w:cs="Arial" w:eastAsia="Arial" w:hAnsi="Arial"/>
          <w:color w:val="1A1A1A"/>
          <w:sz w:val="20"/>
          <w:szCs w:val="20"/>
        </w:rPr>
        <w:t xml:space="preserve">Evidence files: encrypted in Supabase Storage with server-side encryption</w:t>
      </w:r>
    </w:p>
    <w:p>
      <w:pPr>
        <w:pStyle w:val="ListParagraph"/>
        <w:numPr>
          <w:ilvl w:val="0"/>
          <w:numId w:val="2"/>
        </w:numPr>
        <w:spacing w:after="40" w:before="40"/>
      </w:pPr>
      <w:r>
        <w:rPr>
          <w:rFonts w:ascii="Arial" w:cs="Arial" w:eastAsia="Arial" w:hAnsi="Arial"/>
          <w:color w:val="1A1A1A"/>
          <w:sz w:val="20"/>
          <w:szCs w:val="20"/>
        </w:rPr>
        <w:t xml:space="preserve">Webhook secrets: HMAC-SHA256 hash stored, plain text never persisted</w:t>
      </w:r>
    </w:p>
    <w:p>
      <w:pPr>
        <w:spacing w:after="60" w:before="60"/>
      </w:pPr>
    </w:p>
    <w:p>
      <w:pPr>
        <w:pStyle w:val="Heading3"/>
        <w:spacing w:after="140" w:before="280"/>
      </w:pPr>
      <w:r>
        <w:rPr>
          <w:rFonts w:ascii="Arial" w:cs="Arial" w:eastAsia="Arial" w:hAnsi="Arial"/>
          <w:b/>
          <w:bCs/>
          <w:color w:val="1D8348"/>
          <w:sz w:val="24"/>
          <w:szCs w:val="24"/>
        </w:rPr>
        <w:t xml:space="preserve">2.5.2 Data Isolation</w:t>
      </w:r>
    </w:p>
    <w:p>
      <w:pPr>
        <w:pStyle w:val="ListParagraph"/>
        <w:numPr>
          <w:ilvl w:val="0"/>
          <w:numId w:val="2"/>
        </w:numPr>
        <w:spacing w:after="40" w:before="40"/>
      </w:pPr>
      <w:r>
        <w:rPr>
          <w:rFonts w:ascii="Arial" w:cs="Arial" w:eastAsia="Arial" w:hAnsi="Arial"/>
          <w:color w:val="1A1A1A"/>
          <w:sz w:val="20"/>
          <w:szCs w:val="20"/>
        </w:rPr>
        <w:t xml:space="preserve">Row-Level Security (RLS) on 100% of tenant tables — database-enforced, not just application-enforced</w:t>
      </w:r>
    </w:p>
    <w:p>
      <w:pPr>
        <w:pStyle w:val="ListParagraph"/>
        <w:numPr>
          <w:ilvl w:val="0"/>
          <w:numId w:val="2"/>
        </w:numPr>
        <w:spacing w:after="40" w:before="40"/>
      </w:pPr>
      <w:r>
        <w:rPr>
          <w:rFonts w:ascii="Arial" w:cs="Arial" w:eastAsia="Arial" w:hAnsi="Arial"/>
          <w:color w:val="1A1A1A"/>
          <w:sz w:val="20"/>
          <w:szCs w:val="20"/>
        </w:rPr>
        <w:t xml:space="preserve">Each org's storage bucket is logically isolated with bucket-level policies</w:t>
      </w:r>
    </w:p>
    <w:p>
      <w:pPr>
        <w:pStyle w:val="ListParagraph"/>
        <w:numPr>
          <w:ilvl w:val="0"/>
          <w:numId w:val="2"/>
        </w:numPr>
        <w:spacing w:after="40" w:before="40"/>
      </w:pPr>
      <w:r>
        <w:rPr>
          <w:rFonts w:ascii="Arial" w:cs="Arial" w:eastAsia="Arial" w:hAnsi="Arial"/>
          <w:color w:val="1A1A1A"/>
          <w:sz w:val="20"/>
          <w:szCs w:val="20"/>
        </w:rPr>
        <w:t xml:space="preserve">Background jobs include organization_id in all job payloads — workers validate before processing</w:t>
      </w:r>
    </w:p>
    <w:p>
      <w:pPr>
        <w:pStyle w:val="ListParagraph"/>
        <w:numPr>
          <w:ilvl w:val="0"/>
          <w:numId w:val="2"/>
        </w:numPr>
        <w:spacing w:after="40" w:before="40"/>
      </w:pPr>
      <w:r>
        <w:rPr>
          <w:rFonts w:ascii="Arial" w:cs="Arial" w:eastAsia="Arial" w:hAnsi="Arial"/>
          <w:color w:val="1A1A1A"/>
          <w:sz w:val="20"/>
          <w:szCs w:val="20"/>
        </w:rPr>
        <w:t xml:space="preserve">Public API uses separate rate limit pools per API key — one customer cannot DoS another</w:t>
      </w:r>
    </w:p>
    <w:p>
      <w:pPr>
        <w:spacing w:after="60" w:before="60"/>
      </w:pPr>
    </w:p>
    <w:p>
      <w:pPr>
        <w:pStyle w:val="Heading3"/>
        <w:spacing w:after="140" w:before="280"/>
      </w:pPr>
      <w:r>
        <w:rPr>
          <w:rFonts w:ascii="Arial" w:cs="Arial" w:eastAsia="Arial" w:hAnsi="Arial"/>
          <w:b/>
          <w:bCs/>
          <w:color w:val="1D8348"/>
          <w:sz w:val="24"/>
          <w:szCs w:val="24"/>
        </w:rPr>
        <w:t xml:space="preserve">2.5.3 Compliance of ActProve Itself</w:t>
      </w:r>
    </w:p>
    <w:p>
      <w:pPr>
        <w:spacing w:after="80" w:before="80"/>
      </w:pPr>
      <w:r>
        <w:rPr>
          <w:rFonts w:ascii="Arial" w:cs="Arial" w:eastAsia="Arial" w:hAnsi="Arial"/>
          <w:color w:val="1A1A1A"/>
          <w:sz w:val="20"/>
          <w:szCs w:val="20"/>
        </w:rPr>
        <w:t xml:space="preserve">ActProve must itself be EU AI Act compliant — we use Claude API for risk classification and document generation. Our own compliance posture:</w:t>
      </w:r>
    </w:p>
    <w:p>
      <w:pPr>
        <w:pStyle w:val="ListParagraph"/>
        <w:numPr>
          <w:ilvl w:val="0"/>
          <w:numId w:val="2"/>
        </w:numPr>
        <w:spacing w:after="40" w:before="40"/>
      </w:pPr>
      <w:r>
        <w:rPr>
          <w:rFonts w:ascii="Arial" w:cs="Arial" w:eastAsia="Arial" w:hAnsi="Arial"/>
          <w:color w:val="1A1A1A"/>
          <w:sz w:val="20"/>
          <w:szCs w:val="20"/>
        </w:rPr>
        <w:t xml:space="preserve">ActProve's AI systems inventoried and published on actprove.com/trust</w:t>
      </w:r>
    </w:p>
    <w:p>
      <w:pPr>
        <w:pStyle w:val="ListParagraph"/>
        <w:numPr>
          <w:ilvl w:val="0"/>
          <w:numId w:val="2"/>
        </w:numPr>
        <w:spacing w:after="40" w:before="40"/>
      </w:pPr>
      <w:r>
        <w:rPr>
          <w:rFonts w:ascii="Arial" w:cs="Arial" w:eastAsia="Arial" w:hAnsi="Arial"/>
          <w:color w:val="1A1A1A"/>
          <w:sz w:val="20"/>
          <w:szCs w:val="20"/>
        </w:rPr>
        <w:t xml:space="preserve">Claude API classified as limited risk (content generation, human review always available)</w:t>
      </w:r>
    </w:p>
    <w:p>
      <w:pPr>
        <w:pStyle w:val="ListParagraph"/>
        <w:numPr>
          <w:ilvl w:val="0"/>
          <w:numId w:val="2"/>
        </w:numPr>
        <w:spacing w:after="40" w:before="40"/>
      </w:pPr>
      <w:r>
        <w:rPr>
          <w:rFonts w:ascii="Arial" w:cs="Arial" w:eastAsia="Arial" w:hAnsi="Arial"/>
          <w:color w:val="1A1A1A"/>
          <w:sz w:val="20"/>
          <w:szCs w:val="20"/>
        </w:rPr>
        <w:t xml:space="preserve">Transparency notice shown wherever AI-generated output is presented</w:t>
      </w:r>
    </w:p>
    <w:p>
      <w:pPr>
        <w:pStyle w:val="ListParagraph"/>
        <w:numPr>
          <w:ilvl w:val="0"/>
          <w:numId w:val="2"/>
        </w:numPr>
        <w:spacing w:after="40" w:before="40"/>
      </w:pPr>
      <w:r>
        <w:rPr>
          <w:rFonts w:ascii="Arial" w:cs="Arial" w:eastAsia="Arial" w:hAnsi="Arial"/>
          <w:color w:val="1A1A1A"/>
          <w:sz w:val="20"/>
          <w:szCs w:val="20"/>
        </w:rPr>
        <w:t xml:space="preserve">AI-generated documents marked with: "This document was drafted with AI assistance. Review before signing."</w:t>
      </w:r>
    </w:p>
    <w:p>
      <w:pPr>
        <w:pStyle w:val="ListParagraph"/>
        <w:numPr>
          <w:ilvl w:val="0"/>
          <w:numId w:val="2"/>
        </w:numPr>
        <w:spacing w:after="40" w:before="40"/>
      </w:pPr>
      <w:r>
        <w:rPr>
          <w:rFonts w:ascii="Arial" w:cs="Arial" w:eastAsia="Arial" w:hAnsi="Arial"/>
          <w:color w:val="1A1A1A"/>
          <w:sz w:val="20"/>
          <w:szCs w:val="20"/>
        </w:rPr>
        <w:t xml:space="preserve">GDPR-compliant data processing — DPA with Anthropic in place, data stays in EU regions</w:t>
      </w:r>
    </w:p>
    <w:p>
      <w:pPr>
        <w:spacing w:after="60" w:before="60"/>
      </w:pPr>
    </w:p>
    <w:p>
      <w:r>
        <w:br/>
      </w:r>
    </w:p>
    <w:p>
      <w:pPr>
        <w:pStyle w:val="Heading1"/>
        <w:spacing w:after="240" w:before="480"/>
      </w:pPr>
      <w:r>
        <w:rPr>
          <w:rFonts w:ascii="Arial" w:cs="Arial" w:eastAsia="Arial" w:hAnsi="Arial"/>
          <w:b/>
          <w:bCs/>
          <w:color w:val="1B4F72"/>
          <w:sz w:val="40"/>
          <w:szCs w:val="40"/>
        </w:rPr>
        <w:t xml:space="preserve">3. Feature Deep-Dive: Multi-Regulation Framework</w:t>
      </w:r>
    </w:p>
    <w:p>
      <w:pPr>
        <w:pBdr>
          <w:bottom w:val="single" w:color="1D8348"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5F5E3" w:val="clear"/>
            <w:tcMar>
              <w:top w:type="dxa" w:w="140"/>
              <w:left w:type="dxa" w:w="220"/>
              <w:bottom w:type="dxa" w:w="140"/>
              <w:right w:type="dxa" w:w="220"/>
            </w:tcMar>
          </w:tcPr>
          <w:p>
            <w:r>
              <w:rPr>
                <w:rFonts w:ascii="Arial" w:cs="Arial" w:eastAsia="Arial" w:hAnsi="Arial"/>
                <w:b/>
                <w:bCs/>
                <w:color w:val="1B4F72"/>
                <w:sz w:val="21"/>
                <w:szCs w:val="21"/>
              </w:rPr>
              <w:t xml:space="preserve">Strategic Importance:</w:t>
            </w:r>
          </w:p>
          <w:p>
            <w:pPr>
              <w:spacing w:before="80"/>
            </w:pPr>
            <w:r>
              <w:rPr>
                <w:rFonts w:ascii="Arial" w:cs="Arial" w:eastAsia="Arial" w:hAnsi="Arial"/>
                <w:color w:val="1A1A1A"/>
                <w:sz w:val="19"/>
                <w:szCs w:val="19"/>
              </w:rPr>
              <w:t xml:space="preserve">EU AI Act brings customers in. Multi-regulation keeps them forever. Once a company stores its compliance data in ActProve, adding NIS2 or ISO 42001 is nearly free — data is already there. This is the "hook" that turns a compliance tool into a long-term platform.</w:t>
            </w:r>
          </w:p>
        </w:tc>
      </w:tr>
    </w:tbl>
    <w:p>
      <w:pPr>
        <w:spacing w:after="60" w:before="60"/>
      </w:pPr>
    </w:p>
    <w:p>
      <w:pPr>
        <w:pStyle w:val="Heading2"/>
        <w:spacing w:after="180" w:before="360"/>
      </w:pPr>
      <w:r>
        <w:rPr>
          <w:rFonts w:ascii="Arial" w:cs="Arial" w:eastAsia="Arial" w:hAnsi="Arial"/>
          <w:b/>
          <w:bCs/>
          <w:color w:val="1B4F72"/>
          <w:sz w:val="30"/>
          <w:szCs w:val="30"/>
        </w:rPr>
        <w:t xml:space="preserve">3.1 Regulation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Regulation</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 Launch</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 This Order</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Overlap with EU AI 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(Phase 1 complete)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Core product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ISO 42001 (AI Management System)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2–3 of Phase 2</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40–60% overlap with AI Act data already collected. Certification is recurring (3-year cycle).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NIS2 Directive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Affects 18 sectors, many of which also use AI. Same buyer (CTO/Security 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DORA (Financial sector)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6–7</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Fintech customers frequently ask. High WTP in finance.</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GDPR + AI intersection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org already doing GDPR. AI Act creates new GDPR implications.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UK AI Act (draft)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10–12</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Post-Brexit UK developing own framework. High demand from UK exporters.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ISO 27001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12–14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Frequently requested alongside ISO 42001. Unlock 'compliance bundle' pricing.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Cyber Resilience Act (CRA)</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14–16</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Product companies with software components. Natural expansion.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 State AI Laws (CA, NY, TX)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16–18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 market expansion. EU-US companies want unified dashboard.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w:t>
            </w:r>
          </w:p>
        </w:tc>
      </w:tr>
    </w:tbl>
    <w:p>
      <w:pPr>
        <w:spacing w:after="60" w:before="60"/>
      </w:pPr>
    </w:p>
    <w:p>
      <w:pPr>
        <w:pStyle w:val="Heading2"/>
        <w:spacing w:after="180" w:before="360"/>
      </w:pPr>
      <w:r>
        <w:rPr>
          <w:rFonts w:ascii="Arial" w:cs="Arial" w:eastAsia="Arial" w:hAnsi="Arial"/>
          <w:b/>
          <w:bCs/>
          <w:color w:val="1B4F72"/>
          <w:sz w:val="30"/>
          <w:szCs w:val="30"/>
        </w:rPr>
        <w:t xml:space="preserve">3.2 ISO 42001 — First Expansion (Priority)</w:t>
      </w:r>
    </w:p>
    <w:p>
      <w:pPr>
        <w:pStyle w:val="Heading3"/>
        <w:spacing w:after="140" w:before="280"/>
      </w:pPr>
      <w:r>
        <w:rPr>
          <w:rFonts w:ascii="Arial" w:cs="Arial" w:eastAsia="Arial" w:hAnsi="Arial"/>
          <w:b/>
          <w:bCs/>
          <w:color w:val="1D8348"/>
          <w:sz w:val="24"/>
          <w:szCs w:val="24"/>
        </w:rPr>
        <w:t xml:space="preserve">3.2.1 What ISO 42001 Is</w:t>
      </w:r>
    </w:p>
    <w:p>
      <w:pPr>
        <w:spacing w:after="80" w:before="80"/>
      </w:pPr>
      <w:r>
        <w:rPr>
          <w:rFonts w:ascii="Arial" w:cs="Arial" w:eastAsia="Arial" w:hAnsi="Arial"/>
          <w:color w:val="1A1A1A"/>
          <w:sz w:val="20"/>
          <w:szCs w:val="20"/>
        </w:rPr>
        <w:t xml:space="preserve">ISO/IEC 42001:2023 is the international standard for AI Management Systems (AIMS). It provides a framework for establishing, implementing, maintaining, and continually improving AI governance within an organization. Certification is performed by accredited bodies and is valid for 3 years, with annual surveillance audits.</w:t>
      </w:r>
    </w:p>
    <w:p>
      <w:pPr>
        <w:spacing w:after="60" w:before="60"/>
      </w:pPr>
    </w:p>
    <w:p>
      <w:pPr>
        <w:pStyle w:val="Heading3"/>
        <w:spacing w:after="140" w:before="280"/>
      </w:pPr>
      <w:r>
        <w:rPr>
          <w:rFonts w:ascii="Arial" w:cs="Arial" w:eastAsia="Arial" w:hAnsi="Arial"/>
          <w:b/>
          <w:bCs/>
          <w:color w:val="1D8348"/>
          <w:sz w:val="24"/>
          <w:szCs w:val="24"/>
        </w:rPr>
        <w:t xml:space="preserve">3.2.2 Data Overlap with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ActProve Data 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EU AI Act Use</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ISO 42001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System Inventory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(Art. 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(Clause 6.1.2 — asset register)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Risk Classification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(Art. 6)</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(Clause 6.1.2 — risk assessment)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Responsible Persons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(Art. 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(Clause 5.3 — roles &amp; responsibilities)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Literacy Records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(Art. 4)</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(Clause 7.2 — competence)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Usage 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Best practice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(Clause 5.2 — AI policy document)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Incident Log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(high-risk)</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(Clause 10.1 — nonconformity)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Supplier Assessments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(Art. 26)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Required (Clause 8.4 — external provision)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Evidence Vault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Audit-ready</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(Clause 9.1 — monitoring evidence)</w:t>
            </w:r>
          </w:p>
        </w:tc>
      </w:tr>
    </w:tbl>
    <w:p>
      <w:pPr>
        <w:spacing w:after="80" w:before="80"/>
      </w:pPr>
      <w:r>
        <w:rPr>
          <w:rFonts w:ascii="Arial" w:cs="Arial" w:eastAsia="Arial" w:hAnsi="Arial"/>
          <w:color w:val="1A1A1A"/>
          <w:sz w:val="20"/>
          <w:szCs w:val="20"/>
        </w:rPr>
        <w:t xml:space="preserve">~60% of ISO 42001 documentation is already collected for EU AI Act. Adding ISO 42001 means generating new documents from existing data — minimal new data entry required.</w:t>
      </w:r>
    </w:p>
    <w:p>
      <w:pPr>
        <w:spacing w:after="60" w:before="60"/>
      </w:pPr>
    </w:p>
    <w:p>
      <w:pPr>
        <w:pStyle w:val="Heading3"/>
        <w:spacing w:after="140" w:before="280"/>
      </w:pPr>
      <w:r>
        <w:rPr>
          <w:rFonts w:ascii="Arial" w:cs="Arial" w:eastAsia="Arial" w:hAnsi="Arial"/>
          <w:b/>
          <w:bCs/>
          <w:color w:val="1D8348"/>
          <w:sz w:val="24"/>
          <w:szCs w:val="24"/>
        </w:rPr>
        <w:t xml:space="preserve">3.2.3 ISO 42001 Specific Features</w:t>
      </w:r>
    </w:p>
    <w:p>
      <w:pPr>
        <w:pStyle w:val="ListParagraph"/>
        <w:numPr>
          <w:ilvl w:val="0"/>
          <w:numId w:val="2"/>
        </w:numPr>
        <w:spacing w:after="40" w:before="40"/>
      </w:pPr>
      <w:r>
        <w:rPr>
          <w:rFonts w:ascii="Arial" w:cs="Arial" w:eastAsia="Arial" w:hAnsi="Arial"/>
          <w:color w:val="1A1A1A"/>
          <w:sz w:val="20"/>
          <w:szCs w:val="20"/>
        </w:rPr>
        <w:t xml:space="preserve">Gap Analysis Report — shows exactly which ISO 42001 clauses are already met by existing data vs which need additional work</w:t>
      </w:r>
    </w:p>
    <w:p>
      <w:pPr>
        <w:pStyle w:val="ListParagraph"/>
        <w:numPr>
          <w:ilvl w:val="0"/>
          <w:numId w:val="2"/>
        </w:numPr>
        <w:spacing w:after="40" w:before="40"/>
      </w:pPr>
      <w:r>
        <w:rPr>
          <w:rFonts w:ascii="Arial" w:cs="Arial" w:eastAsia="Arial" w:hAnsi="Arial"/>
          <w:color w:val="1A1A1A"/>
          <w:sz w:val="20"/>
          <w:szCs w:val="20"/>
        </w:rPr>
        <w:t xml:space="preserve">AIMS Policy Document Generator — generates the formal AI Management System Policy from org data</w:t>
      </w:r>
    </w:p>
    <w:p>
      <w:pPr>
        <w:pStyle w:val="ListParagraph"/>
        <w:numPr>
          <w:ilvl w:val="0"/>
          <w:numId w:val="2"/>
        </w:numPr>
        <w:spacing w:after="40" w:before="40"/>
      </w:pPr>
      <w:r>
        <w:rPr>
          <w:rFonts w:ascii="Arial" w:cs="Arial" w:eastAsia="Arial" w:hAnsi="Arial"/>
          <w:color w:val="1A1A1A"/>
          <w:sz w:val="20"/>
          <w:szCs w:val="20"/>
        </w:rPr>
        <w:t xml:space="preserve">Surveillance Audit Checklist — annual checklist to prepare for ISO body re-audit</w:t>
      </w:r>
    </w:p>
    <w:p>
      <w:pPr>
        <w:pStyle w:val="ListParagraph"/>
        <w:numPr>
          <w:ilvl w:val="0"/>
          <w:numId w:val="2"/>
        </w:numPr>
        <w:spacing w:after="40" w:before="40"/>
      </w:pPr>
      <w:r>
        <w:rPr>
          <w:rFonts w:ascii="Arial" w:cs="Arial" w:eastAsia="Arial" w:hAnsi="Arial"/>
          <w:color w:val="1A1A1A"/>
          <w:sz w:val="20"/>
          <w:szCs w:val="20"/>
        </w:rPr>
        <w:t xml:space="preserve">Certification Body Directory — list of accredited certification bodies by country</w:t>
      </w:r>
    </w:p>
    <w:p>
      <w:pPr>
        <w:pStyle w:val="ListParagraph"/>
        <w:numPr>
          <w:ilvl w:val="0"/>
          <w:numId w:val="2"/>
        </w:numPr>
        <w:spacing w:after="40" w:before="40"/>
      </w:pPr>
      <w:r>
        <w:rPr>
          <w:rFonts w:ascii="Arial" w:cs="Arial" w:eastAsia="Arial" w:hAnsi="Arial"/>
          <w:color w:val="1A1A1A"/>
          <w:sz w:val="20"/>
          <w:szCs w:val="20"/>
        </w:rPr>
        <w:t xml:space="preserve">Certification Tracker — record certification body, certificate number, expiry date, next audit date</w:t>
      </w:r>
    </w:p>
    <w:p>
      <w:pPr>
        <w:pStyle w:val="ListParagraph"/>
        <w:numPr>
          <w:ilvl w:val="0"/>
          <w:numId w:val="2"/>
        </w:numPr>
        <w:spacing w:after="40" w:before="40"/>
      </w:pPr>
      <w:r>
        <w:rPr>
          <w:rFonts w:ascii="Arial" w:cs="Arial" w:eastAsia="Arial" w:hAnsi="Arial"/>
          <w:color w:val="1A1A1A"/>
          <w:sz w:val="20"/>
          <w:szCs w:val="20"/>
        </w:rPr>
        <w:t xml:space="preserve">ISO 42001 Trust Page Section — show certification status publicly (great for enterprise sales)</w:t>
      </w:r>
    </w:p>
    <w:p>
      <w:pPr>
        <w:spacing w:after="60" w:before="60"/>
      </w:pPr>
    </w:p>
    <w:p>
      <w:pPr>
        <w:pStyle w:val="Heading2"/>
        <w:spacing w:after="180" w:before="360"/>
      </w:pPr>
      <w:r>
        <w:rPr>
          <w:rFonts w:ascii="Arial" w:cs="Arial" w:eastAsia="Arial" w:hAnsi="Arial"/>
          <w:b/>
          <w:bCs/>
          <w:color w:val="1B4F72"/>
          <w:sz w:val="30"/>
          <w:szCs w:val="30"/>
        </w:rPr>
        <w:t xml:space="preserve">3.3 NIS2 Directive</w:t>
      </w:r>
    </w:p>
    <w:p>
      <w:pPr>
        <w:pStyle w:val="Heading3"/>
        <w:spacing w:after="140" w:before="280"/>
      </w:pPr>
      <w:r>
        <w:rPr>
          <w:rFonts w:ascii="Arial" w:cs="Arial" w:eastAsia="Arial" w:hAnsi="Arial"/>
          <w:b/>
          <w:bCs/>
          <w:color w:val="1D8348"/>
          <w:sz w:val="24"/>
          <w:szCs w:val="24"/>
        </w:rPr>
        <w:t xml:space="preserve">3.3.1 Overview</w:t>
      </w:r>
    </w:p>
    <w:p>
      <w:pPr>
        <w:spacing w:after="80" w:before="80"/>
      </w:pPr>
      <w:r>
        <w:rPr>
          <w:rFonts w:ascii="Arial" w:cs="Arial" w:eastAsia="Arial" w:hAnsi="Arial"/>
          <w:color w:val="1A1A1A"/>
          <w:sz w:val="20"/>
          <w:szCs w:val="20"/>
        </w:rPr>
        <w:t xml:space="preserve">NIS2 (Network and Information Security Directive 2) applies to organizations in 18 critical sectors. It requires: risk management measures, incident reporting (24h initial, 72h full report), supply chain security, and executive accountability (personal liability for directors).</w:t>
      </w:r>
    </w:p>
    <w:p>
      <w:pPr>
        <w:spacing w:after="60" w:before="60"/>
      </w:pPr>
    </w:p>
    <w:p>
      <w:pPr>
        <w:pStyle w:val="Heading3"/>
        <w:spacing w:after="140" w:before="280"/>
      </w:pPr>
      <w:r>
        <w:rPr>
          <w:rFonts w:ascii="Arial" w:cs="Arial" w:eastAsia="Arial" w:hAnsi="Arial"/>
          <w:b/>
          <w:bCs/>
          <w:color w:val="1D8348"/>
          <w:sz w:val="24"/>
          <w:szCs w:val="24"/>
        </w:rPr>
        <w:t xml:space="preserve">3.3.2 Who It Affects Among ActProve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NIS2 Sector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Example Companies</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AI Act Intersection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Digital infrastructure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SaaS companies, cloud providers, data centers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these companies have many AI systems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Digital services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Online marketplaces, search engines, social platforms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 recommender systems often high-risk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ICT service management (B2B)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Managed service providers, IT consultants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 manage AI on behalf of clients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Healthcare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Hospitals, pharma, medical device companies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 AI in diagnostics = high-risk AI 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Finance/banking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Fintech, banks, payment processors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AI in credit = high-risk AI Act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Energy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Utilities, grid operators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 — AI in grid management = critical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Logistics, aviation, rail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 autonomous systems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Public administration</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Government services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 biometric systems, decision automation</w:t>
            </w:r>
          </w:p>
        </w:tc>
      </w:tr>
    </w:tbl>
    <w:p>
      <w:pPr>
        <w:spacing w:after="60" w:before="60"/>
      </w:pPr>
    </w:p>
    <w:p>
      <w:pPr>
        <w:pStyle w:val="Heading3"/>
        <w:spacing w:after="140" w:before="280"/>
      </w:pPr>
      <w:r>
        <w:rPr>
          <w:rFonts w:ascii="Arial" w:cs="Arial" w:eastAsia="Arial" w:hAnsi="Arial"/>
          <w:b/>
          <w:bCs/>
          <w:color w:val="1D8348"/>
          <w:sz w:val="24"/>
          <w:szCs w:val="24"/>
        </w:rPr>
        <w:t xml:space="preserve">3.3.3 NIS2 Features in ActProve</w:t>
      </w:r>
    </w:p>
    <w:p>
      <w:pPr>
        <w:pStyle w:val="ListParagraph"/>
        <w:numPr>
          <w:ilvl w:val="0"/>
          <w:numId w:val="2"/>
        </w:numPr>
        <w:spacing w:after="40" w:before="40"/>
      </w:pPr>
      <w:r>
        <w:rPr>
          <w:rFonts w:ascii="Arial" w:cs="Arial" w:eastAsia="Arial" w:hAnsi="Arial"/>
          <w:color w:val="1A1A1A"/>
          <w:sz w:val="20"/>
          <w:szCs w:val="20"/>
        </w:rPr>
        <w:t xml:space="preserve">NIS2 Scope Assessment — 5-minute quiz to determine if organization is in scope and at what level (essential vs important entity)</w:t>
      </w:r>
    </w:p>
    <w:p>
      <w:pPr>
        <w:pStyle w:val="ListParagraph"/>
        <w:numPr>
          <w:ilvl w:val="0"/>
          <w:numId w:val="2"/>
        </w:numPr>
        <w:spacing w:after="40" w:before="40"/>
      </w:pPr>
      <w:r>
        <w:rPr>
          <w:rFonts w:ascii="Arial" w:cs="Arial" w:eastAsia="Arial" w:hAnsi="Arial"/>
          <w:color w:val="1A1A1A"/>
          <w:sz w:val="20"/>
          <w:szCs w:val="20"/>
        </w:rPr>
        <w:t xml:space="preserve">Incident Response Tracker — structured workflow for the mandatory 24h early warning and 72h full notification to national CSIRT</w:t>
      </w:r>
    </w:p>
    <w:p>
      <w:pPr>
        <w:pStyle w:val="ListParagraph"/>
        <w:numPr>
          <w:ilvl w:val="0"/>
          <w:numId w:val="2"/>
        </w:numPr>
        <w:spacing w:after="40" w:before="40"/>
      </w:pPr>
      <w:r>
        <w:rPr>
          <w:rFonts w:ascii="Arial" w:cs="Arial" w:eastAsia="Arial" w:hAnsi="Arial"/>
          <w:color w:val="1A1A1A"/>
          <w:sz w:val="20"/>
          <w:szCs w:val="20"/>
        </w:rPr>
        <w:t xml:space="preserve">Supply Chain Security Assessment — questionnaire for key ICT suppliers (overlaps with AI vendor assessment)</w:t>
      </w:r>
    </w:p>
    <w:p>
      <w:pPr>
        <w:pStyle w:val="ListParagraph"/>
        <w:numPr>
          <w:ilvl w:val="0"/>
          <w:numId w:val="2"/>
        </w:numPr>
        <w:spacing w:after="40" w:before="40"/>
      </w:pPr>
      <w:r>
        <w:rPr>
          <w:rFonts w:ascii="Arial" w:cs="Arial" w:eastAsia="Arial" w:hAnsi="Arial"/>
          <w:color w:val="1A1A1A"/>
          <w:sz w:val="20"/>
          <w:szCs w:val="20"/>
        </w:rPr>
        <w:t xml:space="preserve">Technical Measures Checklist — network security, access control, cryptography, physical security, vulnerability management</w:t>
      </w:r>
    </w:p>
    <w:p>
      <w:pPr>
        <w:pStyle w:val="ListParagraph"/>
        <w:numPr>
          <w:ilvl w:val="0"/>
          <w:numId w:val="2"/>
        </w:numPr>
        <w:spacing w:after="40" w:before="40"/>
      </w:pPr>
      <w:r>
        <w:rPr>
          <w:rFonts w:ascii="Arial" w:cs="Arial" w:eastAsia="Arial" w:hAnsi="Arial"/>
          <w:color w:val="1A1A1A"/>
          <w:sz w:val="20"/>
          <w:szCs w:val="20"/>
        </w:rPr>
        <w:t xml:space="preserve">Executive Accountability Module — tracks which director has signed off on NIS2 compliance (personal liability feature)</w:t>
      </w:r>
    </w:p>
    <w:p>
      <w:pPr>
        <w:pStyle w:val="ListParagraph"/>
        <w:numPr>
          <w:ilvl w:val="0"/>
          <w:numId w:val="2"/>
        </w:numPr>
        <w:spacing w:after="40" w:before="40"/>
      </w:pPr>
      <w:r>
        <w:rPr>
          <w:rFonts w:ascii="Arial" w:cs="Arial" w:eastAsia="Arial" w:hAnsi="Arial"/>
          <w:color w:val="1A1A1A"/>
          <w:sz w:val="20"/>
          <w:szCs w:val="20"/>
        </w:rPr>
        <w:t xml:space="preserve">NIS2 Document Generator — policies for: incident response, vulnerability disclosure, backup procedures, business continuity</w:t>
      </w:r>
    </w:p>
    <w:p>
      <w:pPr>
        <w:spacing w:after="60" w:before="60"/>
      </w:pPr>
    </w:p>
    <w:p>
      <w:pPr>
        <w:pStyle w:val="Heading2"/>
        <w:spacing w:after="180" w:before="360"/>
      </w:pPr>
      <w:r>
        <w:rPr>
          <w:rFonts w:ascii="Arial" w:cs="Arial" w:eastAsia="Arial" w:hAnsi="Arial"/>
          <w:b/>
          <w:bCs/>
          <w:color w:val="1B4F72"/>
          <w:sz w:val="30"/>
          <w:szCs w:val="30"/>
        </w:rPr>
        <w:t xml:space="preserve">3.4 Framework Switcher UI</w:t>
      </w:r>
    </w:p>
    <w:p>
      <w:pPr>
        <w:spacing w:after="80" w:before="80"/>
      </w:pPr>
      <w:r>
        <w:rPr>
          <w:rFonts w:ascii="Arial" w:cs="Arial" w:eastAsia="Arial" w:hAnsi="Arial"/>
          <w:color w:val="1A1A1A"/>
          <w:sz w:val="20"/>
          <w:szCs w:val="20"/>
        </w:rPr>
        <w:t xml:space="preserve">When a user activates a new regulation framework, they see a "Framework Activation" flow:</w:t>
      </w:r>
    </w:p>
    <w:p>
      <w:pPr>
        <w:pStyle w:val="ListParagraph"/>
        <w:numPr>
          <w:ilvl w:val="0"/>
          <w:numId w:val="3"/>
        </w:numPr>
        <w:spacing w:after="40" w:before="40"/>
      </w:pPr>
      <w:r>
        <w:rPr>
          <w:rFonts w:ascii="Arial" w:cs="Arial" w:eastAsia="Arial" w:hAnsi="Arial"/>
          <w:color w:val="1A1A1A"/>
          <w:sz w:val="20"/>
          <w:szCs w:val="20"/>
        </w:rPr>
        <w:t xml:space="preserve">Welcome screen: what this regulation covers, who it applies to, what ActProve does for it</w:t>
      </w:r>
    </w:p>
    <w:p>
      <w:pPr>
        <w:pStyle w:val="ListParagraph"/>
        <w:numPr>
          <w:ilvl w:val="0"/>
          <w:numId w:val="3"/>
        </w:numPr>
        <w:spacing w:after="40" w:before="40"/>
      </w:pPr>
      <w:r>
        <w:rPr>
          <w:rFonts w:ascii="Arial" w:cs="Arial" w:eastAsia="Arial" w:hAnsi="Arial"/>
          <w:color w:val="1A1A1A"/>
          <w:sz w:val="20"/>
          <w:szCs w:val="20"/>
        </w:rPr>
        <w:t xml:space="preserve">Scope assessment: 5–10 questions to confirm the org is in scope</w:t>
      </w:r>
    </w:p>
    <w:p>
      <w:pPr>
        <w:pStyle w:val="ListParagraph"/>
        <w:numPr>
          <w:ilvl w:val="0"/>
          <w:numId w:val="3"/>
        </w:numPr>
        <w:spacing w:after="40" w:before="40"/>
      </w:pPr>
      <w:r>
        <w:rPr>
          <w:rFonts w:ascii="Arial" w:cs="Arial" w:eastAsia="Arial" w:hAnsi="Arial"/>
          <w:color w:val="1A1A1A"/>
          <w:sz w:val="20"/>
          <w:szCs w:val="20"/>
        </w:rPr>
        <w:t xml:space="preserve">Data gap analysis: "Here's what you already have from EU AI Act. Here's what's new."</w:t>
      </w:r>
    </w:p>
    <w:p>
      <w:pPr>
        <w:pStyle w:val="ListParagraph"/>
        <w:numPr>
          <w:ilvl w:val="0"/>
          <w:numId w:val="3"/>
        </w:numPr>
        <w:spacing w:after="40" w:before="40"/>
      </w:pPr>
      <w:r>
        <w:rPr>
          <w:rFonts w:ascii="Arial" w:cs="Arial" w:eastAsia="Arial" w:hAnsi="Arial"/>
          <w:color w:val="1A1A1A"/>
          <w:sz w:val="20"/>
          <w:szCs w:val="20"/>
        </w:rPr>
        <w:t xml:space="preserve">Obligation overview: list of all new obligations with estimates of time to complete</w:t>
      </w:r>
    </w:p>
    <w:p>
      <w:pPr>
        <w:pStyle w:val="ListParagraph"/>
        <w:numPr>
          <w:ilvl w:val="0"/>
          <w:numId w:val="3"/>
        </w:numPr>
        <w:spacing w:after="40" w:before="40"/>
      </w:pPr>
      <w:r>
        <w:rPr>
          <w:rFonts w:ascii="Arial" w:cs="Arial" w:eastAsia="Arial" w:hAnsi="Arial"/>
          <w:color w:val="1A1A1A"/>
          <w:sz w:val="20"/>
          <w:szCs w:val="20"/>
        </w:rPr>
        <w:t xml:space="preserve">Action plan: ordered list of what to do first, linked to specific ActProve features</w:t>
      </w:r>
    </w:p>
    <w:p>
      <w:pPr>
        <w:pStyle w:val="ListParagraph"/>
        <w:numPr>
          <w:ilvl w:val="0"/>
          <w:numId w:val="3"/>
        </w:numPr>
        <w:spacing w:after="40" w:before="40"/>
      </w:pPr>
      <w:r>
        <w:rPr>
          <w:rFonts w:ascii="Arial" w:cs="Arial" w:eastAsia="Arial" w:hAnsi="Arial"/>
          <w:color w:val="1A1A1A"/>
          <w:sz w:val="20"/>
          <w:szCs w:val="20"/>
        </w:rPr>
        <w:t xml:space="preserve">Dashboard integration: new framework obligations appear in the main dashboard</w:t>
      </w:r>
    </w:p>
    <w:p>
      <w:pPr>
        <w:spacing w:after="60" w:before="60"/>
      </w:pPr>
    </w:p>
    <w:p>
      <w:pPr>
        <w:pStyle w:val="Heading2"/>
        <w:spacing w:after="180" w:before="360"/>
      </w:pPr>
      <w:r>
        <w:rPr>
          <w:rFonts w:ascii="Arial" w:cs="Arial" w:eastAsia="Arial" w:hAnsi="Arial"/>
          <w:b/>
          <w:bCs/>
          <w:color w:val="1B4F72"/>
          <w:sz w:val="30"/>
          <w:szCs w:val="30"/>
        </w:rPr>
        <w:t xml:space="preserve">3.5 Unified Compliance Score</w:t>
      </w:r>
    </w:p>
    <w:p>
      <w:pPr>
        <w:spacing w:after="80" w:before="80"/>
      </w:pPr>
      <w:r>
        <w:rPr>
          <w:rFonts w:ascii="Arial" w:cs="Arial" w:eastAsia="Arial" w:hAnsi="Arial"/>
          <w:color w:val="1A1A1A"/>
          <w:sz w:val="20"/>
          <w:szCs w:val="20"/>
        </w:rPr>
        <w:t xml:space="preserve">In Phase 2, the dashboard shows a unified compliance score per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Score Calculation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Systems classified + obligations complete + docs generated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ISO 42001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Secondary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Clauses addressed / total clauses * 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NIS2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Secondary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Measures implemented / required measures * 100</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DORA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Secondary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ICT risk framework completeness * 100</w:t>
            </w:r>
          </w:p>
        </w:tc>
      </w:tr>
    </w:tbl>
    <w:p>
      <w:pPr>
        <w:spacing w:after="60" w:before="60"/>
      </w:pPr>
    </w:p>
    <w:p>
      <w:pPr>
        <w:spacing w:after="80" w:before="80"/>
      </w:pPr>
      <w:r>
        <w:rPr>
          <w:rFonts w:ascii="Arial" w:cs="Arial" w:eastAsia="Arial" w:hAnsi="Arial"/>
          <w:color w:val="1A1A1A"/>
          <w:sz w:val="20"/>
          <w:szCs w:val="20"/>
        </w:rPr>
        <w:t xml:space="preserve">An aggregate 'Compliance Health' score (weighted average) is shown at the top of the dashboard. This becomes the number CEOs and CTOs quote when investors or clients ask about their compliance posture.</w:t>
      </w:r>
    </w:p>
    <w:p>
      <w:pPr>
        <w:spacing w:after="60" w:before="60"/>
      </w:pPr>
    </w:p>
    <w:p>
      <w:r>
        <w:br/>
      </w:r>
    </w:p>
    <w:p>
      <w:pPr>
        <w:pStyle w:val="Heading1"/>
        <w:spacing w:after="240" w:before="480"/>
      </w:pPr>
      <w:r>
        <w:rPr>
          <w:rFonts w:ascii="Arial" w:cs="Arial" w:eastAsia="Arial" w:hAnsi="Arial"/>
          <w:b/>
          <w:bCs/>
          <w:color w:val="1B4F72"/>
          <w:sz w:val="40"/>
          <w:szCs w:val="40"/>
        </w:rPr>
        <w:t xml:space="preserve">4. Feature Deep-Dive: Integration Marketplace</w:t>
      </w:r>
    </w:p>
    <w:p>
      <w:pPr>
        <w:pBdr>
          <w:bottom w:val="single" w:color="1D8348"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5F5E3" w:val="clear"/>
            <w:tcMar>
              <w:top w:type="dxa" w:w="140"/>
              <w:left w:type="dxa" w:w="220"/>
              <w:bottom w:type="dxa" w:w="140"/>
              <w:right w:type="dxa" w:w="220"/>
            </w:tcMar>
          </w:tcPr>
          <w:p>
            <w:r>
              <w:rPr>
                <w:rFonts w:ascii="Arial" w:cs="Arial" w:eastAsia="Arial" w:hAnsi="Arial"/>
                <w:b/>
                <w:bCs/>
                <w:color w:val="1B4F72"/>
                <w:sz w:val="21"/>
                <w:szCs w:val="21"/>
              </w:rPr>
              <w:t xml:space="preserve">Strategic Importance:</w:t>
            </w:r>
          </w:p>
          <w:p>
            <w:pPr>
              <w:spacing w:before="80"/>
            </w:pPr>
            <w:r>
              <w:rPr>
                <w:rFonts w:ascii="Arial" w:cs="Arial" w:eastAsia="Arial" w:hAnsi="Arial"/>
                <w:color w:val="1A1A1A"/>
                <w:sz w:val="19"/>
                <w:szCs w:val="19"/>
              </w:rPr>
              <w:t xml:space="preserve">Integrations transform ActProve from a form-filling tool into a living compliance platform. When ActProve reads directly from Azure AD, GitHub, and AWS — it knows every AI system the company uses before the user even types it. This reduces time-to-value from hours to minutes.</w:t>
            </w:r>
          </w:p>
        </w:tc>
      </w:tr>
    </w:tbl>
    <w:p>
      <w:pPr>
        <w:spacing w:after="60" w:before="60"/>
      </w:pPr>
    </w:p>
    <w:p>
      <w:pPr>
        <w:pStyle w:val="Heading2"/>
        <w:spacing w:after="180" w:before="360"/>
      </w:pPr>
      <w:r>
        <w:rPr>
          <w:rFonts w:ascii="Arial" w:cs="Arial" w:eastAsia="Arial" w:hAnsi="Arial"/>
          <w:b/>
          <w:bCs/>
          <w:color w:val="1B4F72"/>
          <w:sz w:val="30"/>
          <w:szCs w:val="30"/>
        </w:rPr>
        <w:t xml:space="preserve">4.1 Integration Architecture</w:t>
      </w:r>
    </w:p>
    <w:p>
      <w:pPr>
        <w:pStyle w:val="Heading3"/>
        <w:spacing w:after="140" w:before="280"/>
      </w:pPr>
      <w:r>
        <w:rPr>
          <w:rFonts w:ascii="Arial" w:cs="Arial" w:eastAsia="Arial" w:hAnsi="Arial"/>
          <w:b/>
          <w:bCs/>
          <w:color w:val="1D8348"/>
          <w:sz w:val="24"/>
          <w:szCs w:val="24"/>
        </w:rPr>
        <w:t xml:space="preserve">4.1.1 Integration Framework</w:t>
      </w:r>
    </w:p>
    <w:p>
      <w:pPr>
        <w:spacing w:after="80" w:before="80"/>
      </w:pPr>
      <w:r>
        <w:rPr>
          <w:rFonts w:ascii="Arial" w:cs="Arial" w:eastAsia="Arial" w:hAnsi="Arial"/>
          <w:color w:val="1A1A1A"/>
          <w:sz w:val="20"/>
          <w:szCs w:val="20"/>
        </w:rPr>
        <w:t xml:space="preserve">All integrations follow a standard pattern implemented via a plugin-style architecture:</w:t>
      </w:r>
    </w:p>
    <w:p>
      <w:pPr>
        <w:shd w:fill="F0F0F0" w:val="clear"/>
        <w:spacing w:after="40" w:before="40"/>
      </w:pPr>
      <w:r>
        <w:rPr>
          <w:rFonts w:ascii="Courier New" w:cs="Courier New" w:eastAsia="Courier New" w:hAnsi="Courier New"/>
          <w:color w:val="333333"/>
          <w:sz w:val="18"/>
          <w:szCs w:val="18"/>
        </w:rPr>
        <w:t xml:space="preserve">interface Integration {</w:t>
      </w:r>
    </w:p>
    <w:p>
      <w:pPr>
        <w:shd w:fill="F0F0F0" w:val="clear"/>
        <w:spacing w:after="40" w:before="40"/>
      </w:pPr>
      <w:r>
        <w:rPr>
          <w:rFonts w:ascii="Courier New" w:cs="Courier New" w:eastAsia="Courier New" w:hAnsi="Courier New"/>
          <w:color w:val="333333"/>
          <w:sz w:val="18"/>
          <w:szCs w:val="18"/>
        </w:rPr>
        <w:t xml:space="preserve">  id: string</w:t>
      </w:r>
    </w:p>
    <w:p>
      <w:pPr>
        <w:shd w:fill="F0F0F0" w:val="clear"/>
        <w:spacing w:after="40" w:before="40"/>
      </w:pPr>
      <w:r>
        <w:rPr>
          <w:rFonts w:ascii="Courier New" w:cs="Courier New" w:eastAsia="Courier New" w:hAnsi="Courier New"/>
          <w:color w:val="333333"/>
          <w:sz w:val="18"/>
          <w:szCs w:val="18"/>
        </w:rPr>
        <w:t xml:space="preserve">  name: string</w:t>
      </w:r>
    </w:p>
    <w:p>
      <w:pPr>
        <w:shd w:fill="F0F0F0" w:val="clear"/>
        <w:spacing w:after="40" w:before="40"/>
      </w:pPr>
      <w:r>
        <w:rPr>
          <w:rFonts w:ascii="Courier New" w:cs="Courier New" w:eastAsia="Courier New" w:hAnsi="Courier New"/>
          <w:color w:val="333333"/>
          <w:sz w:val="18"/>
          <w:szCs w:val="18"/>
        </w:rPr>
        <w:t xml:space="preserve">  type: 'oauth2' | 'api_key' | 'webhook'</w:t>
      </w:r>
    </w:p>
    <w:p>
      <w:pPr>
        <w:shd w:fill="F0F0F0" w:val="clear"/>
        <w:spacing w:after="40" w:before="40"/>
      </w:pPr>
      <w:r>
        <w:rPr>
          <w:rFonts w:ascii="Courier New" w:cs="Courier New" w:eastAsia="Courier New" w:hAnsi="Courier New"/>
          <w:color w:val="333333"/>
          <w:sz w:val="18"/>
          <w:szCs w:val="18"/>
        </w:rPr>
        <w:t xml:space="preserve">  scopes: string[]   // Minimum required permissions</w:t>
      </w:r>
    </w:p>
    <w:p>
      <w:pPr>
        <w:shd w:fill="F0F0F0" w:val="clear"/>
        <w:spacing w:after="40" w:before="40"/>
      </w:pPr>
      <w:r>
        <w:rPr>
          <w:rFonts w:ascii="Courier New" w:cs="Courier New" w:eastAsia="Courier New" w:hAnsi="Courier New"/>
          <w:color w:val="333333"/>
          <w:sz w:val="18"/>
          <w:szCs w:val="18"/>
        </w:rPr>
        <w:t xml:space="preserve">  sync(org: Organization): Promise&lt;SyncResult&gt;</w:t>
      </w:r>
    </w:p>
    <w:p>
      <w:pPr>
        <w:shd w:fill="F0F0F0" w:val="clear"/>
        <w:spacing w:after="40" w:before="40"/>
      </w:pPr>
      <w:r>
        <w:rPr>
          <w:rFonts w:ascii="Courier New" w:cs="Courier New" w:eastAsia="Courier New" w:hAnsi="Courier New"/>
          <w:color w:val="333333"/>
          <w:sz w:val="18"/>
          <w:szCs w:val="18"/>
        </w:rPr>
        <w:t xml:space="preserve">  parseToAISystems(data: unknown): AISystemCandidate[]</w:t>
      </w:r>
    </w:p>
    <w:p>
      <w:pPr>
        <w:shd w:fill="F0F0F0" w:val="clear"/>
        <w:spacing w:after="40" w:before="40"/>
      </w:pPr>
      <w:r>
        <w:rPr>
          <w:rFonts w:ascii="Courier New" w:cs="Courier New" w:eastAsia="Courier New" w:hAnsi="Courier New"/>
          <w:color w:val="333333"/>
          <w:sz w:val="18"/>
          <w:szCs w:val="18"/>
        </w:rPr>
        <w:t xml:space="preserve">  webhookHandler?(payload: unknown): Promise&lt;void&gt;</w:t>
      </w:r>
    </w:p>
    <w:p>
      <w:pPr>
        <w:shd w:fill="F0F0F0" w:val="clear"/>
        <w:spacing w:after="40" w:before="40"/>
      </w:pPr>
      <w:r>
        <w:rPr>
          <w:rFonts w:ascii="Courier New" w:cs="Courier New" w:eastAsia="Courier New" w:hAnsi="Courier New"/>
          <w:color w:val="333333"/>
          <w:sz w:val="18"/>
          <w:szCs w:val="18"/>
        </w:rPr>
        <w:t xml:space="preserve">}</w:t>
      </w:r>
    </w:p>
    <w:p>
      <w:pPr>
        <w:spacing w:after="60" w:before="60"/>
      </w:pPr>
    </w:p>
    <w:p>
      <w:pPr>
        <w:spacing w:after="80" w:before="80"/>
      </w:pPr>
      <w:r>
        <w:rPr>
          <w:rFonts w:ascii="Arial" w:cs="Arial" w:eastAsia="Arial" w:hAnsi="Arial"/>
          <w:color w:val="1A1A1A"/>
          <w:sz w:val="20"/>
          <w:szCs w:val="20"/>
        </w:rPr>
        <w:t xml:space="preserve">Each integration registers its discovery functions: given access to a cloud provider or SaaS tool, find all AI-related resources and propose them as inventory candidates.</w:t>
      </w:r>
    </w:p>
    <w:p>
      <w:pPr>
        <w:spacing w:after="60" w:before="60"/>
      </w:pPr>
    </w:p>
    <w:p>
      <w:pPr>
        <w:pStyle w:val="Heading3"/>
        <w:spacing w:after="140" w:before="280"/>
      </w:pPr>
      <w:r>
        <w:rPr>
          <w:rFonts w:ascii="Arial" w:cs="Arial" w:eastAsia="Arial" w:hAnsi="Arial"/>
          <w:b/>
          <w:bCs/>
          <w:color w:val="1D8348"/>
          <w:sz w:val="24"/>
          <w:szCs w:val="24"/>
        </w:rPr>
        <w:t xml:space="preserve">4.1.2 Sync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Integration Type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Default Sync</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On-Demand</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Webhook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Cloud providers (Azure, AWS, GCP)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 at 02:00 UTC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 resource change events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SaaS tools (HubSpot, Salesforce, etc.)</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Weekly Sunday 03:00 UTC</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Partial (app-dependent)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Identity providers (Azure AD, Okta)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 user/app change events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Project management (Jira, Linear)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On-demand only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 — issue/comment webhooks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 control (GitHub, GitLab)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Weekly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 push/deploy events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Slack / Teams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Passive (webhook only)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 — message triggers</w:t>
            </w:r>
          </w:p>
        </w:tc>
      </w:tr>
    </w:tbl>
    <w:p>
      <w:pPr>
        <w:spacing w:after="60" w:before="60"/>
      </w:pPr>
    </w:p>
    <w:p>
      <w:pPr>
        <w:pStyle w:val="Heading2"/>
        <w:spacing w:after="180" w:before="360"/>
      </w:pPr>
      <w:r>
        <w:rPr>
          <w:rFonts w:ascii="Arial" w:cs="Arial" w:eastAsia="Arial" w:hAnsi="Arial"/>
          <w:b/>
          <w:bCs/>
          <w:color w:val="1B4F72"/>
          <w:sz w:val="30"/>
          <w:szCs w:val="30"/>
        </w:rPr>
        <w:t xml:space="preserve">4.2 Integration Catalog — Phase 2 (15 Integrations)</w:t>
      </w:r>
    </w:p>
    <w:p>
      <w:pPr>
        <w:pStyle w:val="Heading3"/>
        <w:spacing w:after="140" w:before="280"/>
      </w:pPr>
      <w:r>
        <w:rPr>
          <w:rFonts w:ascii="Arial" w:cs="Arial" w:eastAsia="Arial" w:hAnsi="Arial"/>
          <w:b/>
          <w:bCs/>
          <w:color w:val="1D8348"/>
          <w:sz w:val="24"/>
          <w:szCs w:val="24"/>
        </w:rPr>
        <w:t xml:space="preserve">Priority Tier 1 — Launch with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30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It Does for ActProve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Auth Method</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Discovery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Microsoft Azure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Discovers Azure Cognitive Services, OpenAI Service, ML Studio workspaces, Bot 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OAuth 2.0 (Azure AD)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List all AI/ML resources across subscriptions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Microsoft 365 / Copilot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Detects M365 Copilot activation, AI features in Teams, Word, Excel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OAuth 2.0 (Azure AD)</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Read Copilot license assignments and usage policies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Discovers Amazon Bedrock, SageMaker, Rekognition, Comprehend, Lex chatbots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AWS IAM role (OIDC)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Enumerate AI service usage via Cost Explorer + resource tags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Google Cloud (GCP)</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Discovers Vertex AI, DialogFlow, Vision AI, Natural Language API</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OAuth 2.0 (Google)</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List enabled AI APIs per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GitHub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Discovers GitHub Copilot usage, AI-powered Actions, ML model repos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GitHub App (OAuth)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Check Copilot license + repo AI-related dependencies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HubSpot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Detects AI features: email assistant, content AI, conversation intelligence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OAuth 2.0</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Read AI feature enablement via settings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Salesforce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Detects Einstein AI features, Einstein GPT, AI-powered automations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OAuth 2.0 (Salesforce)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List Einstein features and usage stats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Slack</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Monitors for new AI tool announcements, Slack AI features, Workflow Builder AI</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Slack OAuth</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Read app directory + Slack AI activation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Jira / Confluence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Syncs compliance tasks, creates Jira issues for obligations, reads AI-related 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Atlassian OAuth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 discovery + issue creation for due obligations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Okta / Azure AD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Discovers all SaaS apps authorized by company (finds shadow AI)</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OAuth 2.0</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Read app catalog — any app with 'AI' in name/description flagged</w:t>
            </w:r>
          </w:p>
        </w:tc>
      </w:tr>
    </w:tbl>
    <w:p>
      <w:pPr>
        <w:spacing w:after="60" w:before="60"/>
      </w:pPr>
    </w:p>
    <w:p>
      <w:pPr>
        <w:pStyle w:val="Heading3"/>
        <w:spacing w:after="140" w:before="280"/>
      </w:pPr>
      <w:r>
        <w:rPr>
          <w:rFonts w:ascii="Arial" w:cs="Arial" w:eastAsia="Arial" w:hAnsi="Arial"/>
          <w:b/>
          <w:bCs/>
          <w:color w:val="1D8348"/>
          <w:sz w:val="24"/>
          <w:szCs w:val="24"/>
        </w:rPr>
        <w:t xml:space="preserve">Priority Tier 2 — Months 6–12 of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Integration</w:t>
            </w:r>
          </w:p>
        </w:tc>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Value Proposition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Read Notion AI usage, import compliance docs back into Notion pages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Linear</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Create Linear issues for compliance obligations with due 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Zendesk / Intercom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Detect AI chatbot features, classify them for transparency notices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Workday / BambooHR</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Detect HR AI features (recruiting AI → high risk trigger)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OpenAI API (direct)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If company uses OpenAI API directly — auto-add all models in use to inventory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Anthropic Claude API</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Same as above for Claude API 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Snowflake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Detect ML models running in Snowflake Cortex</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Datadog / Grafana</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Read AI system performance metrics for human oversight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Google Workspace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Detect Gemini features in Docs, Gmail, Meet, Sheets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Stripe Radar</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Flag Stripe's fraud detection AI (limited risk — is it used for consequential decisions?)</w:t>
            </w:r>
          </w:p>
        </w:tc>
      </w:tr>
    </w:tbl>
    <w:p>
      <w:pPr>
        <w:spacing w:after="60" w:before="60"/>
      </w:pPr>
    </w:p>
    <w:p>
      <w:pPr>
        <w:pStyle w:val="Heading2"/>
        <w:spacing w:after="180" w:before="360"/>
      </w:pPr>
      <w:r>
        <w:rPr>
          <w:rFonts w:ascii="Arial" w:cs="Arial" w:eastAsia="Arial" w:hAnsi="Arial"/>
          <w:b/>
          <w:bCs/>
          <w:color w:val="1B4F72"/>
          <w:sz w:val="30"/>
          <w:szCs w:val="30"/>
        </w:rPr>
        <w:t xml:space="preserve">4.3 Shadow IT Discovery</w:t>
      </w:r>
    </w:p>
    <w:p>
      <w:pPr>
        <w:spacing w:after="80" w:before="80"/>
      </w:pPr>
      <w:r>
        <w:rPr>
          <w:rFonts w:ascii="Arial" w:cs="Arial" w:eastAsia="Arial" w:hAnsi="Arial"/>
          <w:color w:val="1A1A1A"/>
          <w:sz w:val="20"/>
          <w:szCs w:val="20"/>
        </w:rPr>
        <w:t xml:space="preserve">The most powerful integration feature: discovering AI tools the company uses but has not declared.</w:t>
      </w:r>
    </w:p>
    <w:p>
      <w:pPr>
        <w:spacing w:after="60" w:before="60"/>
      </w:pPr>
    </w:p>
    <w:p>
      <w:pPr>
        <w:pStyle w:val="Heading3"/>
        <w:spacing w:after="140" w:before="280"/>
      </w:pPr>
      <w:r>
        <w:rPr>
          <w:rFonts w:ascii="Arial" w:cs="Arial" w:eastAsia="Arial" w:hAnsi="Arial"/>
          <w:b/>
          <w:bCs/>
          <w:color w:val="1D8348"/>
          <w:sz w:val="24"/>
          <w:szCs w:val="24"/>
        </w:rPr>
        <w:t xml:space="preserve">4.3.1 Discovery Sources</w:t>
      </w:r>
    </w:p>
    <w:p>
      <w:pPr>
        <w:pStyle w:val="ListParagraph"/>
        <w:numPr>
          <w:ilvl w:val="0"/>
          <w:numId w:val="2"/>
        </w:numPr>
        <w:spacing w:after="40" w:before="40"/>
      </w:pPr>
      <w:r>
        <w:rPr>
          <w:rFonts w:ascii="Arial" w:cs="Arial" w:eastAsia="Arial" w:hAnsi="Arial"/>
          <w:color w:val="1A1A1A"/>
          <w:sz w:val="20"/>
          <w:szCs w:val="20"/>
        </w:rPr>
        <w:t xml:space="preserve">Identity provider (Okta, Azure AD): read all authorized apps. Cross-reference with a database of 2,000+ known AI tools. Flag any match.</w:t>
      </w:r>
    </w:p>
    <w:p>
      <w:pPr>
        <w:pStyle w:val="ListParagraph"/>
        <w:numPr>
          <w:ilvl w:val="0"/>
          <w:numId w:val="2"/>
        </w:numPr>
        <w:spacing w:after="40" w:before="40"/>
      </w:pPr>
      <w:r>
        <w:rPr>
          <w:rFonts w:ascii="Arial" w:cs="Arial" w:eastAsia="Arial" w:hAnsi="Arial"/>
          <w:color w:val="1A1A1A"/>
          <w:sz w:val="20"/>
          <w:szCs w:val="20"/>
        </w:rPr>
        <w:t xml:space="preserve">Credit card statement import (CSV): user optionally uploads business card statement. System finds recurring charges to known AI vendors.</w:t>
      </w:r>
    </w:p>
    <w:p>
      <w:pPr>
        <w:pStyle w:val="ListParagraph"/>
        <w:numPr>
          <w:ilvl w:val="0"/>
          <w:numId w:val="2"/>
        </w:numPr>
        <w:spacing w:after="40" w:before="40"/>
      </w:pPr>
      <w:r>
        <w:rPr>
          <w:rFonts w:ascii="Arial" w:cs="Arial" w:eastAsia="Arial" w:hAnsi="Arial"/>
          <w:color w:val="1A1A1A"/>
          <w:sz w:val="20"/>
          <w:szCs w:val="20"/>
        </w:rPr>
        <w:t xml:space="preserve">Browser extension (optional, future): detects AI tools being used in browser. User installs for more complete discovery.</w:t>
      </w:r>
    </w:p>
    <w:p>
      <w:pPr>
        <w:pStyle w:val="ListParagraph"/>
        <w:numPr>
          <w:ilvl w:val="0"/>
          <w:numId w:val="2"/>
        </w:numPr>
        <w:spacing w:after="40" w:before="40"/>
      </w:pPr>
      <w:r>
        <w:rPr>
          <w:rFonts w:ascii="Arial" w:cs="Arial" w:eastAsia="Arial" w:hAnsi="Arial"/>
          <w:color w:val="1A1A1A"/>
          <w:sz w:val="20"/>
          <w:szCs w:val="20"/>
        </w:rPr>
        <w:t xml:space="preserve">Email domain scan: look for confirmation emails or invoices from known AI vendors in connected email (Gmail/Outlook — read-only).</w:t>
      </w:r>
    </w:p>
    <w:p>
      <w:pPr>
        <w:spacing w:after="60" w:before="60"/>
      </w:pPr>
    </w:p>
    <w:p>
      <w:pPr>
        <w:pStyle w:val="Heading3"/>
        <w:spacing w:after="140" w:before="280"/>
      </w:pPr>
      <w:r>
        <w:rPr>
          <w:rFonts w:ascii="Arial" w:cs="Arial" w:eastAsia="Arial" w:hAnsi="Arial"/>
          <w:b/>
          <w:bCs/>
          <w:color w:val="1D8348"/>
          <w:sz w:val="24"/>
          <w:szCs w:val="24"/>
        </w:rPr>
        <w:t xml:space="preserve">4.3.2 Shadow IT Alert Flow</w:t>
      </w:r>
    </w:p>
    <w:p>
      <w:pPr>
        <w:pStyle w:val="ListParagraph"/>
        <w:numPr>
          <w:ilvl w:val="0"/>
          <w:numId w:val="3"/>
        </w:numPr>
        <w:spacing w:after="40" w:before="40"/>
      </w:pPr>
      <w:r>
        <w:rPr>
          <w:rFonts w:ascii="Arial" w:cs="Arial" w:eastAsia="Arial" w:hAnsi="Arial"/>
          <w:color w:val="1A1A1A"/>
          <w:sz w:val="20"/>
          <w:szCs w:val="20"/>
        </w:rPr>
        <w:t xml:space="preserve">System discovers a tool not in the ActProve inventory (e.g., Midjourney found via Azure AD SSO apps)</w:t>
      </w:r>
    </w:p>
    <w:p>
      <w:pPr>
        <w:pStyle w:val="ListParagraph"/>
        <w:numPr>
          <w:ilvl w:val="0"/>
          <w:numId w:val="3"/>
        </w:numPr>
        <w:spacing w:after="40" w:before="40"/>
      </w:pPr>
      <w:r>
        <w:rPr>
          <w:rFonts w:ascii="Arial" w:cs="Arial" w:eastAsia="Arial" w:hAnsi="Arial"/>
          <w:color w:val="1A1A1A"/>
          <w:sz w:val="20"/>
          <w:szCs w:val="20"/>
        </w:rPr>
        <w:t xml:space="preserve">Creates a pending 'candidate system' in the inventory (status: 'discovered_not_reviewed')</w:t>
      </w:r>
    </w:p>
    <w:p>
      <w:pPr>
        <w:pStyle w:val="ListParagraph"/>
        <w:numPr>
          <w:ilvl w:val="0"/>
          <w:numId w:val="3"/>
        </w:numPr>
        <w:spacing w:after="40" w:before="40"/>
      </w:pPr>
      <w:r>
        <w:rPr>
          <w:rFonts w:ascii="Arial" w:cs="Arial" w:eastAsia="Arial" w:hAnsi="Arial"/>
          <w:color w:val="1A1A1A"/>
          <w:sz w:val="20"/>
          <w:szCs w:val="20"/>
        </w:rPr>
        <w:t xml:space="preserve">Sends in-app notification + email: "We found 3 AI tools not in your inventory — review them"</w:t>
      </w:r>
    </w:p>
    <w:p>
      <w:pPr>
        <w:pStyle w:val="ListParagraph"/>
        <w:numPr>
          <w:ilvl w:val="0"/>
          <w:numId w:val="3"/>
        </w:numPr>
        <w:spacing w:after="40" w:before="40"/>
      </w:pPr>
      <w:r>
        <w:rPr>
          <w:rFonts w:ascii="Arial" w:cs="Arial" w:eastAsia="Arial" w:hAnsi="Arial"/>
          <w:color w:val="1A1A1A"/>
          <w:sz w:val="20"/>
          <w:szCs w:val="20"/>
        </w:rPr>
        <w:t xml:space="preserve">User reviews candidates: confirm as real system, dismiss (not AI/not relevant), or investigate</w:t>
      </w:r>
    </w:p>
    <w:p>
      <w:pPr>
        <w:pStyle w:val="ListParagraph"/>
        <w:numPr>
          <w:ilvl w:val="0"/>
          <w:numId w:val="3"/>
        </w:numPr>
        <w:spacing w:after="40" w:before="40"/>
      </w:pPr>
      <w:r>
        <w:rPr>
          <w:rFonts w:ascii="Arial" w:cs="Arial" w:eastAsia="Arial" w:hAnsi="Arial"/>
          <w:color w:val="1A1A1A"/>
          <w:sz w:val="20"/>
          <w:szCs w:val="20"/>
        </w:rPr>
        <w:t xml:space="preserve">Confirmed candidates auto-add to inventory and trigger risk classification</w:t>
      </w:r>
    </w:p>
    <w:p>
      <w:pPr>
        <w:spacing w:after="60" w:before="60"/>
      </w:pPr>
    </w:p>
    <w:p>
      <w:pPr>
        <w:pStyle w:val="Heading2"/>
        <w:spacing w:after="180" w:before="360"/>
      </w:pPr>
      <w:r>
        <w:rPr>
          <w:rFonts w:ascii="Arial" w:cs="Arial" w:eastAsia="Arial" w:hAnsi="Arial"/>
          <w:b/>
          <w:bCs/>
          <w:color w:val="1B4F72"/>
          <w:sz w:val="30"/>
          <w:szCs w:val="30"/>
        </w:rPr>
        <w:t xml:space="preserve">4.4 Integration Settings UI</w:t>
      </w:r>
    </w:p>
    <w:p>
      <w:pPr>
        <w:spacing w:after="80" w:before="80"/>
      </w:pPr>
      <w:r>
        <w:rPr>
          <w:rFonts w:ascii="Arial" w:cs="Arial" w:eastAsia="Arial" w:hAnsi="Arial"/>
          <w:color w:val="1A1A1A"/>
          <w:sz w:val="20"/>
          <w:szCs w:val="20"/>
        </w:rPr>
        <w:t xml:space="preserve">Route: /dashboard/integrations</w:t>
      </w:r>
    </w:p>
    <w:p>
      <w:pPr>
        <w:pStyle w:val="Heading3"/>
        <w:spacing w:after="140" w:before="280"/>
      </w:pPr>
      <w:r>
        <w:rPr>
          <w:rFonts w:ascii="Arial" w:cs="Arial" w:eastAsia="Arial" w:hAnsi="Arial"/>
          <w:b/>
          <w:bCs/>
          <w:color w:val="1D8348"/>
          <w:sz w:val="24"/>
          <w:szCs w:val="24"/>
        </w:rPr>
        <w:t xml:space="preserve">4.4.1 Integration Cards Grid</w:t>
      </w:r>
    </w:p>
    <w:p>
      <w:pPr>
        <w:spacing w:after="80" w:before="80"/>
      </w:pPr>
      <w:r>
        <w:rPr>
          <w:rFonts w:ascii="Arial" w:cs="Arial" w:eastAsia="Arial" w:hAnsi="Arial"/>
          <w:color w:val="1A1A1A"/>
          <w:sz w:val="20"/>
          <w:szCs w:val="20"/>
        </w:rPr>
        <w:t xml:space="preserve">Grid of all available integrations. Each card shows:</w:t>
      </w:r>
    </w:p>
    <w:p>
      <w:pPr>
        <w:pStyle w:val="ListParagraph"/>
        <w:numPr>
          <w:ilvl w:val="0"/>
          <w:numId w:val="2"/>
        </w:numPr>
        <w:spacing w:after="40" w:before="40"/>
      </w:pPr>
      <w:r>
        <w:rPr>
          <w:rFonts w:ascii="Arial" w:cs="Arial" w:eastAsia="Arial" w:hAnsi="Arial"/>
          <w:color w:val="1A1A1A"/>
          <w:sz w:val="20"/>
          <w:szCs w:val="20"/>
        </w:rPr>
        <w:t xml:space="preserve">Integration logo + name</w:t>
      </w:r>
    </w:p>
    <w:p>
      <w:pPr>
        <w:pStyle w:val="ListParagraph"/>
        <w:numPr>
          <w:ilvl w:val="0"/>
          <w:numId w:val="2"/>
        </w:numPr>
        <w:spacing w:after="40" w:before="40"/>
      </w:pPr>
      <w:r>
        <w:rPr>
          <w:rFonts w:ascii="Arial" w:cs="Arial" w:eastAsia="Arial" w:hAnsi="Arial"/>
          <w:color w:val="1A1A1A"/>
          <w:sz w:val="20"/>
          <w:szCs w:val="20"/>
        </w:rPr>
        <w:t xml:space="preserve">Status badge: Connected | Not connected | Error | Pending authorization</w:t>
      </w:r>
    </w:p>
    <w:p>
      <w:pPr>
        <w:pStyle w:val="ListParagraph"/>
        <w:numPr>
          <w:ilvl w:val="0"/>
          <w:numId w:val="2"/>
        </w:numPr>
        <w:spacing w:after="40" w:before="40"/>
      </w:pPr>
      <w:r>
        <w:rPr>
          <w:rFonts w:ascii="Arial" w:cs="Arial" w:eastAsia="Arial" w:hAnsi="Arial"/>
          <w:color w:val="1A1A1A"/>
          <w:sz w:val="20"/>
          <w:szCs w:val="20"/>
        </w:rPr>
        <w:t xml:space="preserve">Last sync time and result (X systems discovered, Y new, Z updated)</w:t>
      </w:r>
    </w:p>
    <w:p>
      <w:pPr>
        <w:pStyle w:val="ListParagraph"/>
        <w:numPr>
          <w:ilvl w:val="0"/>
          <w:numId w:val="2"/>
        </w:numPr>
        <w:spacing w:after="40" w:before="40"/>
      </w:pPr>
      <w:r>
        <w:rPr>
          <w:rFonts w:ascii="Arial" w:cs="Arial" w:eastAsia="Arial" w:hAnsi="Arial"/>
          <w:color w:val="1A1A1A"/>
          <w:sz w:val="20"/>
          <w:szCs w:val="20"/>
        </w:rPr>
        <w:t xml:space="preserve">"Connect" button → OAuth flow OR API key input</w:t>
      </w:r>
    </w:p>
    <w:p>
      <w:pPr>
        <w:pStyle w:val="ListParagraph"/>
        <w:numPr>
          <w:ilvl w:val="0"/>
          <w:numId w:val="2"/>
        </w:numPr>
        <w:spacing w:after="40" w:before="40"/>
      </w:pPr>
      <w:r>
        <w:rPr>
          <w:rFonts w:ascii="Arial" w:cs="Arial" w:eastAsia="Arial" w:hAnsi="Arial"/>
          <w:color w:val="1A1A1A"/>
          <w:sz w:val="20"/>
          <w:szCs w:val="20"/>
        </w:rPr>
        <w:t xml:space="preserve">"Sync now" button (manual trigger)</w:t>
      </w:r>
    </w:p>
    <w:p>
      <w:pPr>
        <w:pStyle w:val="ListParagraph"/>
        <w:numPr>
          <w:ilvl w:val="0"/>
          <w:numId w:val="2"/>
        </w:numPr>
        <w:spacing w:after="40" w:before="40"/>
      </w:pPr>
      <w:r>
        <w:rPr>
          <w:rFonts w:ascii="Arial" w:cs="Arial" w:eastAsia="Arial" w:hAnsi="Arial"/>
          <w:color w:val="1A1A1A"/>
          <w:sz w:val="20"/>
          <w:szCs w:val="20"/>
        </w:rPr>
        <w:t xml:space="preserve">"Configure" → settings specific to this integration</w:t>
      </w:r>
    </w:p>
    <w:p>
      <w:pPr>
        <w:pStyle w:val="ListParagraph"/>
        <w:numPr>
          <w:ilvl w:val="0"/>
          <w:numId w:val="2"/>
        </w:numPr>
        <w:spacing w:after="40" w:before="40"/>
      </w:pPr>
      <w:r>
        <w:rPr>
          <w:rFonts w:ascii="Arial" w:cs="Arial" w:eastAsia="Arial" w:hAnsi="Arial"/>
          <w:color w:val="1A1A1A"/>
          <w:sz w:val="20"/>
          <w:szCs w:val="20"/>
        </w:rPr>
        <w:t xml:space="preserve">"Disconnect" → revoke credentials, optionally delete synced data</w:t>
      </w:r>
    </w:p>
    <w:p>
      <w:pPr>
        <w:spacing w:after="60" w:before="60"/>
      </w:pPr>
    </w:p>
    <w:p>
      <w:pPr>
        <w:pStyle w:val="Heading3"/>
        <w:spacing w:after="140" w:before="280"/>
      </w:pPr>
      <w:r>
        <w:rPr>
          <w:rFonts w:ascii="Arial" w:cs="Arial" w:eastAsia="Arial" w:hAnsi="Arial"/>
          <w:b/>
          <w:bCs/>
          <w:color w:val="1D8348"/>
          <w:sz w:val="24"/>
          <w:szCs w:val="24"/>
        </w:rPr>
        <w:t xml:space="preserve">4.4.2 Integration-Specific Settings</w:t>
      </w:r>
    </w:p>
    <w:p>
      <w:pPr>
        <w:spacing w:after="80" w:before="80"/>
      </w:pPr>
      <w:r>
        <w:rPr>
          <w:rFonts w:ascii="Arial" w:cs="Arial" w:eastAsia="Arial" w:hAnsi="Arial"/>
          <w:color w:val="1A1A1A"/>
          <w:sz w:val="20"/>
          <w:szCs w:val="20"/>
        </w:rPr>
        <w:t xml:space="preserve">Each integration can be configured:</w:t>
      </w:r>
    </w:p>
    <w:p>
      <w:pPr>
        <w:pStyle w:val="ListParagraph"/>
        <w:numPr>
          <w:ilvl w:val="0"/>
          <w:numId w:val="2"/>
        </w:numPr>
        <w:spacing w:after="40" w:before="40"/>
      </w:pPr>
      <w:r>
        <w:rPr>
          <w:rFonts w:ascii="Arial" w:cs="Arial" w:eastAsia="Arial" w:hAnsi="Arial"/>
          <w:color w:val="1A1A1A"/>
          <w:sz w:val="20"/>
          <w:szCs w:val="20"/>
        </w:rPr>
        <w:t xml:space="preserve">Sync cadence override (more or less frequent than default)</w:t>
      </w:r>
    </w:p>
    <w:p>
      <w:pPr>
        <w:pStyle w:val="ListParagraph"/>
        <w:numPr>
          <w:ilvl w:val="0"/>
          <w:numId w:val="2"/>
        </w:numPr>
        <w:spacing w:after="40" w:before="40"/>
      </w:pPr>
      <w:r>
        <w:rPr>
          <w:rFonts w:ascii="Arial" w:cs="Arial" w:eastAsia="Arial" w:hAnsi="Arial"/>
          <w:color w:val="1A1A1A"/>
          <w:sz w:val="20"/>
          <w:szCs w:val="20"/>
        </w:rPr>
        <w:t xml:space="preserve">Resource filters: only sync resources in specific regions, accounts, or projects</w:t>
      </w:r>
    </w:p>
    <w:p>
      <w:pPr>
        <w:pStyle w:val="ListParagraph"/>
        <w:numPr>
          <w:ilvl w:val="0"/>
          <w:numId w:val="2"/>
        </w:numPr>
        <w:spacing w:after="40" w:before="40"/>
      </w:pPr>
      <w:r>
        <w:rPr>
          <w:rFonts w:ascii="Arial" w:cs="Arial" w:eastAsia="Arial" w:hAnsi="Arial"/>
          <w:color w:val="1A1A1A"/>
          <w:sz w:val="20"/>
          <w:szCs w:val="20"/>
        </w:rPr>
        <w:t xml:space="preserve">Auto-confirm discovered systems (trusted source = auto-add vs requires review)</w:t>
      </w:r>
    </w:p>
    <w:p>
      <w:pPr>
        <w:pStyle w:val="ListParagraph"/>
        <w:numPr>
          <w:ilvl w:val="0"/>
          <w:numId w:val="2"/>
        </w:numPr>
        <w:spacing w:after="40" w:before="40"/>
      </w:pPr>
      <w:r>
        <w:rPr>
          <w:rFonts w:ascii="Arial" w:cs="Arial" w:eastAsia="Arial" w:hAnsi="Arial"/>
          <w:color w:val="1A1A1A"/>
          <w:sz w:val="20"/>
          <w:szCs w:val="20"/>
        </w:rPr>
        <w:t xml:space="preserve">Notifications: alert when new AI system discovered, when sync fails</w:t>
      </w:r>
    </w:p>
    <w:p>
      <w:pPr>
        <w:spacing w:after="60" w:before="60"/>
      </w:pPr>
    </w:p>
    <w:p>
      <w:pPr>
        <w:pStyle w:val="Heading2"/>
        <w:spacing w:after="180" w:before="360"/>
      </w:pPr>
      <w:r>
        <w:rPr>
          <w:rFonts w:ascii="Arial" w:cs="Arial" w:eastAsia="Arial" w:hAnsi="Arial"/>
          <w:b/>
          <w:bCs/>
          <w:color w:val="1B4F72"/>
          <w:sz w:val="30"/>
          <w:szCs w:val="30"/>
        </w:rPr>
        <w:t xml:space="preserve">4.5 Public API — Phase 2</w:t>
      </w:r>
    </w:p>
    <w:p>
      <w:pPr>
        <w:pStyle w:val="Heading3"/>
        <w:spacing w:after="140" w:before="280"/>
      </w:pPr>
      <w:r>
        <w:rPr>
          <w:rFonts w:ascii="Arial" w:cs="Arial" w:eastAsia="Arial" w:hAnsi="Arial"/>
          <w:b/>
          <w:bCs/>
          <w:color w:val="1D8348"/>
          <w:sz w:val="24"/>
          <w:szCs w:val="24"/>
        </w:rPr>
        <w:t xml:space="preserve">4.5.1 Why a Public API</w:t>
      </w:r>
    </w:p>
    <w:p>
      <w:pPr>
        <w:pStyle w:val="ListParagraph"/>
        <w:numPr>
          <w:ilvl w:val="0"/>
          <w:numId w:val="2"/>
        </w:numPr>
        <w:spacing w:after="40" w:before="40"/>
      </w:pPr>
      <w:r>
        <w:rPr>
          <w:rFonts w:ascii="Arial" w:cs="Arial" w:eastAsia="Arial" w:hAnsi="Arial"/>
          <w:color w:val="1A1A1A"/>
          <w:sz w:val="20"/>
          <w:szCs w:val="20"/>
        </w:rPr>
        <w:t xml:space="preserve">Enterprise customers want to integrate ActProve data into their own dashboards (GRC tools, SIEM, internal portals)</w:t>
      </w:r>
    </w:p>
    <w:p>
      <w:pPr>
        <w:pStyle w:val="ListParagraph"/>
        <w:numPr>
          <w:ilvl w:val="0"/>
          <w:numId w:val="2"/>
        </w:numPr>
        <w:spacing w:after="40" w:before="40"/>
      </w:pPr>
      <w:r>
        <w:rPr>
          <w:rFonts w:ascii="Arial" w:cs="Arial" w:eastAsia="Arial" w:hAnsi="Arial"/>
          <w:color w:val="1A1A1A"/>
          <w:sz w:val="20"/>
          <w:szCs w:val="20"/>
        </w:rPr>
        <w:t xml:space="preserve">Developers want to automate compliance data collection (CI/CD pipelines that update inventory on deployment)</w:t>
      </w:r>
    </w:p>
    <w:p>
      <w:pPr>
        <w:pStyle w:val="ListParagraph"/>
        <w:numPr>
          <w:ilvl w:val="0"/>
          <w:numId w:val="2"/>
        </w:numPr>
        <w:spacing w:after="40" w:before="40"/>
      </w:pPr>
      <w:r>
        <w:rPr>
          <w:rFonts w:ascii="Arial" w:cs="Arial" w:eastAsia="Arial" w:hAnsi="Arial"/>
          <w:color w:val="1A1A1A"/>
          <w:sz w:val="20"/>
          <w:szCs w:val="20"/>
        </w:rPr>
        <w:t xml:space="preserve">Partners want to white-label ActProve data into their own compliance products</w:t>
      </w:r>
    </w:p>
    <w:p>
      <w:pPr>
        <w:pStyle w:val="ListParagraph"/>
        <w:numPr>
          <w:ilvl w:val="0"/>
          <w:numId w:val="2"/>
        </w:numPr>
        <w:spacing w:after="40" w:before="40"/>
      </w:pPr>
      <w:r>
        <w:rPr>
          <w:rFonts w:ascii="Arial" w:cs="Arial" w:eastAsia="Arial" w:hAnsi="Arial"/>
          <w:color w:val="1A1A1A"/>
          <w:sz w:val="20"/>
          <w:szCs w:val="20"/>
        </w:rPr>
        <w:t xml:space="preserve">Creates developer ecosystem and long-term stickiness</w:t>
      </w:r>
    </w:p>
    <w:p>
      <w:pPr>
        <w:spacing w:after="60" w:before="60"/>
      </w:pPr>
    </w:p>
    <w:p>
      <w:pPr>
        <w:pStyle w:val="Heading3"/>
        <w:spacing w:after="140" w:before="280"/>
      </w:pPr>
      <w:r>
        <w:rPr>
          <w:rFonts w:ascii="Arial" w:cs="Arial" w:eastAsia="Arial" w:hAnsi="Arial"/>
          <w:b/>
          <w:bCs/>
          <w:color w:val="1D8348"/>
          <w:sz w:val="24"/>
          <w:szCs w:val="24"/>
        </w:rPr>
        <w:t xml:space="preserve">4.5.2 API Endpoints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800"/>
        <w:gridCol w:w="1200"/>
        <w:gridCol w:w="22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/v1/inventory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List all AI systems with pagination, filters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Growth+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 /v1/inventory/:id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 single AI system with full details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/v1/inventory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Create new AI system programmatically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PUT /v1/inventory/:id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Update AI system fields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/v1/register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formal AI register as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Growth+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 /v1/register.pdf</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Download register as PDF (generated async)</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/v1/compliance/score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current compliance score breakdown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Growth+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 /v1/compliance/obligations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List all obligations with status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/v1/compliance/obligations/:id/complete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 obligation as 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 /v1/documents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List generated compliance documents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Growth+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 /v1/documents/generate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Trigger document generation async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 /v1/regulations/updates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RSS-like feed of regulation updates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/v1/trust-page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 public Trust Page data as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(public)</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POST /v1/webhooks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Register a webhook endpoint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DELETE /v1/webhooks/:id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Remove webhook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w:t>
            </w:r>
          </w:p>
        </w:tc>
      </w:tr>
    </w:tbl>
    <w:p>
      <w:pPr>
        <w:spacing w:after="60" w:before="60"/>
      </w:pPr>
    </w:p>
    <w:p>
      <w:pPr>
        <w:pStyle w:val="Heading3"/>
        <w:spacing w:after="140" w:before="280"/>
      </w:pPr>
      <w:r>
        <w:rPr>
          <w:rFonts w:ascii="Arial" w:cs="Arial" w:eastAsia="Arial" w:hAnsi="Arial"/>
          <w:b/>
          <w:bCs/>
          <w:color w:val="1D8348"/>
          <w:sz w:val="24"/>
          <w:szCs w:val="24"/>
        </w:rPr>
        <w:t xml:space="preserve">4.5.3 API Key Management UI</w:t>
      </w:r>
    </w:p>
    <w:p>
      <w:pPr>
        <w:spacing w:after="80" w:before="80"/>
      </w:pPr>
      <w:r>
        <w:rPr>
          <w:rFonts w:ascii="Arial" w:cs="Arial" w:eastAsia="Arial" w:hAnsi="Arial"/>
          <w:color w:val="1A1A1A"/>
          <w:sz w:val="20"/>
          <w:szCs w:val="20"/>
        </w:rPr>
        <w:t xml:space="preserve">Route: /dashboard/settings/api</w:t>
      </w:r>
    </w:p>
    <w:p>
      <w:pPr>
        <w:pStyle w:val="ListParagraph"/>
        <w:numPr>
          <w:ilvl w:val="0"/>
          <w:numId w:val="2"/>
        </w:numPr>
        <w:spacing w:after="40" w:before="40"/>
      </w:pPr>
      <w:r>
        <w:rPr>
          <w:rFonts w:ascii="Arial" w:cs="Arial" w:eastAsia="Arial" w:hAnsi="Arial"/>
          <w:color w:val="1A1A1A"/>
          <w:sz w:val="20"/>
          <w:szCs w:val="20"/>
        </w:rPr>
        <w:t xml:space="preserve">Create API key: name, permissions (read-only | read-write), expiry date</w:t>
      </w:r>
    </w:p>
    <w:p>
      <w:pPr>
        <w:pStyle w:val="ListParagraph"/>
        <w:numPr>
          <w:ilvl w:val="0"/>
          <w:numId w:val="2"/>
        </w:numPr>
        <w:spacing w:after="40" w:before="40"/>
      </w:pPr>
      <w:r>
        <w:rPr>
          <w:rFonts w:ascii="Arial" w:cs="Arial" w:eastAsia="Arial" w:hAnsi="Arial"/>
          <w:color w:val="1A1A1A"/>
          <w:sz w:val="20"/>
          <w:szCs w:val="20"/>
        </w:rPr>
        <w:t xml:space="preserve">List of active keys: name, last used, permissions, expiry — never show full key again after creation</w:t>
      </w:r>
    </w:p>
    <w:p>
      <w:pPr>
        <w:pStyle w:val="ListParagraph"/>
        <w:numPr>
          <w:ilvl w:val="0"/>
          <w:numId w:val="2"/>
        </w:numPr>
        <w:spacing w:after="40" w:before="40"/>
      </w:pPr>
      <w:r>
        <w:rPr>
          <w:rFonts w:ascii="Arial" w:cs="Arial" w:eastAsia="Arial" w:hAnsi="Arial"/>
          <w:color w:val="1A1A1A"/>
          <w:sz w:val="20"/>
          <w:szCs w:val="20"/>
        </w:rPr>
        <w:t xml:space="preserve">Revoke key: immediate invalidation with confirmation</w:t>
      </w:r>
    </w:p>
    <w:p>
      <w:pPr>
        <w:pStyle w:val="ListParagraph"/>
        <w:numPr>
          <w:ilvl w:val="0"/>
          <w:numId w:val="2"/>
        </w:numPr>
        <w:spacing w:after="40" w:before="40"/>
      </w:pPr>
      <w:r>
        <w:rPr>
          <w:rFonts w:ascii="Arial" w:cs="Arial" w:eastAsia="Arial" w:hAnsi="Arial"/>
          <w:color w:val="1A1A1A"/>
          <w:sz w:val="20"/>
          <w:szCs w:val="20"/>
        </w:rPr>
        <w:t xml:space="preserve">Usage stats: calls per day/week, most used endpoints, error rates</w:t>
      </w:r>
    </w:p>
    <w:p>
      <w:pPr>
        <w:pStyle w:val="ListParagraph"/>
        <w:numPr>
          <w:ilvl w:val="0"/>
          <w:numId w:val="2"/>
        </w:numPr>
        <w:spacing w:after="40" w:before="40"/>
      </w:pPr>
      <w:r>
        <w:rPr>
          <w:rFonts w:ascii="Arial" w:cs="Arial" w:eastAsia="Arial" w:hAnsi="Arial"/>
          <w:color w:val="1A1A1A"/>
          <w:sz w:val="20"/>
          <w:szCs w:val="20"/>
        </w:rPr>
        <w:t xml:space="preserve">Rate limits displayed: 1000 req/hour (Growth), 10000 req/hour (Team)</w:t>
      </w:r>
    </w:p>
    <w:p>
      <w:pPr>
        <w:spacing w:after="60" w:before="60"/>
      </w:pPr>
    </w:p>
    <w:p>
      <w:r>
        <w:br/>
      </w:r>
    </w:p>
    <w:p>
      <w:pPr>
        <w:pStyle w:val="Heading1"/>
        <w:spacing w:after="240" w:before="480"/>
      </w:pPr>
      <w:r>
        <w:rPr>
          <w:rFonts w:ascii="Arial" w:cs="Arial" w:eastAsia="Arial" w:hAnsi="Arial"/>
          <w:b/>
          <w:bCs/>
          <w:color w:val="1B4F72"/>
          <w:sz w:val="40"/>
          <w:szCs w:val="40"/>
        </w:rPr>
        <w:t xml:space="preserve">5. Feature Deep-Dive: Sector-Specific Compliance Modules</w:t>
      </w:r>
    </w:p>
    <w:p>
      <w:pPr>
        <w:pBdr>
          <w:bottom w:val="single" w:color="1D8348"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5F5E3" w:val="clear"/>
            <w:tcMar>
              <w:top w:type="dxa" w:w="140"/>
              <w:left w:type="dxa" w:w="220"/>
              <w:bottom w:type="dxa" w:w="140"/>
              <w:right w:type="dxa" w:w="220"/>
            </w:tcMar>
          </w:tcPr>
          <w:p>
            <w:r>
              <w:rPr>
                <w:rFonts w:ascii="Arial" w:cs="Arial" w:eastAsia="Arial" w:hAnsi="Arial"/>
                <w:b/>
                <w:bCs/>
                <w:color w:val="1B4F72"/>
                <w:sz w:val="21"/>
                <w:szCs w:val="21"/>
              </w:rPr>
              <w:t xml:space="preserve">Why Sectors Matter:</w:t>
            </w:r>
          </w:p>
          <w:p>
            <w:pPr>
              <w:spacing w:before="80"/>
            </w:pPr>
            <w:r>
              <w:rPr>
                <w:rFonts w:ascii="Arial" w:cs="Arial" w:eastAsia="Arial" w:hAnsi="Arial"/>
                <w:color w:val="1A1A1A"/>
                <w:sz w:val="19"/>
                <w:szCs w:val="19"/>
              </w:rPr>
              <w:t xml:space="preserve">EU AI Act is not one-size-fits-all. A healthcare company using AI for diagnosis has dramatically different obligations than an e-commerce company using AI for product recommendations. Sector modules make ActProve feel like it was built specifically for each customer's industry.</w:t>
            </w:r>
          </w:p>
        </w:tc>
      </w:tr>
    </w:tbl>
    <w:p>
      <w:pPr>
        <w:spacing w:after="60" w:before="60"/>
      </w:pPr>
    </w:p>
    <w:p>
      <w:pPr>
        <w:pStyle w:val="Heading2"/>
        <w:spacing w:after="180" w:before="360"/>
      </w:pPr>
      <w:r>
        <w:rPr>
          <w:rFonts w:ascii="Arial" w:cs="Arial" w:eastAsia="Arial" w:hAnsi="Arial"/>
          <w:b/>
          <w:bCs/>
          <w:color w:val="1B4F72"/>
          <w:sz w:val="30"/>
          <w:szCs w:val="30"/>
        </w:rPr>
        <w:t xml:space="preserve">5.1 Sector Module Architecture</w:t>
      </w:r>
    </w:p>
    <w:p>
      <w:pPr>
        <w:spacing w:after="80" w:before="80"/>
      </w:pPr>
      <w:r>
        <w:rPr>
          <w:rFonts w:ascii="Arial" w:cs="Arial" w:eastAsia="Arial" w:hAnsi="Arial"/>
          <w:color w:val="1A1A1A"/>
          <w:sz w:val="20"/>
          <w:szCs w:val="20"/>
        </w:rPr>
        <w:t xml:space="preserve">Each sector module extends the base compliance checklist with sector-specific obligations, document templates, and risk classification rules. Modules are activated when the user selects their industry during onboarding or in settings.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400"/>
        <w:gridCol w:w="33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Sector</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 2 Priority</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 Additions vs Base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High-Risk AI Systems Common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Healthcare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FRIA templates, patient safety checks, MDR crosswalk, clinical AI validation requirements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Diagnostic AI, treatment recommendation, drug interaction, patient triage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Finance / Fintech</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Credit scoring review, DORA crosswalk, EBA guidelines, explainability requirements for credit decisions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Credit scoring, fraud detection, trading algorithms, KYC verification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HR / Recruitment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CV screening warnings, interview AI disclosure, worker monitoring rules (Art. 22 GDPR crosswalk)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CV screeners, interview analysis, performance monitoring, shift allocation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Legal / Professional Services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Client confidentiality AI rules, document AI disclosure, legal AI limitations disclaimers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Contract analysis, legal research, document review, outcome prediction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Education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Student data protection, AI tutoring disclosure, automated assessment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Automated grading, learning adaptation, student profiling, dropout prediction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E-commerce / Retail</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Dynamic pricing disclosure, personalization transparency, recommender system notices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Product recommendation, price optimization, demand forecasting, fraud detection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 Sector / Gov-Tech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(high complexity)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Biometric ID rules, democratic process protections, public interest AI exceptions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Identity verification, benefits assessment, public safety AI</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Manufacturing / Industry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Low</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Industrial AI safety, worker safety monitoring, predictive maintenance disclosure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Quality control vision AI, predictive maintenance, worker safety monitoring</w:t>
            </w:r>
          </w:p>
        </w:tc>
      </w:tr>
    </w:tbl>
    <w:p>
      <w:pPr>
        <w:spacing w:after="60" w:before="60"/>
      </w:pPr>
    </w:p>
    <w:p>
      <w:pPr>
        <w:pStyle w:val="Heading2"/>
        <w:spacing w:after="180" w:before="360"/>
      </w:pPr>
      <w:r>
        <w:rPr>
          <w:rFonts w:ascii="Arial" w:cs="Arial" w:eastAsia="Arial" w:hAnsi="Arial"/>
          <w:b/>
          <w:bCs/>
          <w:color w:val="1B4F72"/>
          <w:sz w:val="30"/>
          <w:szCs w:val="30"/>
        </w:rPr>
        <w:t xml:space="preserve">5.2 Healthcare Sector Module — Deep Dive</w:t>
      </w:r>
    </w:p>
    <w:p>
      <w:pPr>
        <w:pStyle w:val="Heading3"/>
        <w:spacing w:after="140" w:before="280"/>
      </w:pPr>
      <w:r>
        <w:rPr>
          <w:rFonts w:ascii="Arial" w:cs="Arial" w:eastAsia="Arial" w:hAnsi="Arial"/>
          <w:b/>
          <w:bCs/>
          <w:color w:val="1D8348"/>
          <w:sz w:val="24"/>
          <w:szCs w:val="24"/>
        </w:rPr>
        <w:t xml:space="preserve">5.2.1 Specific Obligations</w:t>
      </w:r>
    </w:p>
    <w:p>
      <w:pPr>
        <w:pStyle w:val="ListParagraph"/>
        <w:numPr>
          <w:ilvl w:val="0"/>
          <w:numId w:val="2"/>
        </w:numPr>
        <w:spacing w:after="40" w:before="40"/>
      </w:pPr>
      <w:r>
        <w:rPr>
          <w:rFonts w:ascii="Arial" w:cs="Arial" w:eastAsia="Arial" w:hAnsi="Arial"/>
          <w:color w:val="1A1A1A"/>
          <w:sz w:val="20"/>
          <w:szCs w:val="20"/>
        </w:rPr>
        <w:t xml:space="preserve">Clinical AI Validation Documentation: evidence that AI diagnostic tools have been clinically validated (required for high-risk AI in healthcare)</w:t>
      </w:r>
    </w:p>
    <w:p>
      <w:pPr>
        <w:pStyle w:val="ListParagraph"/>
        <w:numPr>
          <w:ilvl w:val="0"/>
          <w:numId w:val="2"/>
        </w:numPr>
        <w:spacing w:after="40" w:before="40"/>
      </w:pPr>
      <w:r>
        <w:rPr>
          <w:rFonts w:ascii="Arial" w:cs="Arial" w:eastAsia="Arial" w:hAnsi="Arial"/>
          <w:color w:val="1A1A1A"/>
          <w:sz w:val="20"/>
          <w:szCs w:val="20"/>
        </w:rPr>
        <w:t xml:space="preserve">Patient Disclosure Template: informed consent language for when AI assists in clinical decisions</w:t>
      </w:r>
    </w:p>
    <w:p>
      <w:pPr>
        <w:pStyle w:val="ListParagraph"/>
        <w:numPr>
          <w:ilvl w:val="0"/>
          <w:numId w:val="2"/>
        </w:numPr>
        <w:spacing w:after="40" w:before="40"/>
      </w:pPr>
      <w:r>
        <w:rPr>
          <w:rFonts w:ascii="Arial" w:cs="Arial" w:eastAsia="Arial" w:hAnsi="Arial"/>
          <w:color w:val="1A1A1A"/>
          <w:sz w:val="20"/>
          <w:szCs w:val="20"/>
        </w:rPr>
        <w:t xml:space="preserve">Medical Device AI Crosswalk: check if AI system also falls under EU Medical Device Regulation (MDR) — double compliance requirement</w:t>
      </w:r>
    </w:p>
    <w:p>
      <w:pPr>
        <w:pStyle w:val="ListParagraph"/>
        <w:numPr>
          <w:ilvl w:val="0"/>
          <w:numId w:val="2"/>
        </w:numPr>
        <w:spacing w:after="40" w:before="40"/>
      </w:pPr>
      <w:r>
        <w:rPr>
          <w:rFonts w:ascii="Arial" w:cs="Arial" w:eastAsia="Arial" w:hAnsi="Arial"/>
          <w:color w:val="1A1A1A"/>
          <w:sz w:val="20"/>
          <w:szCs w:val="20"/>
        </w:rPr>
        <w:t xml:space="preserve">Human Override Documentation: explicit documentation that clinicians can override AI recommendations (Art. 14 human oversight)</w:t>
      </w:r>
    </w:p>
    <w:p>
      <w:pPr>
        <w:pStyle w:val="ListParagraph"/>
        <w:numPr>
          <w:ilvl w:val="0"/>
          <w:numId w:val="2"/>
        </w:numPr>
        <w:spacing w:after="40" w:before="40"/>
      </w:pPr>
      <w:r>
        <w:rPr>
          <w:rFonts w:ascii="Arial" w:cs="Arial" w:eastAsia="Arial" w:hAnsi="Arial"/>
          <w:color w:val="1A1A1A"/>
          <w:sz w:val="20"/>
          <w:szCs w:val="20"/>
        </w:rPr>
        <w:t xml:space="preserve">Patient Safety Incident Reporting: enhanced incident log template for patient safety events involving AI</w:t>
      </w:r>
    </w:p>
    <w:p>
      <w:pPr>
        <w:spacing w:after="60" w:before="60"/>
      </w:pPr>
    </w:p>
    <w:p>
      <w:pPr>
        <w:pStyle w:val="Heading3"/>
        <w:spacing w:after="140" w:before="280"/>
      </w:pPr>
      <w:r>
        <w:rPr>
          <w:rFonts w:ascii="Arial" w:cs="Arial" w:eastAsia="Arial" w:hAnsi="Arial"/>
          <w:b/>
          <w:bCs/>
          <w:color w:val="1D8348"/>
          <w:sz w:val="24"/>
          <w:szCs w:val="24"/>
        </w:rPr>
        <w:t xml:space="preserve">5.2.2 Healthcare-Specific Risk Rules</w:t>
      </w:r>
    </w:p>
    <w:p>
      <w:pPr>
        <w:spacing w:after="80" w:before="80"/>
      </w:pPr>
      <w:r>
        <w:rPr>
          <w:rFonts w:ascii="Arial" w:cs="Arial" w:eastAsia="Arial" w:hAnsi="Arial"/>
          <w:color w:val="1A1A1A"/>
          <w:sz w:val="20"/>
          <w:szCs w:val="20"/>
        </w:rPr>
        <w:t xml:space="preserve">Override default classifier for healthcare organizations:</w:t>
      </w:r>
    </w:p>
    <w:p>
      <w:pPr>
        <w:shd w:fill="F0F0F0" w:val="clear"/>
        <w:spacing w:after="40" w:before="40"/>
      </w:pPr>
      <w:r>
        <w:rPr>
          <w:rFonts w:ascii="Courier New" w:cs="Courier New" w:eastAsia="Courier New" w:hAnsi="Courier New"/>
          <w:color w:val="333333"/>
          <w:sz w:val="18"/>
          <w:szCs w:val="18"/>
        </w:rPr>
        <w:t xml:space="preserve">IF system.affects_healthcare AND (</w:t>
      </w:r>
    </w:p>
    <w:p>
      <w:pPr>
        <w:shd w:fill="F0F0F0" w:val="clear"/>
        <w:spacing w:after="40" w:before="40"/>
      </w:pPr>
      <w:r>
        <w:rPr>
          <w:rFonts w:ascii="Courier New" w:cs="Courier New" w:eastAsia="Courier New" w:hAnsi="Courier New"/>
          <w:color w:val="333333"/>
          <w:sz w:val="18"/>
          <w:szCs w:val="18"/>
        </w:rPr>
        <w:t xml:space="preserve">    system.use_case CONTAINS ('diagnosis', 'treatment', 'triage', 'prognosis', 'prescription')</w:t>
      </w:r>
    </w:p>
    <w:p>
      <w:pPr>
        <w:shd w:fill="F0F0F0" w:val="clear"/>
        <w:spacing w:after="40" w:before="40"/>
      </w:pPr>
      <w:r>
        <w:rPr>
          <w:rFonts w:ascii="Courier New" w:cs="Courier New" w:eastAsia="Courier New" w:hAnsi="Courier New"/>
          <w:color w:val="333333"/>
          <w:sz w:val="18"/>
          <w:szCs w:val="18"/>
        </w:rPr>
        <w:t xml:space="preserve">    OR system.data_processed CONTAINS 'health'</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 tier = 'high_risk'   // Hard override — always high risk in healthcare</w:t>
      </w:r>
    </w:p>
    <w:p>
      <w:pPr>
        <w:shd w:fill="F0F0F0" w:val="clear"/>
        <w:spacing w:after="40" w:before="40"/>
      </w:pPr>
      <w:r>
        <w:rPr>
          <w:rFonts w:ascii="Courier New" w:cs="Courier New" w:eastAsia="Courier New" w:hAnsi="Courier New"/>
          <w:color w:val="333333"/>
          <w:sz w:val="18"/>
          <w:szCs w:val="18"/>
        </w:rPr>
        <w:t xml:space="preserve">  → add_obligation('FRIA')</w:t>
      </w:r>
    </w:p>
    <w:p>
      <w:pPr>
        <w:shd w:fill="F0F0F0" w:val="clear"/>
        <w:spacing w:after="40" w:before="40"/>
      </w:pPr>
      <w:r>
        <w:rPr>
          <w:rFonts w:ascii="Courier New" w:cs="Courier New" w:eastAsia="Courier New" w:hAnsi="Courier New"/>
          <w:color w:val="333333"/>
          <w:sz w:val="18"/>
          <w:szCs w:val="18"/>
        </w:rPr>
        <w:t xml:space="preserve">  → add_obligation('MDR_CROSSWALK_CHECK')</w:t>
      </w:r>
    </w:p>
    <w:p>
      <w:pPr>
        <w:shd w:fill="F0F0F0" w:val="clear"/>
        <w:spacing w:after="40" w:before="40"/>
      </w:pPr>
      <w:r>
        <w:rPr>
          <w:rFonts w:ascii="Courier New" w:cs="Courier New" w:eastAsia="Courier New" w:hAnsi="Courier New"/>
          <w:color w:val="333333"/>
          <w:sz w:val="18"/>
          <w:szCs w:val="18"/>
        </w:rPr>
        <w:t xml:space="preserve">  → add_obligation('CLINICAL_VALIDATION_EVIDENCE')</w:t>
      </w:r>
    </w:p>
    <w:p>
      <w:pPr>
        <w:spacing w:after="60" w:before="60"/>
      </w:pPr>
    </w:p>
    <w:p>
      <w:pPr>
        <w:pStyle w:val="Heading2"/>
        <w:spacing w:after="180" w:before="360"/>
      </w:pPr>
      <w:r>
        <w:rPr>
          <w:rFonts w:ascii="Arial" w:cs="Arial" w:eastAsia="Arial" w:hAnsi="Arial"/>
          <w:b/>
          <w:bCs/>
          <w:color w:val="1B4F72"/>
          <w:sz w:val="30"/>
          <w:szCs w:val="30"/>
        </w:rPr>
        <w:t xml:space="preserve">5.3 Finance Sector Module — Deep Dive</w:t>
      </w:r>
    </w:p>
    <w:p>
      <w:pPr>
        <w:pStyle w:val="Heading3"/>
        <w:spacing w:after="140" w:before="280"/>
      </w:pPr>
      <w:r>
        <w:rPr>
          <w:rFonts w:ascii="Arial" w:cs="Arial" w:eastAsia="Arial" w:hAnsi="Arial"/>
          <w:b/>
          <w:bCs/>
          <w:color w:val="1D8348"/>
          <w:sz w:val="24"/>
          <w:szCs w:val="24"/>
        </w:rPr>
        <w:t xml:space="preserve">5.3.1 Credit Decision AI — Special Rules</w:t>
      </w:r>
    </w:p>
    <w:p>
      <w:pPr>
        <w:spacing w:after="80" w:before="80"/>
      </w:pPr>
      <w:r>
        <w:rPr>
          <w:rFonts w:ascii="Arial" w:cs="Arial" w:eastAsia="Arial" w:hAnsi="Arial"/>
          <w:color w:val="1A1A1A"/>
          <w:sz w:val="20"/>
          <w:szCs w:val="20"/>
        </w:rPr>
        <w:t xml:space="preserve">Credit scoring and financial decision AI is explicitly listed in EU AI Act Annex III. ActProve's finance module:</w:t>
      </w:r>
    </w:p>
    <w:p>
      <w:pPr>
        <w:pStyle w:val="ListParagraph"/>
        <w:numPr>
          <w:ilvl w:val="0"/>
          <w:numId w:val="2"/>
        </w:numPr>
        <w:spacing w:after="40" w:before="40"/>
      </w:pPr>
      <w:r>
        <w:rPr>
          <w:rFonts w:ascii="Arial" w:cs="Arial" w:eastAsia="Arial" w:hAnsi="Arial"/>
          <w:color w:val="1A1A1A"/>
          <w:sz w:val="20"/>
          <w:szCs w:val="20"/>
        </w:rPr>
        <w:t xml:space="preserve">Mandatory explainability: document what factors the AI considers and can it provide explanations to rejected applicants</w:t>
      </w:r>
    </w:p>
    <w:p>
      <w:pPr>
        <w:pStyle w:val="ListParagraph"/>
        <w:numPr>
          <w:ilvl w:val="0"/>
          <w:numId w:val="2"/>
        </w:numPr>
        <w:spacing w:after="40" w:before="40"/>
      </w:pPr>
      <w:r>
        <w:rPr>
          <w:rFonts w:ascii="Arial" w:cs="Arial" w:eastAsia="Arial" w:hAnsi="Arial"/>
          <w:color w:val="1A1A1A"/>
          <w:sz w:val="20"/>
          <w:szCs w:val="20"/>
        </w:rPr>
        <w:t xml:space="preserve">Bias testing documentation: evidence that credit AI has been tested for discriminatory outcomes</w:t>
      </w:r>
    </w:p>
    <w:p>
      <w:pPr>
        <w:pStyle w:val="ListParagraph"/>
        <w:numPr>
          <w:ilvl w:val="0"/>
          <w:numId w:val="2"/>
        </w:numPr>
        <w:spacing w:after="40" w:before="40"/>
      </w:pPr>
      <w:r>
        <w:rPr>
          <w:rFonts w:ascii="Arial" w:cs="Arial" w:eastAsia="Arial" w:hAnsi="Arial"/>
          <w:color w:val="1A1A1A"/>
          <w:sz w:val="20"/>
          <w:szCs w:val="20"/>
        </w:rPr>
        <w:t xml:space="preserve">Human review process: documented escalation path for AI-rejected applications</w:t>
      </w:r>
    </w:p>
    <w:p>
      <w:pPr>
        <w:pStyle w:val="ListParagraph"/>
        <w:numPr>
          <w:ilvl w:val="0"/>
          <w:numId w:val="2"/>
        </w:numPr>
        <w:spacing w:after="40" w:before="40"/>
      </w:pPr>
      <w:r>
        <w:rPr>
          <w:rFonts w:ascii="Arial" w:cs="Arial" w:eastAsia="Arial" w:hAnsi="Arial"/>
          <w:color w:val="1A1A1A"/>
          <w:sz w:val="20"/>
          <w:szCs w:val="20"/>
        </w:rPr>
        <w:t xml:space="preserve">EBA (European Banking Authority) guidelines integration: map to EBA's specific ML model governance guidance</w:t>
      </w:r>
    </w:p>
    <w:p>
      <w:pPr>
        <w:pStyle w:val="ListParagraph"/>
        <w:numPr>
          <w:ilvl w:val="0"/>
          <w:numId w:val="2"/>
        </w:numPr>
        <w:spacing w:after="40" w:before="40"/>
      </w:pPr>
      <w:r>
        <w:rPr>
          <w:rFonts w:ascii="Arial" w:cs="Arial" w:eastAsia="Arial" w:hAnsi="Arial"/>
          <w:color w:val="1A1A1A"/>
          <w:sz w:val="20"/>
          <w:szCs w:val="20"/>
        </w:rPr>
        <w:t xml:space="preserve">DORA crosswalk: financial entities also face DORA ICT risk requirements — module shows overlap</w:t>
      </w:r>
    </w:p>
    <w:p>
      <w:pPr>
        <w:spacing w:after="60" w:before="60"/>
      </w:pPr>
    </w:p>
    <w:p>
      <w:pPr>
        <w:pStyle w:val="Heading2"/>
        <w:spacing w:after="180" w:before="360"/>
      </w:pPr>
      <w:r>
        <w:rPr>
          <w:rFonts w:ascii="Arial" w:cs="Arial" w:eastAsia="Arial" w:hAnsi="Arial"/>
          <w:b/>
          <w:bCs/>
          <w:color w:val="1B4F72"/>
          <w:sz w:val="30"/>
          <w:szCs w:val="30"/>
        </w:rPr>
        <w:t xml:space="preserve">5.4 Sector Module UI</w:t>
      </w:r>
    </w:p>
    <w:p>
      <w:pPr>
        <w:spacing w:after="80" w:before="80"/>
      </w:pPr>
      <w:r>
        <w:rPr>
          <w:rFonts w:ascii="Arial" w:cs="Arial" w:eastAsia="Arial" w:hAnsi="Arial"/>
          <w:color w:val="1A1A1A"/>
          <w:sz w:val="20"/>
          <w:szCs w:val="20"/>
        </w:rPr>
        <w:t xml:space="preserve">Route: /dashboard/settings/sector-module</w:t>
      </w:r>
    </w:p>
    <w:p>
      <w:pPr>
        <w:pStyle w:val="ListParagraph"/>
        <w:numPr>
          <w:ilvl w:val="0"/>
          <w:numId w:val="2"/>
        </w:numPr>
        <w:spacing w:after="40" w:before="40"/>
      </w:pPr>
      <w:r>
        <w:rPr>
          <w:rFonts w:ascii="Arial" w:cs="Arial" w:eastAsia="Arial" w:hAnsi="Arial"/>
          <w:color w:val="1A1A1A"/>
          <w:sz w:val="20"/>
          <w:szCs w:val="20"/>
        </w:rPr>
        <w:t xml:space="preserve">Active sector badge on dashboard header: "Healthcare Module Active"</w:t>
      </w:r>
    </w:p>
    <w:p>
      <w:pPr>
        <w:pStyle w:val="ListParagraph"/>
        <w:numPr>
          <w:ilvl w:val="0"/>
          <w:numId w:val="2"/>
        </w:numPr>
        <w:spacing w:after="40" w:before="40"/>
      </w:pPr>
      <w:r>
        <w:rPr>
          <w:rFonts w:ascii="Arial" w:cs="Arial" w:eastAsia="Arial" w:hAnsi="Arial"/>
          <w:color w:val="1A1A1A"/>
          <w:sz w:val="20"/>
          <w:szCs w:val="20"/>
        </w:rPr>
        <w:t xml:space="preserve">Sector-specific obligations appear in the obligations list with a sector badge</w:t>
      </w:r>
    </w:p>
    <w:p>
      <w:pPr>
        <w:pStyle w:val="ListParagraph"/>
        <w:numPr>
          <w:ilvl w:val="0"/>
          <w:numId w:val="2"/>
        </w:numPr>
        <w:spacing w:after="40" w:before="40"/>
      </w:pPr>
      <w:r>
        <w:rPr>
          <w:rFonts w:ascii="Arial" w:cs="Arial" w:eastAsia="Arial" w:hAnsi="Arial"/>
          <w:color w:val="1A1A1A"/>
          <w:sz w:val="20"/>
          <w:szCs w:val="20"/>
        </w:rPr>
        <w:t xml:space="preserve">Document generator has sector-specific templates available</w:t>
      </w:r>
    </w:p>
    <w:p>
      <w:pPr>
        <w:pStyle w:val="ListParagraph"/>
        <w:numPr>
          <w:ilvl w:val="0"/>
          <w:numId w:val="2"/>
        </w:numPr>
        <w:spacing w:after="40" w:before="40"/>
      </w:pPr>
      <w:r>
        <w:rPr>
          <w:rFonts w:ascii="Arial" w:cs="Arial" w:eastAsia="Arial" w:hAnsi="Arial"/>
          <w:color w:val="1A1A1A"/>
          <w:sz w:val="20"/>
          <w:szCs w:val="20"/>
        </w:rPr>
        <w:t xml:space="preserve">Risk classifier uses sector-enhanced rules</w:t>
      </w:r>
    </w:p>
    <w:p>
      <w:pPr>
        <w:pStyle w:val="ListParagraph"/>
        <w:numPr>
          <w:ilvl w:val="0"/>
          <w:numId w:val="2"/>
        </w:numPr>
        <w:spacing w:after="40" w:before="40"/>
      </w:pPr>
      <w:r>
        <w:rPr>
          <w:rFonts w:ascii="Arial" w:cs="Arial" w:eastAsia="Arial" w:hAnsi="Arial"/>
          <w:color w:val="1A1A1A"/>
          <w:sz w:val="20"/>
          <w:szCs w:val="20"/>
        </w:rPr>
        <w:t xml:space="preserve">Trust Page shows: "EU AI Act Compliant — Healthcare Sector"</w:t>
      </w:r>
    </w:p>
    <w:p>
      <w:pPr>
        <w:pStyle w:val="ListParagraph"/>
        <w:numPr>
          <w:ilvl w:val="0"/>
          <w:numId w:val="2"/>
        </w:numPr>
        <w:spacing w:after="40" w:before="40"/>
      </w:pPr>
      <w:r>
        <w:rPr>
          <w:rFonts w:ascii="Arial" w:cs="Arial" w:eastAsia="Arial" w:hAnsi="Arial"/>
          <w:color w:val="1A1A1A"/>
          <w:sz w:val="20"/>
          <w:szCs w:val="20"/>
        </w:rPr>
        <w:t xml:space="preserve">Sector can be changed: triggers re-classification of all systems + new obligation set</w:t>
      </w:r>
    </w:p>
    <w:p>
      <w:pPr>
        <w:spacing w:after="60" w:before="60"/>
      </w:pPr>
    </w:p>
    <w:p>
      <w:r>
        <w:br/>
      </w:r>
    </w:p>
    <w:p>
      <w:pPr>
        <w:pStyle w:val="Heading1"/>
        <w:spacing w:after="240" w:before="480"/>
      </w:pPr>
      <w:r>
        <w:rPr>
          <w:rFonts w:ascii="Arial" w:cs="Arial" w:eastAsia="Arial" w:hAnsi="Arial"/>
          <w:b/>
          <w:bCs/>
          <w:color w:val="1B4F72"/>
          <w:sz w:val="40"/>
          <w:szCs w:val="40"/>
        </w:rPr>
        <w:t xml:space="preserve">6. Go-To-Market Strategy — Phase 2</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6.1 GTM Overview</w:t>
      </w:r>
    </w:p>
    <w:p>
      <w:pPr>
        <w:spacing w:after="80" w:before="80"/>
      </w:pPr>
      <w:r>
        <w:rPr>
          <w:rFonts w:ascii="Arial" w:cs="Arial" w:eastAsia="Arial" w:hAnsi="Arial"/>
          <w:color w:val="1A1A1A"/>
          <w:sz w:val="20"/>
          <w:szCs w:val="20"/>
        </w:rPr>
        <w:t xml:space="preserve">Phase 1 GTM is inbound-heavy: content, SEO, Product Hunt, and the natural pull of the August 2026 deadline. Phase 2 GTM adds two systematic channels that scale beyond the founder: Partner Program and Product-Led Virality.</w:t>
      </w:r>
    </w:p>
    <w:p>
      <w:pPr>
        <w:spacing w:after="60" w:before="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4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GTM Channel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 1 Role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 2 Role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 Revenue Contribution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Organic SEO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of new MRR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Program (DPO/Law/Accounting)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Primary new channel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35% of new MRR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Product-led virality (Trust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Major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 of new MRR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Paid Acquisition (LinkedIn/Google)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Test budget $2K/mo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 of new MRR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Community (LinkedIn, Reddit, 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Systematic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of new MRR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Direct outbound (cold email)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Targeted (enterprise)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10% of new MRR</w:t>
            </w:r>
          </w:p>
        </w:tc>
      </w:tr>
    </w:tbl>
    <w:p>
      <w:pPr>
        <w:spacing w:after="60" w:before="60"/>
      </w:pPr>
    </w:p>
    <w:p>
      <w:pPr>
        <w:pStyle w:val="Heading2"/>
        <w:spacing w:after="180" w:before="360"/>
      </w:pPr>
      <w:r>
        <w:rPr>
          <w:rFonts w:ascii="Arial" w:cs="Arial" w:eastAsia="Arial" w:hAnsi="Arial"/>
          <w:b/>
          <w:bCs/>
          <w:color w:val="1B4F72"/>
          <w:sz w:val="30"/>
          <w:szCs w:val="30"/>
        </w:rPr>
        <w:t xml:space="preserve">6.2 Partner Program — Full Design</w:t>
      </w:r>
    </w:p>
    <w:p>
      <w:pPr>
        <w:pStyle w:val="Heading3"/>
        <w:spacing w:after="140" w:before="280"/>
      </w:pPr>
      <w:r>
        <w:rPr>
          <w:rFonts w:ascii="Arial" w:cs="Arial" w:eastAsia="Arial" w:hAnsi="Arial"/>
          <w:b/>
          <w:bCs/>
          <w:color w:val="1D8348"/>
          <w:sz w:val="24"/>
          <w:szCs w:val="24"/>
        </w:rPr>
        <w:t xml:space="preserve">6.2.1 Partner Types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500"/>
        <w:gridCol w:w="264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Partner Tier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Volume Expectation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Commission</w:t>
            </w:r>
          </w:p>
        </w:tc>
        <w:tc>
          <w:tcPr>
            <w:tcW w:type="dxa" w:w="2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Referral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Individual DPOs, freelance consultants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 customers/year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 MRR for 12 months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None — self-serve sign-up</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Reseller Partner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Small law firms, accounting firms, DPO-as-a-service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5–20 customers/year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30% MRR ongoing</w:t>
            </w:r>
          </w:p>
        </w:tc>
        <w:tc>
          <w:tcPr>
            <w:tcW w:type="dxa" w:w="2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agreement, 1 demo call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Strategic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Large consulting firms, Big 4, enterprise resellers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 customers/year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 deal + co-marketing budget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Executive relationship, joint go-to-market plan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Technology Partner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GRC tools, HR systems, cloud providers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Integration-driven referrals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Revenue share on integrated leads</w:t>
            </w:r>
          </w:p>
        </w:tc>
        <w:tc>
          <w:tcPr>
            <w:tcW w:type="dxa" w:w="2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Technical integration built</w:t>
            </w:r>
          </w:p>
        </w:tc>
      </w:tr>
    </w:tbl>
    <w:p>
      <w:pPr>
        <w:spacing w:after="60" w:before="60"/>
      </w:pPr>
    </w:p>
    <w:p>
      <w:pPr>
        <w:pStyle w:val="Heading3"/>
        <w:spacing w:after="140" w:before="280"/>
      </w:pPr>
      <w:r>
        <w:rPr>
          <w:rFonts w:ascii="Arial" w:cs="Arial" w:eastAsia="Arial" w:hAnsi="Arial"/>
          <w:b/>
          <w:bCs/>
          <w:color w:val="1D8348"/>
          <w:sz w:val="24"/>
          <w:szCs w:val="24"/>
        </w:rPr>
        <w:t xml:space="preserve">6.2.2 Partner Portal — Product Feature</w:t>
      </w:r>
    </w:p>
    <w:p>
      <w:pPr>
        <w:spacing w:after="80" w:before="80"/>
      </w:pPr>
      <w:r>
        <w:rPr>
          <w:rFonts w:ascii="Arial" w:cs="Arial" w:eastAsia="Arial" w:hAnsi="Arial"/>
          <w:color w:val="1A1A1A"/>
          <w:sz w:val="20"/>
          <w:szCs w:val="20"/>
        </w:rPr>
        <w:t xml:space="preserve">Route: partners.actprove.com (separate subdomain)</w:t>
      </w:r>
    </w:p>
    <w:p>
      <w:pPr>
        <w:spacing w:after="60" w:before="60"/>
      </w:pPr>
    </w:p>
    <w:p>
      <w:pPr>
        <w:pStyle w:val="ListParagraph"/>
        <w:numPr>
          <w:ilvl w:val="0"/>
          <w:numId w:val="2"/>
        </w:numPr>
        <w:spacing w:after="40" w:before="40"/>
      </w:pPr>
      <w:r>
        <w:rPr>
          <w:rFonts w:ascii="Arial" w:cs="Arial" w:eastAsia="Arial" w:hAnsi="Arial"/>
          <w:color w:val="1A1A1A"/>
          <w:sz w:val="20"/>
          <w:szCs w:val="20"/>
        </w:rPr>
        <w:t xml:space="preserve">Partner Dashboard: MRR overview, active customers, commission earned, pipeline</w:t>
      </w:r>
    </w:p>
    <w:p>
      <w:pPr>
        <w:pStyle w:val="ListParagraph"/>
        <w:numPr>
          <w:ilvl w:val="0"/>
          <w:numId w:val="2"/>
        </w:numPr>
        <w:spacing w:after="40" w:before="40"/>
      </w:pPr>
      <w:r>
        <w:rPr>
          <w:rFonts w:ascii="Arial" w:cs="Arial" w:eastAsia="Arial" w:hAnsi="Arial"/>
          <w:color w:val="1A1A1A"/>
          <w:sz w:val="20"/>
          <w:szCs w:val="20"/>
        </w:rPr>
        <w:t xml:space="preserve">Customer Management: see all referred customers' compliance status (read-only view)</w:t>
      </w:r>
    </w:p>
    <w:p>
      <w:pPr>
        <w:pStyle w:val="ListParagraph"/>
        <w:numPr>
          <w:ilvl w:val="0"/>
          <w:numId w:val="2"/>
        </w:numPr>
        <w:spacing w:after="40" w:before="40"/>
      </w:pPr>
      <w:r>
        <w:rPr>
          <w:rFonts w:ascii="Arial" w:cs="Arial" w:eastAsia="Arial" w:hAnsi="Arial"/>
          <w:color w:val="1A1A1A"/>
          <w:sz w:val="20"/>
          <w:szCs w:val="20"/>
        </w:rPr>
        <w:t xml:space="preserve">White-label Reports: generate co-branded compliance reports for their clients</w:t>
      </w:r>
    </w:p>
    <w:p>
      <w:pPr>
        <w:pStyle w:val="ListParagraph"/>
        <w:numPr>
          <w:ilvl w:val="0"/>
          <w:numId w:val="2"/>
        </w:numPr>
        <w:spacing w:after="40" w:before="40"/>
      </w:pPr>
      <w:r>
        <w:rPr>
          <w:rFonts w:ascii="Arial" w:cs="Arial" w:eastAsia="Arial" w:hAnsi="Arial"/>
          <w:color w:val="1A1A1A"/>
          <w:sz w:val="20"/>
          <w:szCs w:val="20"/>
        </w:rPr>
        <w:t xml:space="preserve">Marketing Materials: logo kit, pitch deck, case study templates, email sequences</w:t>
      </w:r>
    </w:p>
    <w:p>
      <w:pPr>
        <w:pStyle w:val="ListParagraph"/>
        <w:numPr>
          <w:ilvl w:val="0"/>
          <w:numId w:val="2"/>
        </w:numPr>
        <w:spacing w:after="40" w:before="40"/>
      </w:pPr>
      <w:r>
        <w:rPr>
          <w:rFonts w:ascii="Arial" w:cs="Arial" w:eastAsia="Arial" w:hAnsi="Arial"/>
          <w:color w:val="1A1A1A"/>
          <w:sz w:val="20"/>
          <w:szCs w:val="20"/>
        </w:rPr>
        <w:t xml:space="preserve">Commission Payouts: monthly Stripe payouts, invoice history, tax documents</w:t>
      </w:r>
    </w:p>
    <w:p>
      <w:pPr>
        <w:pStyle w:val="ListParagraph"/>
        <w:numPr>
          <w:ilvl w:val="0"/>
          <w:numId w:val="2"/>
        </w:numPr>
        <w:spacing w:after="40" w:before="40"/>
      </w:pPr>
      <w:r>
        <w:rPr>
          <w:rFonts w:ascii="Arial" w:cs="Arial" w:eastAsia="Arial" w:hAnsi="Arial"/>
          <w:color w:val="1A1A1A"/>
          <w:sz w:val="20"/>
          <w:szCs w:val="20"/>
        </w:rPr>
        <w:t xml:space="preserve">Demo Access: sandbox environment with pre-populated data for demos</w:t>
      </w:r>
    </w:p>
    <w:p>
      <w:pPr>
        <w:pStyle w:val="ListParagraph"/>
        <w:numPr>
          <w:ilvl w:val="0"/>
          <w:numId w:val="2"/>
        </w:numPr>
        <w:spacing w:after="40" w:before="40"/>
      </w:pPr>
      <w:r>
        <w:rPr>
          <w:rFonts w:ascii="Arial" w:cs="Arial" w:eastAsia="Arial" w:hAnsi="Arial"/>
          <w:color w:val="1A1A1A"/>
          <w:sz w:val="20"/>
          <w:szCs w:val="20"/>
        </w:rPr>
        <w:t xml:space="preserve">Training Center: video library explaining EU AI Act, how to sell ActProve, objection handling</w:t>
      </w:r>
    </w:p>
    <w:p>
      <w:pPr>
        <w:pStyle w:val="ListParagraph"/>
        <w:numPr>
          <w:ilvl w:val="0"/>
          <w:numId w:val="2"/>
        </w:numPr>
        <w:spacing w:after="40" w:before="40"/>
      </w:pPr>
      <w:r>
        <w:rPr>
          <w:rFonts w:ascii="Arial" w:cs="Arial" w:eastAsia="Arial" w:hAnsi="Arial"/>
          <w:color w:val="1A1A1A"/>
          <w:sz w:val="20"/>
          <w:szCs w:val="20"/>
        </w:rPr>
        <w:t xml:space="preserve">Lead Registration: partners register deals to protect their commission before customer signs up</w:t>
      </w:r>
    </w:p>
    <w:p>
      <w:pPr>
        <w:spacing w:after="60" w:before="60"/>
      </w:pPr>
    </w:p>
    <w:p>
      <w:pPr>
        <w:pStyle w:val="Heading3"/>
        <w:spacing w:after="140" w:before="280"/>
      </w:pPr>
      <w:r>
        <w:rPr>
          <w:rFonts w:ascii="Arial" w:cs="Arial" w:eastAsia="Arial" w:hAnsi="Arial"/>
          <w:b/>
          <w:bCs/>
          <w:color w:val="1D8348"/>
          <w:sz w:val="24"/>
          <w:szCs w:val="24"/>
        </w:rPr>
        <w:t xml:space="preserve">6.2.3 Partner Recruitment Strategy</w:t>
      </w:r>
    </w:p>
    <w:p>
      <w:pPr>
        <w:pStyle w:val="ListParagraph"/>
        <w:numPr>
          <w:ilvl w:val="0"/>
          <w:numId w:val="3"/>
        </w:numPr>
        <w:spacing w:after="40" w:before="40"/>
      </w:pPr>
      <w:r>
        <w:rPr>
          <w:rFonts w:ascii="Arial" w:cs="Arial" w:eastAsia="Arial" w:hAnsi="Arial"/>
          <w:color w:val="1A1A1A"/>
          <w:sz w:val="20"/>
          <w:szCs w:val="20"/>
        </w:rPr>
        <w:t xml:space="preserve">Identify: Build a list of 500 DPO consultants and privacy law firms in DE, NL, PL, FR, BE, SE using LinkedIn. They advertise EU AI Act services already.</w:t>
      </w:r>
    </w:p>
    <w:p>
      <w:pPr>
        <w:pStyle w:val="ListParagraph"/>
        <w:numPr>
          <w:ilvl w:val="0"/>
          <w:numId w:val="3"/>
        </w:numPr>
        <w:spacing w:after="40" w:before="40"/>
      </w:pPr>
      <w:r>
        <w:rPr>
          <w:rFonts w:ascii="Arial" w:cs="Arial" w:eastAsia="Arial" w:hAnsi="Arial"/>
          <w:color w:val="1A1A1A"/>
          <w:sz w:val="20"/>
          <w:szCs w:val="20"/>
        </w:rPr>
        <w:t xml:space="preserve">Reach out: LinkedIn message + email sequence. Subject: "Add EU AI Act compliance software to your service — we handle the tech, you keep the relationship."</w:t>
      </w:r>
    </w:p>
    <w:p>
      <w:pPr>
        <w:pStyle w:val="ListParagraph"/>
        <w:numPr>
          <w:ilvl w:val="0"/>
          <w:numId w:val="3"/>
        </w:numPr>
        <w:spacing w:after="40" w:before="40"/>
      </w:pPr>
      <w:r>
        <w:rPr>
          <w:rFonts w:ascii="Arial" w:cs="Arial" w:eastAsia="Arial" w:hAnsi="Arial"/>
          <w:color w:val="1A1A1A"/>
          <w:sz w:val="20"/>
          <w:szCs w:val="20"/>
        </w:rPr>
        <w:t xml:space="preserve">Onboard: 30-minute Zoom call, hands-on trial, 1 co-sales call together for their first client</w:t>
      </w:r>
    </w:p>
    <w:p>
      <w:pPr>
        <w:pStyle w:val="ListParagraph"/>
        <w:numPr>
          <w:ilvl w:val="0"/>
          <w:numId w:val="3"/>
        </w:numPr>
        <w:spacing w:after="40" w:before="40"/>
      </w:pPr>
      <w:r>
        <w:rPr>
          <w:rFonts w:ascii="Arial" w:cs="Arial" w:eastAsia="Arial" w:hAnsi="Arial"/>
          <w:color w:val="1A1A1A"/>
          <w:sz w:val="20"/>
          <w:szCs w:val="20"/>
        </w:rPr>
        <w:t xml:space="preserve">Activate: Partner's first client onboards. They see commission in dashboard. They want more.</w:t>
      </w:r>
    </w:p>
    <w:p>
      <w:pPr>
        <w:pStyle w:val="ListParagraph"/>
        <w:numPr>
          <w:ilvl w:val="0"/>
          <w:numId w:val="3"/>
        </w:numPr>
        <w:spacing w:after="40" w:before="40"/>
      </w:pPr>
      <w:r>
        <w:rPr>
          <w:rFonts w:ascii="Arial" w:cs="Arial" w:eastAsia="Arial" w:hAnsi="Arial"/>
          <w:color w:val="1A1A1A"/>
          <w:sz w:val="20"/>
          <w:szCs w:val="20"/>
        </w:rPr>
        <w:t xml:space="preserve">Scale: Partner success playbook. Monthly partner newsletter. Quarterly partner webinar.</w:t>
      </w:r>
    </w:p>
    <w:p>
      <w:pPr>
        <w:spacing w:after="60" w:before="60"/>
      </w:pPr>
    </w:p>
    <w:p>
      <w:pPr>
        <w:pStyle w:val="Heading2"/>
        <w:spacing w:after="180" w:before="360"/>
      </w:pPr>
      <w:r>
        <w:rPr>
          <w:rFonts w:ascii="Arial" w:cs="Arial" w:eastAsia="Arial" w:hAnsi="Arial"/>
          <w:b/>
          <w:bCs/>
          <w:color w:val="1B4F72"/>
          <w:sz w:val="30"/>
          <w:szCs w:val="30"/>
        </w:rPr>
        <w:t xml:space="preserve">6.3 Product-Led Virality — Trust Page Network Effect</w:t>
      </w:r>
    </w:p>
    <w:p>
      <w:pPr>
        <w:pStyle w:val="Heading3"/>
        <w:spacing w:after="140" w:before="280"/>
      </w:pPr>
      <w:r>
        <w:rPr>
          <w:rFonts w:ascii="Arial" w:cs="Arial" w:eastAsia="Arial" w:hAnsi="Arial"/>
          <w:b/>
          <w:bCs/>
          <w:color w:val="1D8348"/>
          <w:sz w:val="24"/>
          <w:szCs w:val="24"/>
        </w:rPr>
        <w:t xml:space="preserve">6.3.1 The Mechanism</w:t>
      </w:r>
    </w:p>
    <w:p>
      <w:pPr>
        <w:spacing w:after="80" w:before="80"/>
      </w:pPr>
      <w:r>
        <w:rPr>
          <w:rFonts w:ascii="Arial" w:cs="Arial" w:eastAsia="Arial" w:hAnsi="Arial"/>
          <w:color w:val="1A1A1A"/>
          <w:sz w:val="20"/>
          <w:szCs w:val="20"/>
        </w:rPr>
        <w:t xml:space="preserve">Every ActProve customer gets a Trust Page. They share it with their B2B clients. Those clients see:</w:t>
      </w:r>
    </w:p>
    <w:p>
      <w:pPr>
        <w:pStyle w:val="ListParagraph"/>
        <w:numPr>
          <w:ilvl w:val="0"/>
          <w:numId w:val="2"/>
        </w:numPr>
        <w:spacing w:after="40" w:before="40"/>
      </w:pPr>
      <w:r>
        <w:rPr>
          <w:rFonts w:ascii="Arial" w:cs="Arial" w:eastAsia="Arial" w:hAnsi="Arial"/>
          <w:color w:val="1A1A1A"/>
          <w:sz w:val="20"/>
          <w:szCs w:val="20"/>
        </w:rPr>
        <w:t xml:space="preserve">A professional EU AI Act compliance dashboard</w:t>
      </w:r>
    </w:p>
    <w:p>
      <w:pPr>
        <w:pStyle w:val="ListParagraph"/>
        <w:numPr>
          <w:ilvl w:val="0"/>
          <w:numId w:val="2"/>
        </w:numPr>
        <w:spacing w:after="40" w:before="40"/>
      </w:pPr>
      <w:r>
        <w:rPr>
          <w:rFonts w:ascii="Arial" w:cs="Arial" w:eastAsia="Arial" w:hAnsi="Arial"/>
          <w:color w:val="1A1A1A"/>
          <w:sz w:val="20"/>
          <w:szCs w:val="20"/>
        </w:rPr>
        <w:t xml:space="preserve">"Powered by ActProve" badge with link to actprove.com</w:t>
      </w:r>
    </w:p>
    <w:p>
      <w:pPr>
        <w:pStyle w:val="ListParagraph"/>
        <w:numPr>
          <w:ilvl w:val="0"/>
          <w:numId w:val="2"/>
        </w:numPr>
        <w:spacing w:after="40" w:before="40"/>
      </w:pPr>
      <w:r>
        <w:rPr>
          <w:rFonts w:ascii="Arial" w:cs="Arial" w:eastAsia="Arial" w:hAnsi="Arial"/>
          <w:color w:val="1A1A1A"/>
          <w:sz w:val="20"/>
          <w:szCs w:val="20"/>
        </w:rPr>
        <w:t xml:space="preserve">If they are also a B2B company, they want one too</w:t>
      </w:r>
    </w:p>
    <w:p>
      <w:pPr>
        <w:spacing w:after="80" w:before="80"/>
      </w:pPr>
      <w:r>
        <w:rPr>
          <w:rFonts w:ascii="Arial" w:cs="Arial" w:eastAsia="Arial" w:hAnsi="Arial"/>
          <w:color w:val="1A1A1A"/>
          <w:sz w:val="20"/>
          <w:szCs w:val="20"/>
        </w:rPr>
        <w:t xml:space="preserve">This is a viral loop: Customer A → sends Trust Page to Customer B → B becomes customer → B sends Trust Page to Customer C → etc.</w:t>
      </w:r>
    </w:p>
    <w:p>
      <w:pPr>
        <w:spacing w:after="60" w:before="60"/>
      </w:pPr>
    </w:p>
    <w:p>
      <w:pPr>
        <w:pStyle w:val="Heading3"/>
        <w:spacing w:after="140" w:before="280"/>
      </w:pPr>
      <w:r>
        <w:rPr>
          <w:rFonts w:ascii="Arial" w:cs="Arial" w:eastAsia="Arial" w:hAnsi="Arial"/>
          <w:b/>
          <w:bCs/>
          <w:color w:val="1D8348"/>
          <w:sz w:val="24"/>
          <w:szCs w:val="24"/>
        </w:rPr>
        <w:t xml:space="preserve">6.3.2 Virality Amplification Features (Phase 2)</w:t>
      </w:r>
    </w:p>
    <w:p>
      <w:pPr>
        <w:pStyle w:val="ListParagraph"/>
        <w:numPr>
          <w:ilvl w:val="0"/>
          <w:numId w:val="2"/>
        </w:numPr>
        <w:spacing w:after="40" w:before="40"/>
      </w:pPr>
      <w:r>
        <w:rPr>
          <w:rFonts w:ascii="Arial" w:cs="Arial" w:eastAsia="Arial" w:hAnsi="Arial"/>
          <w:color w:val="1A1A1A"/>
          <w:sz w:val="20"/>
          <w:szCs w:val="20"/>
        </w:rPr>
        <w:t xml:space="preserve">"Request Compliance Info" Button: B2B clients viewing a Trust Page can click "Request full compliance package" → fills a form → ActProve sends automated email to the supplier with the request → CTA to upgrade to share more</w:t>
      </w:r>
    </w:p>
    <w:p>
      <w:pPr>
        <w:pStyle w:val="ListParagraph"/>
        <w:numPr>
          <w:ilvl w:val="0"/>
          <w:numId w:val="2"/>
        </w:numPr>
        <w:spacing w:after="40" w:before="40"/>
      </w:pPr>
      <w:r>
        <w:rPr>
          <w:rFonts w:ascii="Arial" w:cs="Arial" w:eastAsia="Arial" w:hAnsi="Arial"/>
          <w:color w:val="1A1A1A"/>
          <w:sz w:val="20"/>
          <w:szCs w:val="20"/>
        </w:rPr>
        <w:t xml:space="preserve">Compliance Badge Leaderboard: monthly newsletter feature showing most-viewed Trust Pages in each industry — social proof for active users</w:t>
      </w:r>
    </w:p>
    <w:p>
      <w:pPr>
        <w:pStyle w:val="ListParagraph"/>
        <w:numPr>
          <w:ilvl w:val="0"/>
          <w:numId w:val="2"/>
        </w:numPr>
        <w:spacing w:after="40" w:before="40"/>
      </w:pPr>
      <w:r>
        <w:rPr>
          <w:rFonts w:ascii="Arial" w:cs="Arial" w:eastAsia="Arial" w:hAnsi="Arial"/>
          <w:color w:val="1A1A1A"/>
          <w:sz w:val="20"/>
          <w:szCs w:val="20"/>
        </w:rPr>
        <w:t xml:space="preserve">"Compliant Supplier" Directory: public directory of ActProve-verified companies. Enterprise buyers search for compliant suppliers. Organic SEO + virality.</w:t>
      </w:r>
    </w:p>
    <w:p>
      <w:pPr>
        <w:pStyle w:val="ListParagraph"/>
        <w:numPr>
          <w:ilvl w:val="0"/>
          <w:numId w:val="2"/>
        </w:numPr>
        <w:spacing w:after="40" w:before="40"/>
      </w:pPr>
      <w:r>
        <w:rPr>
          <w:rFonts w:ascii="Arial" w:cs="Arial" w:eastAsia="Arial" w:hAnsi="Arial"/>
          <w:color w:val="1A1A1A"/>
          <w:sz w:val="20"/>
          <w:szCs w:val="20"/>
        </w:rPr>
        <w:t xml:space="preserve">LinkedIn Share: one-click share of Trust Page to LinkedIn with pre-written copy: "We're now EU AI Act compliant. Here's our Trust Page: [link]" — company page posts automatically</w:t>
      </w:r>
    </w:p>
    <w:p>
      <w:pPr>
        <w:spacing w:after="60" w:before="60"/>
      </w:pPr>
    </w:p>
    <w:p>
      <w:pPr>
        <w:pStyle w:val="Heading2"/>
        <w:spacing w:after="180" w:before="360"/>
      </w:pPr>
      <w:r>
        <w:rPr>
          <w:rFonts w:ascii="Arial" w:cs="Arial" w:eastAsia="Arial" w:hAnsi="Arial"/>
          <w:b/>
          <w:bCs/>
          <w:color w:val="1B4F72"/>
          <w:sz w:val="30"/>
          <w:szCs w:val="30"/>
        </w:rPr>
        <w:t xml:space="preserve">6.4 SEO Strategy — Phase 2 Expansion</w:t>
      </w:r>
    </w:p>
    <w:p>
      <w:pPr>
        <w:pStyle w:val="Heading3"/>
        <w:spacing w:after="140" w:before="280"/>
      </w:pPr>
      <w:r>
        <w:rPr>
          <w:rFonts w:ascii="Arial" w:cs="Arial" w:eastAsia="Arial" w:hAnsi="Arial"/>
          <w:b/>
          <w:bCs/>
          <w:color w:val="1D8348"/>
          <w:sz w:val="24"/>
          <w:szCs w:val="24"/>
        </w:rPr>
        <w:t xml:space="preserve">6.4.1 Content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Volume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 Keywords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Expected Traffic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by country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27 pages (one per EU country)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[country]" — e.g. "EU AI Act Germany"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500–5000 searches/mo per major country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by sector pages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 pages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healthcare", "EU AI Act fintech"</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 — sector-specific buyers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Regulation comparison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vs GDPR", "EU AI Act vs ISO 42001"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 researching compliance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Tool comparison pages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 pages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"OneTrust alternative SMB", "EU AI Act compliance tool"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intent — ready to buy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Case studies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Company name + EU AI 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volume, high conversion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Weekly regulation updates blog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52/year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News SEO — enforcement actions, guideline updates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Recurring traffic + newsletter growth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tools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checker free", "AI Act classification 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Very high — lead magnet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Glossary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100 terms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deployer definition"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Long-tail, low competition</w:t>
            </w:r>
          </w:p>
        </w:tc>
      </w:tr>
    </w:tbl>
    <w:p>
      <w:pPr>
        <w:spacing w:after="60" w:before="60"/>
      </w:pPr>
    </w:p>
    <w:p>
      <w:pPr>
        <w:pStyle w:val="Heading3"/>
        <w:spacing w:after="140" w:before="280"/>
      </w:pPr>
      <w:r>
        <w:rPr>
          <w:rFonts w:ascii="Arial" w:cs="Arial" w:eastAsia="Arial" w:hAnsi="Arial"/>
          <w:b/>
          <w:bCs/>
          <w:color w:val="1D8348"/>
          <w:sz w:val="24"/>
          <w:szCs w:val="24"/>
        </w:rPr>
        <w:t xml:space="preserve">6.4.2 Country Page Strategy — Example: Germany</w:t>
      </w:r>
    </w:p>
    <w:p>
      <w:pPr>
        <w:spacing w:after="80" w:before="80"/>
      </w:pPr>
      <w:r>
        <w:rPr>
          <w:rFonts w:ascii="Arial" w:cs="Arial" w:eastAsia="Arial" w:hAnsi="Arial"/>
          <w:color w:val="1A1A1A"/>
          <w:sz w:val="20"/>
          <w:szCs w:val="20"/>
        </w:rPr>
        <w:t xml:space="preserve">URL: actprove.com/eu-ai-act/germany — Target: "EU AI Act Germany", "KI-Verordnung", "EU AI Act Pflichten KMU"</w:t>
      </w:r>
    </w:p>
    <w:p>
      <w:pPr>
        <w:pStyle w:val="ListParagraph"/>
        <w:numPr>
          <w:ilvl w:val="0"/>
          <w:numId w:val="2"/>
        </w:numPr>
        <w:spacing w:after="40" w:before="40"/>
      </w:pPr>
      <w:r>
        <w:rPr>
          <w:rFonts w:ascii="Arial" w:cs="Arial" w:eastAsia="Arial" w:hAnsi="Arial"/>
          <w:color w:val="1A1A1A"/>
          <w:sz w:val="20"/>
          <w:szCs w:val="20"/>
        </w:rPr>
        <w:t xml:space="preserve">German-language content (translated and reviewed by native speaker)</w:t>
      </w:r>
    </w:p>
    <w:p>
      <w:pPr>
        <w:pStyle w:val="ListParagraph"/>
        <w:numPr>
          <w:ilvl w:val="0"/>
          <w:numId w:val="2"/>
        </w:numPr>
        <w:spacing w:after="40" w:before="40"/>
      </w:pPr>
      <w:r>
        <w:rPr>
          <w:rFonts w:ascii="Arial" w:cs="Arial" w:eastAsia="Arial" w:hAnsi="Arial"/>
          <w:color w:val="1A1A1A"/>
          <w:sz w:val="20"/>
          <w:szCs w:val="20"/>
        </w:rPr>
        <w:t xml:space="preserve">German market statistics: 3.5M SMBs, X% use AI tools, enforcement by Bundesnetzagentur</w:t>
      </w:r>
    </w:p>
    <w:p>
      <w:pPr>
        <w:pStyle w:val="ListParagraph"/>
        <w:numPr>
          <w:ilvl w:val="0"/>
          <w:numId w:val="2"/>
        </w:numPr>
        <w:spacing w:after="40" w:before="40"/>
      </w:pPr>
      <w:r>
        <w:rPr>
          <w:rFonts w:ascii="Arial" w:cs="Arial" w:eastAsia="Arial" w:hAnsi="Arial"/>
          <w:color w:val="1A1A1A"/>
          <w:sz w:val="20"/>
          <w:szCs w:val="20"/>
        </w:rPr>
        <w:t xml:space="preserve">Germany-specific enforcement body info: who to contact, how audits work</w:t>
      </w:r>
    </w:p>
    <w:p>
      <w:pPr>
        <w:pStyle w:val="ListParagraph"/>
        <w:numPr>
          <w:ilvl w:val="0"/>
          <w:numId w:val="2"/>
        </w:numPr>
        <w:spacing w:after="40" w:before="40"/>
      </w:pPr>
      <w:r>
        <w:rPr>
          <w:rFonts w:ascii="Arial" w:cs="Arial" w:eastAsia="Arial" w:hAnsi="Arial"/>
          <w:color w:val="1A1A1A"/>
          <w:sz w:val="20"/>
          <w:szCs w:val="20"/>
        </w:rPr>
        <w:t xml:space="preserve">German case studies: German company examples using ActProve</w:t>
      </w:r>
    </w:p>
    <w:p>
      <w:pPr>
        <w:pStyle w:val="ListParagraph"/>
        <w:numPr>
          <w:ilvl w:val="0"/>
          <w:numId w:val="2"/>
        </w:numPr>
        <w:spacing w:after="40" w:before="40"/>
      </w:pPr>
      <w:r>
        <w:rPr>
          <w:rFonts w:ascii="Arial" w:cs="Arial" w:eastAsia="Arial" w:hAnsi="Arial"/>
          <w:color w:val="1A1A1A"/>
          <w:sz w:val="20"/>
          <w:szCs w:val="20"/>
        </w:rPr>
        <w:t xml:space="preserve">FAQ in German: most common questions from German SMBs</w:t>
      </w:r>
    </w:p>
    <w:p>
      <w:pPr>
        <w:pStyle w:val="ListParagraph"/>
        <w:numPr>
          <w:ilvl w:val="0"/>
          <w:numId w:val="2"/>
        </w:numPr>
        <w:spacing w:after="40" w:before="40"/>
      </w:pPr>
      <w:r>
        <w:rPr>
          <w:rFonts w:ascii="Arial" w:cs="Arial" w:eastAsia="Arial" w:hAnsi="Arial"/>
          <w:color w:val="1A1A1A"/>
          <w:sz w:val="20"/>
          <w:szCs w:val="20"/>
        </w:rPr>
        <w:t xml:space="preserve">CTA in German: "Kostenlos starten — 14 Tage kostenlos testen"</w:t>
      </w:r>
    </w:p>
    <w:p>
      <w:pPr>
        <w:spacing w:after="60" w:before="60"/>
      </w:pPr>
    </w:p>
    <w:p>
      <w:pPr>
        <w:pStyle w:val="Heading2"/>
        <w:spacing w:after="180" w:before="360"/>
      </w:pPr>
      <w:r>
        <w:rPr>
          <w:rFonts w:ascii="Arial" w:cs="Arial" w:eastAsia="Arial" w:hAnsi="Arial"/>
          <w:b/>
          <w:bCs/>
          <w:color w:val="1B4F72"/>
          <w:sz w:val="30"/>
          <w:szCs w:val="30"/>
        </w:rPr>
        <w:t xml:space="preserve">6.5 Pricing Strategy — Phase 2</w:t>
      </w:r>
    </w:p>
    <w:p>
      <w:pPr>
        <w:pStyle w:val="Heading3"/>
        <w:spacing w:after="140" w:before="280"/>
      </w:pPr>
      <w:r>
        <w:rPr>
          <w:rFonts w:ascii="Arial" w:cs="Arial" w:eastAsia="Arial" w:hAnsi="Arial"/>
          <w:b/>
          <w:bCs/>
          <w:color w:val="1D8348"/>
          <w:sz w:val="24"/>
          <w:szCs w:val="24"/>
        </w:rPr>
        <w:t xml:space="preserve">6.5.1 Phase 2 Pricing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Old Price (Phase 1)</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New Price (Phase 2)</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Changed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$99/month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$79/month (annual) / $99/month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Annual option added — better conversion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Growth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$249/month</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$199/month (annual) / $249/month</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Annual option — main conversion 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$499/month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$399/month (annual) / $499/month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Annual option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Business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$999/month (annual) / $1,199/month</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 3 regulations, 20 users, partner-ready, API, white-label reports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 (from $3,000/month)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Unlimited, custom integrations, SLA, dedicated CSM, legal review network</w:t>
            </w:r>
          </w:p>
        </w:tc>
      </w:tr>
    </w:tbl>
    <w:p>
      <w:pPr>
        <w:spacing w:after="60" w:before="60"/>
      </w:pPr>
    </w:p>
    <w:p>
      <w:pPr>
        <w:pStyle w:val="Heading3"/>
        <w:spacing w:after="140" w:before="280"/>
      </w:pPr>
      <w:r>
        <w:rPr>
          <w:rFonts w:ascii="Arial" w:cs="Arial" w:eastAsia="Arial" w:hAnsi="Arial"/>
          <w:b/>
          <w:bCs/>
          <w:color w:val="1D8348"/>
          <w:sz w:val="24"/>
          <w:szCs w:val="24"/>
        </w:rPr>
        <w:t xml:space="preserve">6.5.2 Pricing Psychology</w:t>
      </w:r>
    </w:p>
    <w:p>
      <w:pPr>
        <w:pStyle w:val="ListParagraph"/>
        <w:numPr>
          <w:ilvl w:val="0"/>
          <w:numId w:val="2"/>
        </w:numPr>
        <w:spacing w:after="40" w:before="40"/>
      </w:pPr>
      <w:r>
        <w:rPr>
          <w:rFonts w:ascii="Arial" w:cs="Arial" w:eastAsia="Arial" w:hAnsi="Arial"/>
          <w:color w:val="1A1A1A"/>
          <w:sz w:val="20"/>
          <w:szCs w:val="20"/>
        </w:rPr>
        <w:t xml:space="preserve">Annual discount: 20% off — target &gt; 50% of customers on annual (better LTV, less churn, better cashflow)</w:t>
      </w:r>
    </w:p>
    <w:p>
      <w:pPr>
        <w:pStyle w:val="ListParagraph"/>
        <w:numPr>
          <w:ilvl w:val="0"/>
          <w:numId w:val="2"/>
        </w:numPr>
        <w:spacing w:after="40" w:before="40"/>
      </w:pPr>
      <w:r>
        <w:rPr>
          <w:rFonts w:ascii="Arial" w:cs="Arial" w:eastAsia="Arial" w:hAnsi="Arial"/>
          <w:color w:val="1A1A1A"/>
          <w:sz w:val="20"/>
          <w:szCs w:val="20"/>
        </w:rPr>
        <w:t xml:space="preserve">Add-ons revenue: Extra frameworks ($49/mo each), Additional users above plan limit ($19/user/mo), Priority support ($99/mo)</w:t>
      </w:r>
    </w:p>
    <w:p>
      <w:pPr>
        <w:pStyle w:val="ListParagraph"/>
        <w:numPr>
          <w:ilvl w:val="0"/>
          <w:numId w:val="2"/>
        </w:numPr>
        <w:spacing w:after="40" w:before="40"/>
      </w:pPr>
      <w:r>
        <w:rPr>
          <w:rFonts w:ascii="Arial" w:cs="Arial" w:eastAsia="Arial" w:hAnsi="Arial"/>
          <w:color w:val="1A1A1A"/>
          <w:sz w:val="20"/>
          <w:szCs w:val="20"/>
        </w:rPr>
        <w:t xml:space="preserve">Partner pricing: 30% discount for partners buying on behalf of clients — improves their margin, increases ActProve volume</w:t>
      </w:r>
    </w:p>
    <w:p>
      <w:pPr>
        <w:pStyle w:val="ListParagraph"/>
        <w:numPr>
          <w:ilvl w:val="0"/>
          <w:numId w:val="2"/>
        </w:numPr>
        <w:spacing w:after="40" w:before="40"/>
      </w:pPr>
      <w:r>
        <w:rPr>
          <w:rFonts w:ascii="Arial" w:cs="Arial" w:eastAsia="Arial" w:hAnsi="Arial"/>
          <w:color w:val="1A1A1A"/>
          <w:sz w:val="20"/>
          <w:szCs w:val="20"/>
        </w:rPr>
        <w:t xml:space="preserve">Nonprofit pricing: 50% discount for registered nonprofits — goodwill and PR</w:t>
      </w:r>
    </w:p>
    <w:p>
      <w:pPr>
        <w:spacing w:after="60" w:before="60"/>
      </w:pPr>
    </w:p>
    <w:p>
      <w:pPr>
        <w:pStyle w:val="Heading2"/>
        <w:spacing w:after="180" w:before="360"/>
      </w:pPr>
      <w:r>
        <w:rPr>
          <w:rFonts w:ascii="Arial" w:cs="Arial" w:eastAsia="Arial" w:hAnsi="Arial"/>
          <w:b/>
          <w:bCs/>
          <w:color w:val="1B4F72"/>
          <w:sz w:val="30"/>
          <w:szCs w:val="30"/>
        </w:rPr>
        <w:t xml:space="preserve">6.6 Customer Success Playbook</w:t>
      </w:r>
    </w:p>
    <w:p>
      <w:pPr>
        <w:pStyle w:val="Heading3"/>
        <w:spacing w:after="140" w:before="280"/>
      </w:pPr>
      <w:r>
        <w:rPr>
          <w:rFonts w:ascii="Arial" w:cs="Arial" w:eastAsia="Arial" w:hAnsi="Arial"/>
          <w:b/>
          <w:bCs/>
          <w:color w:val="1D8348"/>
          <w:sz w:val="24"/>
          <w:szCs w:val="24"/>
        </w:rPr>
        <w:t xml:space="preserve">6.6.1 Onboarding Journey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600"/>
        <w:gridCol w:w="25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Touchpoint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Trigger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 (signup)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In-app onboarding wizard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5+ systems, complete risk scan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Automatic</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Email: "Your first compliance action" with checklist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Generate first document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Automatic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(no doc generated)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"Need help getting started?" + Calendly 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Book onboarding 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Conditional</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In-app: compliance score review + next 3 actions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Reach 30% compliance score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Automatic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 (trial halfway)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"You're halfway through your trial — here's what you've 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Upgrade before end of trial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Automatic</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Email: "3 days until trial ends — your data is ready"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Convert to paid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Automatic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(post-conversion)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Success call (Growth/Team plans)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Understand goals, ensure adoption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Manual — CS team triggers</w:t>
            </w:r>
          </w:p>
        </w:tc>
      </w:tr>
    </w:tbl>
    <w:p>
      <w:pPr>
        <w:spacing w:after="60" w:before="60"/>
      </w:pPr>
    </w:p>
    <w:p>
      <w:pPr>
        <w:pStyle w:val="Heading3"/>
        <w:spacing w:after="140" w:before="280"/>
      </w:pPr>
      <w:r>
        <w:rPr>
          <w:rFonts w:ascii="Arial" w:cs="Arial" w:eastAsia="Arial" w:hAnsi="Arial"/>
          <w:b/>
          <w:bCs/>
          <w:color w:val="1D8348"/>
          <w:sz w:val="24"/>
          <w:szCs w:val="24"/>
        </w:rPr>
        <w:t xml:space="preserve">6.6.2 Churn Prevention</w:t>
      </w:r>
    </w:p>
    <w:p>
      <w:pPr>
        <w:pStyle w:val="ListParagraph"/>
        <w:numPr>
          <w:ilvl w:val="0"/>
          <w:numId w:val="2"/>
        </w:numPr>
        <w:spacing w:after="40" w:before="40"/>
      </w:pPr>
      <w:r>
        <w:rPr>
          <w:rFonts w:ascii="Arial" w:cs="Arial" w:eastAsia="Arial" w:hAnsi="Arial"/>
          <w:color w:val="1A1A1A"/>
          <w:sz w:val="20"/>
          <w:szCs w:val="20"/>
        </w:rPr>
        <w:t xml:space="preserve">Usage monitoring: flag accounts with no login in 14 days → automated re-engagement email</w:t>
      </w:r>
    </w:p>
    <w:p>
      <w:pPr>
        <w:pStyle w:val="ListParagraph"/>
        <w:numPr>
          <w:ilvl w:val="0"/>
          <w:numId w:val="2"/>
        </w:numPr>
        <w:spacing w:after="40" w:before="40"/>
      </w:pPr>
      <w:r>
        <w:rPr>
          <w:rFonts w:ascii="Arial" w:cs="Arial" w:eastAsia="Arial" w:hAnsi="Arial"/>
          <w:color w:val="1A1A1A"/>
          <w:sz w:val="20"/>
          <w:szCs w:val="20"/>
        </w:rPr>
        <w:t xml:space="preserve">Obligation deadlines: reminders 30 and 7 days before any obligation deadline the customer has not completed</w:t>
      </w:r>
    </w:p>
    <w:p>
      <w:pPr>
        <w:pStyle w:val="ListParagraph"/>
        <w:numPr>
          <w:ilvl w:val="0"/>
          <w:numId w:val="2"/>
        </w:numPr>
        <w:spacing w:after="40" w:before="40"/>
      </w:pPr>
      <w:r>
        <w:rPr>
          <w:rFonts w:ascii="Arial" w:cs="Arial" w:eastAsia="Arial" w:hAnsi="Arial"/>
          <w:color w:val="1A1A1A"/>
          <w:sz w:val="20"/>
          <w:szCs w:val="20"/>
        </w:rPr>
        <w:t xml:space="preserve">Health score alerts: if compliance score drops (system moved to 'needs action') → immediate notification</w:t>
      </w:r>
    </w:p>
    <w:p>
      <w:pPr>
        <w:pStyle w:val="ListParagraph"/>
        <w:numPr>
          <w:ilvl w:val="0"/>
          <w:numId w:val="2"/>
        </w:numPr>
        <w:spacing w:after="40" w:before="40"/>
      </w:pPr>
      <w:r>
        <w:rPr>
          <w:rFonts w:ascii="Arial" w:cs="Arial" w:eastAsia="Arial" w:hAnsi="Arial"/>
          <w:color w:val="1A1A1A"/>
          <w:sz w:val="20"/>
          <w:szCs w:val="20"/>
        </w:rPr>
        <w:t xml:space="preserve">Quarterly business review (QBR): for Business and Enterprise customers — review progress, upcoming changes, roadmap</w:t>
      </w:r>
    </w:p>
    <w:p>
      <w:pPr>
        <w:pStyle w:val="ListParagraph"/>
        <w:numPr>
          <w:ilvl w:val="0"/>
          <w:numId w:val="2"/>
        </w:numPr>
        <w:spacing w:after="40" w:before="40"/>
      </w:pPr>
      <w:r>
        <w:rPr>
          <w:rFonts w:ascii="Arial" w:cs="Arial" w:eastAsia="Arial" w:hAnsi="Arial"/>
          <w:color w:val="1A1A1A"/>
          <w:sz w:val="20"/>
          <w:szCs w:val="20"/>
        </w:rPr>
        <w:t xml:space="preserve">NPS survey at day 60 and every 6 months — act on detractors immediately (CEO personal email within 24h)</w:t>
      </w:r>
    </w:p>
    <w:p>
      <w:pPr>
        <w:spacing w:after="60" w:before="60"/>
      </w:pPr>
    </w:p>
    <w:p>
      <w:r>
        <w:br/>
      </w:r>
    </w:p>
    <w:p>
      <w:pPr>
        <w:pStyle w:val="Heading1"/>
        <w:spacing w:after="240" w:before="480"/>
      </w:pPr>
      <w:r>
        <w:rPr>
          <w:rFonts w:ascii="Arial" w:cs="Arial" w:eastAsia="Arial" w:hAnsi="Arial"/>
          <w:b/>
          <w:bCs/>
          <w:color w:val="1B4F72"/>
          <w:sz w:val="40"/>
          <w:szCs w:val="40"/>
        </w:rPr>
        <w:t xml:space="preserve">7. Financial Model — Phase 2 (18 Months)</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7.1 Revenue Model</w:t>
      </w:r>
    </w:p>
    <w:p>
      <w:pPr>
        <w:pStyle w:val="Heading3"/>
        <w:spacing w:after="140" w:before="280"/>
      </w:pPr>
      <w:r>
        <w:rPr>
          <w:rFonts w:ascii="Arial" w:cs="Arial" w:eastAsia="Arial" w:hAnsi="Arial"/>
          <w:b/>
          <w:bCs/>
          <w:color w:val="1D8348"/>
          <w:sz w:val="24"/>
          <w:szCs w:val="24"/>
        </w:rPr>
        <w:t xml:space="preserve">7.1.1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Revenue Stream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 2 Target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 of Total Revenue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Subscription MRR (direct)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$60K MRR by Month 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Self-serve + sales-assisted conversion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Partner-sourced MRR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$25K MRR by Month 18</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25%</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referrals at 30% commission 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access (Team+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$5K MRR by Month 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Included in Team plan pricing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Add-on frameworks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$5K MRR by Month 18</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ISO 42001 $49/mo, NIS2 $49/mo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Enterprise contracts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$5K MRR by Month 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 pricing, 2–3 enterprise deals</w:t>
            </w:r>
          </w:p>
        </w:tc>
      </w:tr>
    </w:tbl>
    <w:p>
      <w:pPr>
        <w:spacing w:after="60" w:before="60"/>
      </w:pPr>
    </w:p>
    <w:p>
      <w:pPr>
        <w:pStyle w:val="Heading2"/>
        <w:spacing w:after="180" w:before="360"/>
      </w:pPr>
      <w:r>
        <w:rPr>
          <w:rFonts w:ascii="Arial" w:cs="Arial" w:eastAsia="Arial" w:hAnsi="Arial"/>
          <w:b/>
          <w:bCs/>
          <w:color w:val="1B4F72"/>
          <w:sz w:val="30"/>
          <w:szCs w:val="30"/>
        </w:rPr>
        <w:t xml:space="preserve">7.2 Month-by-Month MRR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1600"/>
        <w:gridCol w:w="1500"/>
        <w:gridCol w:w="1200"/>
        <w:gridCol w:w="15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New Customers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Total Customers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Avg MRR/Customer</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Total MRR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Churn $</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Net MRR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$165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$8,775</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18</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71</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$170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$12,070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$11,670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$172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$15,652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$15,132</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113</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$175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$19,775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$650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$19,125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$178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$24,920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$24,120</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172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$180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$30,960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$29,960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$185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$37,740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$36,540</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240</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$188</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$45,120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$1,400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$43,720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$52,440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$50,840</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317</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$195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$61,815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$1,900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$59,915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$70,686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$68,586</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402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$200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$80,400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$2,400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$78,000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$91,430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$88,830</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494</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$208</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$102,752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$2,900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$99,852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$113,820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$110,720</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589</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$215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$126,635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$3,400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$123,235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$138,648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$135,048</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687</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$220</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$151,140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$3,900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$147,240</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6EAF8" w:val="clear"/>
            <w:tcMar>
              <w:top w:type="dxa" w:w="140"/>
              <w:left w:type="dxa" w:w="220"/>
              <w:bottom w:type="dxa" w:w="140"/>
              <w:right w:type="dxa" w:w="220"/>
            </w:tcMar>
          </w:tcPr>
          <w:p>
            <w:r>
              <w:rPr>
                <w:rFonts w:ascii="Arial" w:cs="Arial" w:eastAsia="Arial" w:hAnsi="Arial"/>
                <w:b/>
                <w:bCs/>
                <w:color w:val="1B4F72"/>
                <w:sz w:val="21"/>
                <w:szCs w:val="21"/>
              </w:rPr>
              <w:t xml:space="preserve">📊  Key Metrics at Month 18:</w:t>
            </w:r>
          </w:p>
          <w:p>
            <w:pPr>
              <w:spacing w:before="80"/>
            </w:pPr>
            <w:r>
              <w:rPr>
                <w:rFonts w:ascii="Arial" w:cs="Arial" w:eastAsia="Arial" w:hAnsi="Arial"/>
                <w:color w:val="1A1A1A"/>
                <w:sz w:val="19"/>
                <w:szCs w:val="19"/>
              </w:rPr>
              <w:t xml:space="preserve">MRR: ~$147K | ARR: ~$1.77M | Customers: 687 | Avg Revenue per Customer: $220/mo | Gross Margin: ~82% | Monthly Churn Rate: ~2.6%</w:t>
            </w:r>
          </w:p>
        </w:tc>
      </w:tr>
    </w:tbl>
    <w:p>
      <w:pPr>
        <w:spacing w:after="60" w:before="60"/>
      </w:pPr>
    </w:p>
    <w:p>
      <w:pPr>
        <w:pStyle w:val="Heading2"/>
        <w:spacing w:after="180" w:before="360"/>
      </w:pPr>
      <w:r>
        <w:rPr>
          <w:rFonts w:ascii="Arial" w:cs="Arial" w:eastAsia="Arial" w:hAnsi="Arial"/>
          <w:b/>
          <w:bCs/>
          <w:color w:val="1B4F72"/>
          <w:sz w:val="30"/>
          <w:szCs w:val="30"/>
        </w:rPr>
        <w:t xml:space="preserve">7.3 Cost Structure</w:t>
      </w:r>
    </w:p>
    <w:p>
      <w:pPr>
        <w:pStyle w:val="Heading3"/>
        <w:spacing w:after="140" w:before="280"/>
      </w:pPr>
      <w:r>
        <w:rPr>
          <w:rFonts w:ascii="Arial" w:cs="Arial" w:eastAsia="Arial" w:hAnsi="Arial"/>
          <w:b/>
          <w:bCs/>
          <w:color w:val="1D8348"/>
          <w:sz w:val="24"/>
          <w:szCs w:val="24"/>
        </w:rPr>
        <w:t xml:space="preserve">7.3.1 Monthly Operating Costs — Month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Cost Category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Scaling Model</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Infrastructure (Vercel, Supabase, Fly.io)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Scales with usage — mostly fixed below 1K customers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Vercel Pro + Supabase Pro + Fly PDF worker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Claude API (AI classification + docs)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~$0.87 per active customer per month</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100K tokens/customer/month 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Resend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Based on email volume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500K emails/month at scale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Upstash Redis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Per request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Caching + rate limiting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Inngest (background jobs)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 job execution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Grows with sync frequency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Sentry (error tracking)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$80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Fixed per team size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PostHog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 event volume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Self-hosted option available to cut cost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Typesense (search)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$150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Per GB indexed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Search across all org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Domain + SSL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domains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Software subscriptions (Notion, Linear, etc.)</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Fixed/team</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Internal tooling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LLM/API R&amp;D (prompt testing, new models)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Budget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Experimenting with new features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TOTAL INFRASTRUCTURE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$2,520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~1.7% of MRR at Month 18 → excellent gross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First hire: Customer Success / Growth (Month 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Part-time or contractor initially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Second hire: Full-stack developer (Month 12)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$5,500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Fixed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Help with integrations + roadmap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Third hire: Part-time sales/partnerships (Month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Fixed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Partner program management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TOTAL PEOPLE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$13,500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By Month 18 — lean team of 3 part-time hires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Marketing (content, paid experiments)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Budget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LinkedIn ads, content creation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Accounting + legal + compliance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$800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Monthly retainer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Especially EU VAT, GDPR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Miscellaneous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Buffer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TOTAL OPERATING COSTS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$19,320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
            </w:r>
          </w:p>
        </w:tc>
      </w:tr>
    </w:tbl>
    <w:p>
      <w:pPr>
        <w:spacing w:after="60" w:before="60"/>
      </w:pPr>
    </w:p>
    <w:p>
      <w:pPr>
        <w:pStyle w:val="Heading2"/>
        <w:spacing w:after="180" w:before="360"/>
      </w:pPr>
      <w:r>
        <w:rPr>
          <w:rFonts w:ascii="Arial" w:cs="Arial" w:eastAsia="Arial" w:hAnsi="Arial"/>
          <w:b/>
          <w:bCs/>
          <w:color w:val="1B4F72"/>
          <w:sz w:val="30"/>
          <w:szCs w:val="30"/>
        </w:rPr>
        <w:t xml:space="preserve">7.4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26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Month 6</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Month 12</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Month 18</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Industry Benchmark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Gross Margin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70–85% for SaaS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Customer Acquisition Cost (CAC)</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$120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$95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$75</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3 months payback ideal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Average Revenue Per Customer (ARPC)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$180/mo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$220/mo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Growing = good signal</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LTV (at 2.6% churn = ~38 mo LTV)</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$6,840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$7,600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$8,360</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LTV:CAC &gt; 3x ideal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LTV:CAC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57x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80x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111x</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Outstanding (&gt; 3x is good)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Payback Period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1 month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1 month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1 month</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12 months ideal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Monthly Churn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5% is SaaS benchmark</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Net Revenue Retention (NRR)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110%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115%</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&gt; 100% is ideal (expansion)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Burn Multiple (cash burned / ARR added)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0.4x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0.2x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0.15x</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1x is efficient</w:t>
            </w:r>
          </w:p>
        </w:tc>
      </w:tr>
    </w:tbl>
    <w:p>
      <w:pPr>
        <w:spacing w:after="60" w:before="60"/>
      </w:pPr>
    </w:p>
    <w:p>
      <w:pPr>
        <w:pStyle w:val="Heading2"/>
        <w:spacing w:after="180" w:before="360"/>
      </w:pPr>
      <w:r>
        <w:rPr>
          <w:rFonts w:ascii="Arial" w:cs="Arial" w:eastAsia="Arial" w:hAnsi="Arial"/>
          <w:b/>
          <w:bCs/>
          <w:color w:val="1B4F72"/>
          <w:sz w:val="30"/>
          <w:szCs w:val="30"/>
        </w:rPr>
        <w:t xml:space="preserve">7.5 Path to $1M ARR</w:t>
      </w:r>
    </w:p>
    <w:p>
      <w:pPr>
        <w:spacing w:after="80" w:before="80"/>
      </w:pPr>
      <w:r>
        <w:rPr>
          <w:rFonts w:ascii="Arial" w:cs="Arial" w:eastAsia="Arial" w:hAnsi="Arial"/>
          <w:color w:val="1A1A1A"/>
          <w:sz w:val="20"/>
          <w:szCs w:val="20"/>
        </w:rPr>
        <w:t xml:space="preserve">$1M ARR = $83,333 MRR. Based on projections, this is reached approximately at Month 13–14 of Phase 2 with the current model. Faster paths:</w:t>
      </w:r>
    </w:p>
    <w:p>
      <w:pPr>
        <w:pStyle w:val="ListParagraph"/>
        <w:numPr>
          <w:ilvl w:val="0"/>
          <w:numId w:val="2"/>
        </w:numPr>
        <w:spacing w:after="40" w:before="40"/>
      </w:pPr>
      <w:r>
        <w:rPr>
          <w:rFonts w:ascii="Arial" w:cs="Arial" w:eastAsia="Arial" w:hAnsi="Arial"/>
          <w:color w:val="1A1A1A"/>
          <w:sz w:val="20"/>
          <w:szCs w:val="20"/>
        </w:rPr>
        <w:t xml:space="preserve">Land 2 enterprise customers at $3K–5K/month each: accelerates by 2–3 months</w:t>
      </w:r>
    </w:p>
    <w:p>
      <w:pPr>
        <w:pStyle w:val="ListParagraph"/>
        <w:numPr>
          <w:ilvl w:val="0"/>
          <w:numId w:val="2"/>
        </w:numPr>
        <w:spacing w:after="40" w:before="40"/>
      </w:pPr>
      <w:r>
        <w:rPr>
          <w:rFonts w:ascii="Arial" w:cs="Arial" w:eastAsia="Arial" w:hAnsi="Arial"/>
          <w:color w:val="1A1A1A"/>
          <w:sz w:val="20"/>
          <w:szCs w:val="20"/>
        </w:rPr>
        <w:t xml:space="preserve">Partner program hits 10 active resellers each bringing 3+ customers/month: major acceleration</w:t>
      </w:r>
    </w:p>
    <w:p>
      <w:pPr>
        <w:pStyle w:val="ListParagraph"/>
        <w:numPr>
          <w:ilvl w:val="0"/>
          <w:numId w:val="2"/>
        </w:numPr>
        <w:spacing w:after="40" w:before="40"/>
      </w:pPr>
      <w:r>
        <w:rPr>
          <w:rFonts w:ascii="Arial" w:cs="Arial" w:eastAsia="Arial" w:hAnsi="Arial"/>
          <w:color w:val="1A1A1A"/>
          <w:sz w:val="20"/>
          <w:szCs w:val="20"/>
        </w:rPr>
        <w:t xml:space="preserve">Price increase of 15% on new customers (existing grandfathered): adds ~$8K MRR without new customers</w:t>
      </w:r>
    </w:p>
    <w:p>
      <w:pPr>
        <w:spacing w:after="60" w:before="60"/>
      </w:pPr>
    </w:p>
    <w:p>
      <w:pPr>
        <w:pStyle w:val="Heading2"/>
        <w:spacing w:after="180" w:before="360"/>
      </w:pPr>
      <w:r>
        <w:rPr>
          <w:rFonts w:ascii="Arial" w:cs="Arial" w:eastAsia="Arial" w:hAnsi="Arial"/>
          <w:b/>
          <w:bCs/>
          <w:color w:val="1B4F72"/>
          <w:sz w:val="30"/>
          <w:szCs w:val="30"/>
        </w:rPr>
        <w:t xml:space="preserve">7.6 Fundraising Considerations</w:t>
      </w:r>
    </w:p>
    <w:p>
      <w:pPr>
        <w:spacing w:after="80" w:before="80"/>
      </w:pPr>
      <w:r>
        <w:rPr>
          <w:rFonts w:ascii="Arial" w:cs="Arial" w:eastAsia="Arial" w:hAnsi="Arial"/>
          <w:color w:val="1A1A1A"/>
          <w:sz w:val="20"/>
          <w:szCs w:val="20"/>
        </w:rPr>
        <w:t xml:space="preserve">ActProve is designed to be bootstrappable to $1M ARR without external funding. However, at $500K ARR, raising a small seed round ($500K–$1.5M) accelerates:</w:t>
      </w:r>
    </w:p>
    <w:p>
      <w:pPr>
        <w:pStyle w:val="ListParagraph"/>
        <w:numPr>
          <w:ilvl w:val="0"/>
          <w:numId w:val="2"/>
        </w:numPr>
        <w:spacing w:after="40" w:before="40"/>
      </w:pPr>
      <w:r>
        <w:rPr>
          <w:rFonts w:ascii="Arial" w:cs="Arial" w:eastAsia="Arial" w:hAnsi="Arial"/>
          <w:color w:val="1A1A1A"/>
          <w:sz w:val="20"/>
          <w:szCs w:val="20"/>
        </w:rPr>
        <w:t xml:space="preserve">3 additional engineers → 3x faster feature velocity</w:t>
      </w:r>
    </w:p>
    <w:p>
      <w:pPr>
        <w:pStyle w:val="ListParagraph"/>
        <w:numPr>
          <w:ilvl w:val="0"/>
          <w:numId w:val="2"/>
        </w:numPr>
        <w:spacing w:after="40" w:before="40"/>
      </w:pPr>
      <w:r>
        <w:rPr>
          <w:rFonts w:ascii="Arial" w:cs="Arial" w:eastAsia="Arial" w:hAnsi="Arial"/>
          <w:color w:val="1A1A1A"/>
          <w:sz w:val="20"/>
          <w:szCs w:val="20"/>
        </w:rPr>
        <w:t xml:space="preserve">Dedicated sales person → enterprise deals, partner program management</w:t>
      </w:r>
    </w:p>
    <w:p>
      <w:pPr>
        <w:pStyle w:val="ListParagraph"/>
        <w:numPr>
          <w:ilvl w:val="0"/>
          <w:numId w:val="2"/>
        </w:numPr>
        <w:spacing w:after="40" w:before="40"/>
      </w:pPr>
      <w:r>
        <w:rPr>
          <w:rFonts w:ascii="Arial" w:cs="Arial" w:eastAsia="Arial" w:hAnsi="Arial"/>
          <w:color w:val="1A1A1A"/>
          <w:sz w:val="20"/>
          <w:szCs w:val="20"/>
        </w:rPr>
        <w:t xml:space="preserve">Marketing budget → 5x content production, paid acquisition testing</w:t>
      </w:r>
    </w:p>
    <w:p>
      <w:pPr>
        <w:pStyle w:val="ListParagraph"/>
        <w:numPr>
          <w:ilvl w:val="0"/>
          <w:numId w:val="2"/>
        </w:numPr>
        <w:spacing w:after="40" w:before="40"/>
      </w:pPr>
      <w:r>
        <w:rPr>
          <w:rFonts w:ascii="Arial" w:cs="Arial" w:eastAsia="Arial" w:hAnsi="Arial"/>
          <w:color w:val="1A1A1A"/>
          <w:sz w:val="20"/>
          <w:szCs w:val="20"/>
        </w:rPr>
        <w:t xml:space="preserve">Legal/compliance team → EU regulatory relationships, enterprise contract support</w:t>
      </w:r>
    </w:p>
    <w:p>
      <w:pPr>
        <w:spacing w:after="60" w:before="60"/>
      </w:pPr>
    </w:p>
    <w:p>
      <w:pPr>
        <w:spacing w:after="80" w:before="80"/>
      </w:pPr>
      <w:r>
        <w:rPr>
          <w:rFonts w:ascii="Arial" w:cs="Arial" w:eastAsia="Arial" w:hAnsi="Arial"/>
          <w:color w:val="1A1A1A"/>
          <w:sz w:val="20"/>
          <w:szCs w:val="20"/>
        </w:rPr>
        <w:t xml:space="preserve">Valuation context: SaaS companies at $1M ARR with 80%+ gross margin and strong NRR trade at 8–15x ARR multiples in 2026. If ActProve reaches $1M ARR: $8–15M valuation. Seed round at $500K ARR and 10x ARR multiple = $5M valuation, 10–20% dilution for $500K–1M.</w:t>
      </w:r>
    </w:p>
    <w:p>
      <w:pPr>
        <w:spacing w:after="60" w:before="60"/>
      </w:pPr>
    </w:p>
    <w:p>
      <w:r>
        <w:br/>
      </w:r>
    </w:p>
    <w:p>
      <w:pPr>
        <w:pStyle w:val="Heading1"/>
        <w:spacing w:after="240" w:before="480"/>
      </w:pPr>
      <w:r>
        <w:rPr>
          <w:rFonts w:ascii="Arial" w:cs="Arial" w:eastAsia="Arial" w:hAnsi="Arial"/>
          <w:b/>
          <w:bCs/>
          <w:color w:val="1B4F72"/>
          <w:sz w:val="40"/>
          <w:szCs w:val="40"/>
        </w:rPr>
        <w:t xml:space="preserve">8. Internationalization &amp; Localization</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8.1 Why Localization is Critical for Compliance Software</w:t>
      </w:r>
    </w:p>
    <w:p>
      <w:pPr>
        <w:spacing w:after="80" w:before="80"/>
      </w:pPr>
      <w:r>
        <w:rPr>
          <w:rFonts w:ascii="Arial" w:cs="Arial" w:eastAsia="Arial" w:hAnsi="Arial"/>
          <w:color w:val="1A1A1A"/>
          <w:sz w:val="20"/>
          <w:szCs w:val="20"/>
        </w:rPr>
        <w:t xml:space="preserve">Compliance is inherently local. A German SMB expects to read about EU AI Act in German, with references to the Bundesnetzagentur as their enforcement authority. A Polish company wants PLN pricing and Polish document templates. Localization is not a nice-to-have — it is a sales requirement for non-English markets that represent 80% of the EU SMB population.</w:t>
      </w:r>
    </w:p>
    <w:p>
      <w:pPr>
        <w:spacing w:after="60" w:before="60"/>
      </w:pPr>
    </w:p>
    <w:p>
      <w:pPr>
        <w:pStyle w:val="Heading2"/>
        <w:spacing w:after="180" w:before="360"/>
      </w:pPr>
      <w:r>
        <w:rPr>
          <w:rFonts w:ascii="Arial" w:cs="Arial" w:eastAsia="Arial" w:hAnsi="Arial"/>
          <w:b/>
          <w:bCs/>
          <w:color w:val="1B4F72"/>
          <w:sz w:val="30"/>
          <w:szCs w:val="30"/>
        </w:rPr>
        <w:t xml:space="preserve">8.2 Languages — Phase 2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00"/>
        <w:gridCol w:w="1200"/>
        <w:gridCol w:w="37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Language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Market Priority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EU SMB Count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Launch Month</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Translation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English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(already live)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Native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German (DE/AT/CH)</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Tier 1</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3.5M SMBs in DACH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1–2</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Professional translation + native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Polish (PL)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Tier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2.1M SMBs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2–3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Professional translation — cost-effective market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Dutch (NL/BE)</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Tier 1</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1.2M SMBs — high AI adoption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2–3</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Professional translation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French (FR/BE/LU)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Tier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3.9M SMBs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4–5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Professional translation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Spanish (ES)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Tier 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2.8M SMBs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5–6</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Professional translation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Italian (IT)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Tier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4.4M SMBs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6–7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Professional translation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Swedish (SE/NO/DK)</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Tier 3</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900K SMBs — high tech density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8–10</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Machine translation +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Czech (CZ/SK)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900K SMBs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10–12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Machine translation + review</w:t>
            </w:r>
          </w:p>
        </w:tc>
      </w:tr>
    </w:tbl>
    <w:p>
      <w:pPr>
        <w:spacing w:after="60" w:before="60"/>
      </w:pPr>
    </w:p>
    <w:p>
      <w:pPr>
        <w:pStyle w:val="Heading2"/>
        <w:spacing w:after="180" w:before="360"/>
      </w:pPr>
      <w:r>
        <w:rPr>
          <w:rFonts w:ascii="Arial" w:cs="Arial" w:eastAsia="Arial" w:hAnsi="Arial"/>
          <w:b/>
          <w:bCs/>
          <w:color w:val="1B4F72"/>
          <w:sz w:val="30"/>
          <w:szCs w:val="30"/>
        </w:rPr>
        <w:t xml:space="preserve">8.3 What Gets Localized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Localized?</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UI strings (buttons, labels, navigation)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 all languages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via next-intl JSON files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Marketing pages (homepage, pricing, about)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 — Tier 1 on launch, Tier 2 within 3 months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CMS-driven (Sanity), translators update directly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Blog 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German + French + Polish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Major regulation updates only — too expensive to do all</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Generated compliance documents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 — all supported languages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Claude API generates in target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templates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Yes — user's preferred language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 Email + i18n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Error messages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 — all languages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Critical for non-English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Regulation updates feed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Summary in user language, link to official source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Claude API translates summaries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PDF documents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Yes — all supported languages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User sets preferred document language in settings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EUR as default, local currency display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Always charged in EUR, display in local currency</w:t>
            </w:r>
          </w:p>
        </w:tc>
      </w:tr>
    </w:tbl>
    <w:p>
      <w:pPr>
        <w:spacing w:after="60" w:before="60"/>
      </w:pPr>
    </w:p>
    <w:p>
      <w:pPr>
        <w:pStyle w:val="Heading2"/>
        <w:spacing w:after="180" w:before="360"/>
      </w:pPr>
      <w:r>
        <w:rPr>
          <w:rFonts w:ascii="Arial" w:cs="Arial" w:eastAsia="Arial" w:hAnsi="Arial"/>
          <w:b/>
          <w:bCs/>
          <w:color w:val="1B4F72"/>
          <w:sz w:val="30"/>
          <w:szCs w:val="30"/>
        </w:rPr>
        <w:t xml:space="preserve">8.4 Country-Specific Compliance Nuances</w:t>
      </w:r>
    </w:p>
    <w:p>
      <w:pPr>
        <w:spacing w:after="80" w:before="80"/>
      </w:pPr>
      <w:r>
        <w:rPr>
          <w:rFonts w:ascii="Arial" w:cs="Arial" w:eastAsia="Arial" w:hAnsi="Arial"/>
          <w:color w:val="1A1A1A"/>
          <w:sz w:val="20"/>
          <w:szCs w:val="20"/>
        </w:rPr>
        <w:t xml:space="preserve">EU AI Act is a regulation (not directive) — it applies uniformly. But enforcement varies by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Country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Enforcement Authority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National AI Strategy</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Local Nuances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Germany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Bundesnetzagentur + Bundesdatenschutzbehörde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National AI Strategy 2020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Strong privacy culture, high documentation expectations. Reference to BDSG alongside AI Act.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France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CNIL + Autorité de régulation de la communication audiovisuelle et numérique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National AI Strategy</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CNIL has been active on AI investigations. French companies expect French-language official guidance.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Netherlands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Autoriteit Persoonsgegevens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NLAIC (AI Coalition)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NL has highest AI adoption per capita in EU. StartupDelta ecosystem is a distribution channel.</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Poland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UODO (data protection)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Polish AI Strategy</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Growing tech hub. English widely used in tech but Polish expected for legal docs.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Ireland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Protection Commission (also enforces GDPR for many EU-registered tech cos)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Ireland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Many US tech companies EU-registered in IE — they need IE-facing compliance too.</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Sweden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IMY + other authorities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National AI Strategy</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digital literacy. GDPR-compliant AI expectations well-established.</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9. Advanced AI Features — Phase 2</w:t>
      </w:r>
    </w:p>
    <w:p>
      <w:pPr>
        <w:pBdr>
          <w:bottom w:val="single" w:color="1D8348"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5F5E3" w:val="clear"/>
            <w:tcMar>
              <w:top w:type="dxa" w:w="140"/>
              <w:left w:type="dxa" w:w="220"/>
              <w:bottom w:type="dxa" w:w="140"/>
              <w:right w:type="dxa" w:w="220"/>
            </w:tcMar>
          </w:tcPr>
          <w:p>
            <w:r>
              <w:rPr>
                <w:rFonts w:ascii="Arial" w:cs="Arial" w:eastAsia="Arial" w:hAnsi="Arial"/>
                <w:b/>
                <w:bCs/>
                <w:color w:val="1B4F72"/>
                <w:sz w:val="21"/>
                <w:szCs w:val="21"/>
              </w:rPr>
              <w:t xml:space="preserve">Philosophy:</w:t>
            </w:r>
          </w:p>
          <w:p>
            <w:pPr>
              <w:spacing w:before="80"/>
            </w:pPr>
            <w:r>
              <w:rPr>
                <w:rFonts w:ascii="Arial" w:cs="Arial" w:eastAsia="Arial" w:hAnsi="Arial"/>
                <w:color w:val="1A1A1A"/>
                <w:sz w:val="19"/>
                <w:szCs w:val="19"/>
              </w:rPr>
              <w:t xml:space="preserve">In Phase 2, AI is not a feature — it is the infrastructure. Every workflow that can be AI-enhanced should be. But AI must be explainable: every AI output shows how it reached its conclusion and allows human override. This is non-negotiable given what ActProve is building.</w:t>
            </w:r>
          </w:p>
        </w:tc>
      </w:tr>
    </w:tbl>
    <w:p>
      <w:pPr>
        <w:spacing w:after="60" w:before="60"/>
      </w:pPr>
    </w:p>
    <w:p>
      <w:pPr>
        <w:pStyle w:val="Heading2"/>
        <w:spacing w:after="180" w:before="360"/>
      </w:pPr>
      <w:r>
        <w:rPr>
          <w:rFonts w:ascii="Arial" w:cs="Arial" w:eastAsia="Arial" w:hAnsi="Arial"/>
          <w:b/>
          <w:bCs/>
          <w:color w:val="1B4F72"/>
          <w:sz w:val="30"/>
          <w:szCs w:val="30"/>
        </w:rPr>
        <w:t xml:space="preserve">9.1 AI Compliance Advisor (Chat Interface)</w:t>
      </w:r>
    </w:p>
    <w:p>
      <w:pPr>
        <w:pStyle w:val="Heading3"/>
        <w:spacing w:after="140" w:before="280"/>
      </w:pPr>
      <w:r>
        <w:rPr>
          <w:rFonts w:ascii="Arial" w:cs="Arial" w:eastAsia="Arial" w:hAnsi="Arial"/>
          <w:b/>
          <w:bCs/>
          <w:color w:val="1D8348"/>
          <w:sz w:val="24"/>
          <w:szCs w:val="24"/>
        </w:rPr>
        <w:t xml:space="preserve">9.1.1 What It Is</w:t>
      </w:r>
    </w:p>
    <w:p>
      <w:pPr>
        <w:spacing w:after="80" w:before="80"/>
      </w:pPr>
      <w:r>
        <w:rPr>
          <w:rFonts w:ascii="Arial" w:cs="Arial" w:eastAsia="Arial" w:hAnsi="Arial"/>
          <w:color w:val="1A1A1A"/>
          <w:sz w:val="20"/>
          <w:szCs w:val="20"/>
        </w:rPr>
        <w:t xml:space="preserve">A conversational AI interface trained on the organization's specific compliance data and the full text of EU AI Act, NIS2, DORA, and ISO 42001. Unlike generic ChatGPT, the Compliance Advisor answers questions about *this company's specific situation*.</w:t>
      </w:r>
    </w:p>
    <w:p>
      <w:pPr>
        <w:spacing w:after="60" w:before="60"/>
      </w:pPr>
    </w:p>
    <w:p>
      <w:pPr>
        <w:pStyle w:val="Heading3"/>
        <w:spacing w:after="140" w:before="280"/>
      </w:pPr>
      <w:r>
        <w:rPr>
          <w:rFonts w:ascii="Arial" w:cs="Arial" w:eastAsia="Arial" w:hAnsi="Arial"/>
          <w:b/>
          <w:bCs/>
          <w:color w:val="1D8348"/>
          <w:sz w:val="24"/>
          <w:szCs w:val="24"/>
        </w:rPr>
        <w:t xml:space="preserve">9.1.2 Example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User Question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Advisor Does</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"Are we compliant with Article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Looks up org's public-facing AI systems, checks if transparency notices are in place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 have 2 systems that require transparency notices. HubSpot AI Chatbot has a notice but Intercom AI does not. Click here to generate one."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"What do we need to do before August 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Checks all incomplete obligations, sorts by deadline and priority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Numbered action list with links to complete each item, estimated time per item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"Our client is asking if we're GDPR compliant for our AI 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Checks org's AI systems that process personal data, existing GDPR documentation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Draft response email to send to client + checklist of what to verify before sending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"We just started using a new HR AI tool — what do we need to do?"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Classifies HR AI as high-risk, explains obligations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Step-by-step wizard to add, classify, and document the new system correctly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"What's the difference between EU AI Act provider and deployer for 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Looks at org profile (do they develop AI or just use 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Personalized explanation of their role with specific obligations that apply</w:t>
            </w:r>
          </w:p>
        </w:tc>
      </w:tr>
    </w:tbl>
    <w:p>
      <w:pPr>
        <w:spacing w:after="60" w:before="60"/>
      </w:pPr>
    </w:p>
    <w:p>
      <w:pPr>
        <w:pStyle w:val="Heading3"/>
        <w:spacing w:after="140" w:before="280"/>
      </w:pPr>
      <w:r>
        <w:rPr>
          <w:rFonts w:ascii="Arial" w:cs="Arial" w:eastAsia="Arial" w:hAnsi="Arial"/>
          <w:b/>
          <w:bCs/>
          <w:color w:val="1D8348"/>
          <w:sz w:val="24"/>
          <w:szCs w:val="24"/>
        </w:rPr>
        <w:t xml:space="preserve">9.1.3 Technical Implementation</w:t>
      </w:r>
    </w:p>
    <w:p>
      <w:pPr>
        <w:pStyle w:val="ListParagraph"/>
        <w:numPr>
          <w:ilvl w:val="0"/>
          <w:numId w:val="2"/>
        </w:numPr>
        <w:spacing w:after="40" w:before="40"/>
      </w:pPr>
      <w:r>
        <w:rPr>
          <w:rFonts w:ascii="Arial" w:cs="Arial" w:eastAsia="Arial" w:hAnsi="Arial"/>
          <w:color w:val="1A1A1A"/>
          <w:sz w:val="20"/>
          <w:szCs w:val="20"/>
        </w:rPr>
        <w:t xml:space="preserve">Context: organization's AI systems, documents, obligations, compliance scores — all injected into system prompt</w:t>
      </w:r>
    </w:p>
    <w:p>
      <w:pPr>
        <w:pStyle w:val="ListParagraph"/>
        <w:numPr>
          <w:ilvl w:val="0"/>
          <w:numId w:val="2"/>
        </w:numPr>
        <w:spacing w:after="40" w:before="40"/>
      </w:pPr>
      <w:r>
        <w:rPr>
          <w:rFonts w:ascii="Arial" w:cs="Arial" w:eastAsia="Arial" w:hAnsi="Arial"/>
          <w:color w:val="1A1A1A"/>
          <w:sz w:val="20"/>
          <w:szCs w:val="20"/>
        </w:rPr>
        <w:t xml:space="preserve">Knowledge base: EU AI Act full text + guidelines (chunked and embedded in vector database)</w:t>
      </w:r>
    </w:p>
    <w:p>
      <w:pPr>
        <w:pStyle w:val="ListParagraph"/>
        <w:numPr>
          <w:ilvl w:val="0"/>
          <w:numId w:val="2"/>
        </w:numPr>
        <w:spacing w:after="40" w:before="40"/>
      </w:pPr>
      <w:r>
        <w:rPr>
          <w:rFonts w:ascii="Arial" w:cs="Arial" w:eastAsia="Arial" w:hAnsi="Arial"/>
          <w:color w:val="1A1A1A"/>
          <w:sz w:val="20"/>
          <w:szCs w:val="20"/>
        </w:rPr>
        <w:t xml:space="preserve">Vector store: Supabase pgvector extension for embedding similarity search</w:t>
      </w:r>
    </w:p>
    <w:p>
      <w:pPr>
        <w:pStyle w:val="ListParagraph"/>
        <w:numPr>
          <w:ilvl w:val="0"/>
          <w:numId w:val="2"/>
        </w:numPr>
        <w:spacing w:after="40" w:before="40"/>
      </w:pPr>
      <w:r>
        <w:rPr>
          <w:rFonts w:ascii="Arial" w:cs="Arial" w:eastAsia="Arial" w:hAnsi="Arial"/>
          <w:color w:val="1A1A1A"/>
          <w:sz w:val="20"/>
          <w:szCs w:val="20"/>
        </w:rPr>
        <w:t xml:space="preserve">RAG (Retrieval Augmented Generation): advisor retrieves relevant regulation sections before answering</w:t>
      </w:r>
    </w:p>
    <w:p>
      <w:pPr>
        <w:pStyle w:val="ListParagraph"/>
        <w:numPr>
          <w:ilvl w:val="0"/>
          <w:numId w:val="2"/>
        </w:numPr>
        <w:spacing w:after="40" w:before="40"/>
      </w:pPr>
      <w:r>
        <w:rPr>
          <w:rFonts w:ascii="Arial" w:cs="Arial" w:eastAsia="Arial" w:hAnsi="Arial"/>
          <w:color w:val="1A1A1A"/>
          <w:sz w:val="20"/>
          <w:szCs w:val="20"/>
        </w:rPr>
        <w:t xml:space="preserve">Source citations: every answer cites specific articles it based the answer on</w:t>
      </w:r>
    </w:p>
    <w:p>
      <w:pPr>
        <w:pStyle w:val="ListParagraph"/>
        <w:numPr>
          <w:ilvl w:val="0"/>
          <w:numId w:val="2"/>
        </w:numPr>
        <w:spacing w:after="40" w:before="40"/>
      </w:pPr>
      <w:r>
        <w:rPr>
          <w:rFonts w:ascii="Arial" w:cs="Arial" w:eastAsia="Arial" w:hAnsi="Arial"/>
          <w:color w:val="1A1A1A"/>
          <w:sz w:val="20"/>
          <w:szCs w:val="20"/>
        </w:rPr>
        <w:t xml:space="preserve">Escalation: if question requires legal opinion, advisor says "For legal advice, we recommend consulting a qualified AI law practitioner. Here are some in your region."</w:t>
      </w:r>
    </w:p>
    <w:p>
      <w:pPr>
        <w:pStyle w:val="ListParagraph"/>
        <w:numPr>
          <w:ilvl w:val="0"/>
          <w:numId w:val="2"/>
        </w:numPr>
        <w:spacing w:after="40" w:before="40"/>
      </w:pPr>
      <w:r>
        <w:rPr>
          <w:rFonts w:ascii="Arial" w:cs="Arial" w:eastAsia="Arial" w:hAnsi="Arial"/>
          <w:color w:val="1A1A1A"/>
          <w:sz w:val="20"/>
          <w:szCs w:val="20"/>
        </w:rPr>
        <w:t xml:space="preserve">Chat history: preserved per user, searchable, can be exported as evidence of due diligence</w:t>
      </w:r>
    </w:p>
    <w:p>
      <w:pPr>
        <w:spacing w:after="60" w:before="60"/>
      </w:pPr>
    </w:p>
    <w:p>
      <w:pPr>
        <w:pStyle w:val="Heading2"/>
        <w:spacing w:after="180" w:before="360"/>
      </w:pPr>
      <w:r>
        <w:rPr>
          <w:rFonts w:ascii="Arial" w:cs="Arial" w:eastAsia="Arial" w:hAnsi="Arial"/>
          <w:b/>
          <w:bCs/>
          <w:color w:val="1B4F72"/>
          <w:sz w:val="30"/>
          <w:szCs w:val="30"/>
        </w:rPr>
        <w:t xml:space="preserve">9.2 Automated Compliance Gap Analysis</w:t>
      </w:r>
    </w:p>
    <w:p>
      <w:pPr>
        <w:pStyle w:val="Heading3"/>
        <w:spacing w:after="140" w:before="280"/>
      </w:pPr>
      <w:r>
        <w:rPr>
          <w:rFonts w:ascii="Arial" w:cs="Arial" w:eastAsia="Arial" w:hAnsi="Arial"/>
          <w:b/>
          <w:bCs/>
          <w:color w:val="1D8348"/>
          <w:sz w:val="24"/>
          <w:szCs w:val="24"/>
        </w:rPr>
        <w:t xml:space="preserve">9.2.1 What It Is</w:t>
      </w:r>
    </w:p>
    <w:p>
      <w:pPr>
        <w:spacing w:after="80" w:before="80"/>
      </w:pPr>
      <w:r>
        <w:rPr>
          <w:rFonts w:ascii="Arial" w:cs="Arial" w:eastAsia="Arial" w:hAnsi="Arial"/>
          <w:color w:val="1A1A1A"/>
          <w:sz w:val="20"/>
          <w:szCs w:val="20"/>
        </w:rPr>
        <w:t xml:space="preserve">On demand (or scheduled monthly), ActProve runs a full AI-powered gap analysis: comparing what the organization has done against what is required for each activated regulation. Output is a prioritized action plan.</w:t>
      </w:r>
    </w:p>
    <w:p>
      <w:pPr>
        <w:spacing w:after="60" w:before="60"/>
      </w:pPr>
    </w:p>
    <w:p>
      <w:pPr>
        <w:pStyle w:val="Heading3"/>
        <w:spacing w:after="140" w:before="280"/>
      </w:pPr>
      <w:r>
        <w:rPr>
          <w:rFonts w:ascii="Arial" w:cs="Arial" w:eastAsia="Arial" w:hAnsi="Arial"/>
          <w:b/>
          <w:bCs/>
          <w:color w:val="1D8348"/>
          <w:sz w:val="24"/>
          <w:szCs w:val="24"/>
        </w:rPr>
        <w:t xml:space="preserve">9.2.2 Gap Analysis Report Structure</w:t>
      </w:r>
    </w:p>
    <w:p>
      <w:pPr>
        <w:pStyle w:val="ListParagraph"/>
        <w:numPr>
          <w:ilvl w:val="0"/>
          <w:numId w:val="2"/>
        </w:numPr>
        <w:spacing w:after="40" w:before="40"/>
      </w:pPr>
      <w:r>
        <w:rPr>
          <w:rFonts w:ascii="Arial" w:cs="Arial" w:eastAsia="Arial" w:hAnsi="Arial"/>
          <w:color w:val="1A1A1A"/>
          <w:sz w:val="20"/>
          <w:szCs w:val="20"/>
        </w:rPr>
        <w:t xml:space="preserve">Executive Summary: overall compliance posture in 3 sentences (suitable for board report)</w:t>
      </w:r>
    </w:p>
    <w:p>
      <w:pPr>
        <w:pStyle w:val="ListParagraph"/>
        <w:numPr>
          <w:ilvl w:val="0"/>
          <w:numId w:val="2"/>
        </w:numPr>
        <w:spacing w:after="40" w:before="40"/>
      </w:pPr>
      <w:r>
        <w:rPr>
          <w:rFonts w:ascii="Arial" w:cs="Arial" w:eastAsia="Arial" w:hAnsi="Arial"/>
          <w:color w:val="1A1A1A"/>
          <w:sz w:val="20"/>
          <w:szCs w:val="20"/>
        </w:rPr>
        <w:t xml:space="preserve">Critical gaps: obligations not started that have imminent deadlines — must fix now</w:t>
      </w:r>
    </w:p>
    <w:p>
      <w:pPr>
        <w:pStyle w:val="ListParagraph"/>
        <w:numPr>
          <w:ilvl w:val="0"/>
          <w:numId w:val="2"/>
        </w:numPr>
        <w:spacing w:after="40" w:before="40"/>
      </w:pPr>
      <w:r>
        <w:rPr>
          <w:rFonts w:ascii="Arial" w:cs="Arial" w:eastAsia="Arial" w:hAnsi="Arial"/>
          <w:color w:val="1A1A1A"/>
          <w:sz w:val="20"/>
          <w:szCs w:val="20"/>
        </w:rPr>
        <w:t xml:space="preserve">High priority gaps: obligations not started without immediate deadline but significant risk</w:t>
      </w:r>
    </w:p>
    <w:p>
      <w:pPr>
        <w:pStyle w:val="ListParagraph"/>
        <w:numPr>
          <w:ilvl w:val="0"/>
          <w:numId w:val="2"/>
        </w:numPr>
        <w:spacing w:after="40" w:before="40"/>
      </w:pPr>
      <w:r>
        <w:rPr>
          <w:rFonts w:ascii="Arial" w:cs="Arial" w:eastAsia="Arial" w:hAnsi="Arial"/>
          <w:color w:val="1A1A1A"/>
          <w:sz w:val="20"/>
          <w:szCs w:val="20"/>
        </w:rPr>
        <w:t xml:space="preserve">Medium priority gaps: partially complete obligations needing finishing</w:t>
      </w:r>
    </w:p>
    <w:p>
      <w:pPr>
        <w:pStyle w:val="ListParagraph"/>
        <w:numPr>
          <w:ilvl w:val="0"/>
          <w:numId w:val="2"/>
        </w:numPr>
        <w:spacing w:after="40" w:before="40"/>
      </w:pPr>
      <w:r>
        <w:rPr>
          <w:rFonts w:ascii="Arial" w:cs="Arial" w:eastAsia="Arial" w:hAnsi="Arial"/>
          <w:color w:val="1A1A1A"/>
          <w:sz w:val="20"/>
          <w:szCs w:val="20"/>
        </w:rPr>
        <w:t xml:space="preserve">Low priority / best practice: recommendations beyond mandatory requirements</w:t>
      </w:r>
    </w:p>
    <w:p>
      <w:pPr>
        <w:pStyle w:val="ListParagraph"/>
        <w:numPr>
          <w:ilvl w:val="0"/>
          <w:numId w:val="2"/>
        </w:numPr>
        <w:spacing w:after="40" w:before="40"/>
      </w:pPr>
      <w:r>
        <w:rPr>
          <w:rFonts w:ascii="Arial" w:cs="Arial" w:eastAsia="Arial" w:hAnsi="Arial"/>
          <w:color w:val="1A1A1A"/>
          <w:sz w:val="20"/>
          <w:szCs w:val="20"/>
        </w:rPr>
        <w:t xml:space="preserve">Already complete: list of what is working well — positive reinforcement</w:t>
      </w:r>
    </w:p>
    <w:p>
      <w:pPr>
        <w:pStyle w:val="ListParagraph"/>
        <w:numPr>
          <w:ilvl w:val="0"/>
          <w:numId w:val="2"/>
        </w:numPr>
        <w:spacing w:after="40" w:before="40"/>
      </w:pPr>
      <w:r>
        <w:rPr>
          <w:rFonts w:ascii="Arial" w:cs="Arial" w:eastAsia="Arial" w:hAnsi="Arial"/>
          <w:color w:val="1A1A1A"/>
          <w:sz w:val="20"/>
          <w:szCs w:val="20"/>
        </w:rPr>
        <w:t xml:space="preserve">Action plan: ordered task list with estimated time per task</w:t>
      </w:r>
    </w:p>
    <w:p>
      <w:pPr>
        <w:pStyle w:val="ListParagraph"/>
        <w:numPr>
          <w:ilvl w:val="0"/>
          <w:numId w:val="2"/>
        </w:numPr>
        <w:spacing w:after="40" w:before="40"/>
      </w:pPr>
      <w:r>
        <w:rPr>
          <w:rFonts w:ascii="Arial" w:cs="Arial" w:eastAsia="Arial" w:hAnsi="Arial"/>
          <w:color w:val="1A1A1A"/>
          <w:sz w:val="20"/>
          <w:szCs w:val="20"/>
        </w:rPr>
        <w:t xml:space="preserve">Recommended next 30 days: specific list of 5–7 actions to take this month</w:t>
      </w:r>
    </w:p>
    <w:p>
      <w:pPr>
        <w:spacing w:after="60" w:before="60"/>
      </w:pPr>
    </w:p>
    <w:p>
      <w:pPr>
        <w:pStyle w:val="Heading3"/>
        <w:spacing w:after="140" w:before="280"/>
      </w:pPr>
      <w:r>
        <w:rPr>
          <w:rFonts w:ascii="Arial" w:cs="Arial" w:eastAsia="Arial" w:hAnsi="Arial"/>
          <w:b/>
          <w:bCs/>
          <w:color w:val="1D8348"/>
          <w:sz w:val="24"/>
          <w:szCs w:val="24"/>
        </w:rPr>
        <w:t xml:space="preserve">9.2.3 Automated Scheduling</w:t>
      </w:r>
    </w:p>
    <w:p>
      <w:pPr>
        <w:pStyle w:val="ListParagraph"/>
        <w:numPr>
          <w:ilvl w:val="0"/>
          <w:numId w:val="2"/>
        </w:numPr>
        <w:spacing w:after="40" w:before="40"/>
      </w:pPr>
      <w:r>
        <w:rPr>
          <w:rFonts w:ascii="Arial" w:cs="Arial" w:eastAsia="Arial" w:hAnsi="Arial"/>
          <w:color w:val="1A1A1A"/>
          <w:sz w:val="20"/>
          <w:szCs w:val="20"/>
        </w:rPr>
        <w:t xml:space="preserve">Monthly: auto-generated gap analysis sent by email to org owner (with summary + link to full report)</w:t>
      </w:r>
    </w:p>
    <w:p>
      <w:pPr>
        <w:pStyle w:val="ListParagraph"/>
        <w:numPr>
          <w:ilvl w:val="0"/>
          <w:numId w:val="2"/>
        </w:numPr>
        <w:spacing w:after="40" w:before="40"/>
      </w:pPr>
      <w:r>
        <w:rPr>
          <w:rFonts w:ascii="Arial" w:cs="Arial" w:eastAsia="Arial" w:hAnsi="Arial"/>
          <w:color w:val="1A1A1A"/>
          <w:sz w:val="20"/>
          <w:szCs w:val="20"/>
        </w:rPr>
        <w:t xml:space="preserve">On-demand: user can trigger from dashboard anytime</w:t>
      </w:r>
    </w:p>
    <w:p>
      <w:pPr>
        <w:pStyle w:val="ListParagraph"/>
        <w:numPr>
          <w:ilvl w:val="0"/>
          <w:numId w:val="2"/>
        </w:numPr>
        <w:spacing w:after="40" w:before="40"/>
      </w:pPr>
      <w:r>
        <w:rPr>
          <w:rFonts w:ascii="Arial" w:cs="Arial" w:eastAsia="Arial" w:hAnsi="Arial"/>
          <w:color w:val="1A1A1A"/>
          <w:sz w:val="20"/>
          <w:szCs w:val="20"/>
        </w:rPr>
        <w:t xml:space="preserve">Event-triggered: run automatically when: new AI system added, regulation update published, significant compliance score drop</w:t>
      </w:r>
    </w:p>
    <w:p>
      <w:pPr>
        <w:spacing w:after="60" w:before="60"/>
      </w:pPr>
    </w:p>
    <w:p>
      <w:pPr>
        <w:pStyle w:val="Heading2"/>
        <w:spacing w:after="180" w:before="360"/>
      </w:pPr>
      <w:r>
        <w:rPr>
          <w:rFonts w:ascii="Arial" w:cs="Arial" w:eastAsia="Arial" w:hAnsi="Arial"/>
          <w:b/>
          <w:bCs/>
          <w:color w:val="1B4F72"/>
          <w:sz w:val="30"/>
          <w:szCs w:val="30"/>
        </w:rPr>
        <w:t xml:space="preserve">9.3 Smart Document Improvement Suggestions</w:t>
      </w:r>
    </w:p>
    <w:p>
      <w:pPr>
        <w:spacing w:after="80" w:before="80"/>
      </w:pPr>
      <w:r>
        <w:rPr>
          <w:rFonts w:ascii="Arial" w:cs="Arial" w:eastAsia="Arial" w:hAnsi="Arial"/>
          <w:color w:val="1A1A1A"/>
          <w:sz w:val="20"/>
          <w:szCs w:val="20"/>
        </w:rPr>
        <w:t xml:space="preserve">When a generated document is reviewed, Claude analyzes it and suggests improvements:</w:t>
      </w:r>
    </w:p>
    <w:p>
      <w:pPr>
        <w:pStyle w:val="ListParagraph"/>
        <w:numPr>
          <w:ilvl w:val="0"/>
          <w:numId w:val="2"/>
        </w:numPr>
        <w:spacing w:after="40" w:before="40"/>
      </w:pPr>
      <w:r>
        <w:rPr>
          <w:rFonts w:ascii="Arial" w:cs="Arial" w:eastAsia="Arial" w:hAnsi="Arial"/>
          <w:color w:val="1A1A1A"/>
          <w:sz w:val="20"/>
          <w:szCs w:val="20"/>
        </w:rPr>
        <w:t xml:space="preserve">"This transparency notice is missing the contact details for your DPO — Article 50 requires this"</w:t>
      </w:r>
    </w:p>
    <w:p>
      <w:pPr>
        <w:pStyle w:val="ListParagraph"/>
        <w:numPr>
          <w:ilvl w:val="0"/>
          <w:numId w:val="2"/>
        </w:numPr>
        <w:spacing w:after="40" w:before="40"/>
      </w:pPr>
      <w:r>
        <w:rPr>
          <w:rFonts w:ascii="Arial" w:cs="Arial" w:eastAsia="Arial" w:hAnsi="Arial"/>
          <w:color w:val="1A1A1A"/>
          <w:sz w:val="20"/>
          <w:szCs w:val="20"/>
        </w:rPr>
        <w:t xml:space="preserve">"Your AI usage policy does not cover employees using personal AI accounts for work — common gap"</w:t>
      </w:r>
    </w:p>
    <w:p>
      <w:pPr>
        <w:pStyle w:val="ListParagraph"/>
        <w:numPr>
          <w:ilvl w:val="0"/>
          <w:numId w:val="2"/>
        </w:numPr>
        <w:spacing w:after="40" w:before="40"/>
      </w:pPr>
      <w:r>
        <w:rPr>
          <w:rFonts w:ascii="Arial" w:cs="Arial" w:eastAsia="Arial" w:hAnsi="Arial"/>
          <w:color w:val="1A1A1A"/>
          <w:sz w:val="20"/>
          <w:szCs w:val="20"/>
        </w:rPr>
        <w:t xml:space="preserve">"This risk assessment uses the previous version of Annex III — we recommend regenerating"</w:t>
      </w:r>
    </w:p>
    <w:p>
      <w:pPr>
        <w:spacing w:after="60" w:before="60"/>
      </w:pPr>
    </w:p>
    <w:p>
      <w:pPr>
        <w:spacing w:after="80" w:before="80"/>
      </w:pPr>
      <w:r>
        <w:rPr>
          <w:rFonts w:ascii="Arial" w:cs="Arial" w:eastAsia="Arial" w:hAnsi="Arial"/>
          <w:color w:val="1A1A1A"/>
          <w:sz w:val="20"/>
          <w:szCs w:val="20"/>
        </w:rPr>
        <w:t xml:space="preserve">Suggestions appear as inline comments in the document editor (similar to Google Docs suggestions), with one-click accept or dismiss.</w:t>
      </w:r>
    </w:p>
    <w:p>
      <w:pPr>
        <w:spacing w:after="60" w:before="60"/>
      </w:pPr>
    </w:p>
    <w:p>
      <w:pPr>
        <w:pStyle w:val="Heading2"/>
        <w:spacing w:after="180" w:before="360"/>
      </w:pPr>
      <w:r>
        <w:rPr>
          <w:rFonts w:ascii="Arial" w:cs="Arial" w:eastAsia="Arial" w:hAnsi="Arial"/>
          <w:b/>
          <w:bCs/>
          <w:color w:val="1B4F72"/>
          <w:sz w:val="30"/>
          <w:szCs w:val="30"/>
        </w:rPr>
        <w:t xml:space="preserve">9.4 Regulatory Change Impact Analysis</w:t>
      </w:r>
    </w:p>
    <w:p>
      <w:pPr>
        <w:pStyle w:val="Heading3"/>
        <w:spacing w:after="140" w:before="280"/>
      </w:pPr>
      <w:r>
        <w:rPr>
          <w:rFonts w:ascii="Arial" w:cs="Arial" w:eastAsia="Arial" w:hAnsi="Arial"/>
          <w:b/>
          <w:bCs/>
          <w:color w:val="1D8348"/>
          <w:sz w:val="24"/>
          <w:szCs w:val="24"/>
        </w:rPr>
        <w:t xml:space="preserve">9.4.1 When a New Regulation Update Is Published</w:t>
      </w:r>
    </w:p>
    <w:p>
      <w:pPr>
        <w:pStyle w:val="ListParagraph"/>
        <w:numPr>
          <w:ilvl w:val="0"/>
          <w:numId w:val="3"/>
        </w:numPr>
        <w:spacing w:after="40" w:before="40"/>
      </w:pPr>
      <w:r>
        <w:rPr>
          <w:rFonts w:ascii="Arial" w:cs="Arial" w:eastAsia="Arial" w:hAnsi="Arial"/>
          <w:color w:val="1A1A1A"/>
          <w:sz w:val="20"/>
          <w:szCs w:val="20"/>
        </w:rPr>
        <w:t xml:space="preserve">ActProve ingests the update (manually curated for accuracy — no hallucinations from auto-scraping)</w:t>
      </w:r>
    </w:p>
    <w:p>
      <w:pPr>
        <w:pStyle w:val="ListParagraph"/>
        <w:numPr>
          <w:ilvl w:val="0"/>
          <w:numId w:val="3"/>
        </w:numPr>
        <w:spacing w:after="40" w:before="40"/>
      </w:pPr>
      <w:r>
        <w:rPr>
          <w:rFonts w:ascii="Arial" w:cs="Arial" w:eastAsia="Arial" w:hAnsi="Arial"/>
          <w:color w:val="1A1A1A"/>
          <w:sz w:val="20"/>
          <w:szCs w:val="20"/>
        </w:rPr>
        <w:t xml:space="preserve">Claude analyzes: which AI systems in each organization are affected</w:t>
      </w:r>
    </w:p>
    <w:p>
      <w:pPr>
        <w:pStyle w:val="ListParagraph"/>
        <w:numPr>
          <w:ilvl w:val="0"/>
          <w:numId w:val="3"/>
        </w:numPr>
        <w:spacing w:after="40" w:before="40"/>
      </w:pPr>
      <w:r>
        <w:rPr>
          <w:rFonts w:ascii="Arial" w:cs="Arial" w:eastAsia="Arial" w:hAnsi="Arial"/>
          <w:color w:val="1A1A1A"/>
          <w:sz w:val="20"/>
          <w:szCs w:val="20"/>
        </w:rPr>
        <w:t xml:space="preserve">For each affected organization: generates a personalized impact analysis</w:t>
      </w:r>
    </w:p>
    <w:p>
      <w:pPr>
        <w:pStyle w:val="ListParagraph"/>
        <w:numPr>
          <w:ilvl w:val="0"/>
          <w:numId w:val="3"/>
        </w:numPr>
        <w:spacing w:after="40" w:before="40"/>
      </w:pPr>
      <w:r>
        <w:rPr>
          <w:rFonts w:ascii="Arial" w:cs="Arial" w:eastAsia="Arial" w:hAnsi="Arial"/>
          <w:color w:val="1A1A1A"/>
          <w:sz w:val="20"/>
          <w:szCs w:val="20"/>
        </w:rPr>
        <w:t xml:space="preserve">"This update affects your Workday HR AI system. Here's what changed and what you need to update."</w:t>
      </w:r>
    </w:p>
    <w:p>
      <w:pPr>
        <w:pStyle w:val="ListParagraph"/>
        <w:numPr>
          <w:ilvl w:val="0"/>
          <w:numId w:val="3"/>
        </w:numPr>
        <w:spacing w:after="40" w:before="40"/>
      </w:pPr>
      <w:r>
        <w:rPr>
          <w:rFonts w:ascii="Arial" w:cs="Arial" w:eastAsia="Arial" w:hAnsi="Arial"/>
          <w:color w:val="1A1A1A"/>
          <w:sz w:val="20"/>
          <w:szCs w:val="20"/>
        </w:rPr>
        <w:t xml:space="preserve">Creates automatic tasks in the obligations tracker for affected systems</w:t>
      </w:r>
    </w:p>
    <w:p>
      <w:pPr>
        <w:pStyle w:val="ListParagraph"/>
        <w:numPr>
          <w:ilvl w:val="0"/>
          <w:numId w:val="3"/>
        </w:numPr>
        <w:spacing w:after="40" w:before="40"/>
      </w:pPr>
      <w:r>
        <w:rPr>
          <w:rFonts w:ascii="Arial" w:cs="Arial" w:eastAsia="Arial" w:hAnsi="Arial"/>
          <w:color w:val="1A1A1A"/>
          <w:sz w:val="20"/>
          <w:szCs w:val="20"/>
        </w:rPr>
        <w:t xml:space="preserve">Sends notification — severity-appropriate (critical = immediate email, medium = weekly digest)</w:t>
      </w:r>
    </w:p>
    <w:p>
      <w:pPr>
        <w:spacing w:after="60" w:before="60"/>
      </w:pPr>
    </w:p>
    <w:p>
      <w:pPr>
        <w:pStyle w:val="Heading2"/>
        <w:spacing w:after="180" w:before="360"/>
      </w:pPr>
      <w:r>
        <w:rPr>
          <w:rFonts w:ascii="Arial" w:cs="Arial" w:eastAsia="Arial" w:hAnsi="Arial"/>
          <w:b/>
          <w:bCs/>
          <w:color w:val="1B4F72"/>
          <w:sz w:val="30"/>
          <w:szCs w:val="30"/>
        </w:rPr>
        <w:t xml:space="preserve">9.5 AI System Benchmark Intelligence</w:t>
      </w:r>
    </w:p>
    <w:p>
      <w:pPr>
        <w:pStyle w:val="Heading3"/>
        <w:spacing w:after="140" w:before="280"/>
      </w:pPr>
      <w:r>
        <w:rPr>
          <w:rFonts w:ascii="Arial" w:cs="Arial" w:eastAsia="Arial" w:hAnsi="Arial"/>
          <w:b/>
          <w:bCs/>
          <w:color w:val="1D8348"/>
          <w:sz w:val="24"/>
          <w:szCs w:val="24"/>
        </w:rPr>
        <w:t xml:space="preserve">9.5.1 What Is Benchmarking</w:t>
      </w:r>
    </w:p>
    <w:p>
      <w:pPr>
        <w:spacing w:after="80" w:before="80"/>
      </w:pPr>
      <w:r>
        <w:rPr>
          <w:rFonts w:ascii="Arial" w:cs="Arial" w:eastAsia="Arial" w:hAnsi="Arial"/>
          <w:color w:val="1A1A1A"/>
          <w:sz w:val="20"/>
          <w:szCs w:val="20"/>
        </w:rPr>
        <w:t xml:space="preserve">Anonymized, aggregated data across all ActProve customers creates an industry benchmark dataset. With customer consent, ActProve analyzes: average compliance score by industry, most common AI systems by sector, most frequently missed obligations.</w:t>
      </w:r>
    </w:p>
    <w:p>
      <w:pPr>
        <w:spacing w:after="60" w:before="60"/>
      </w:pPr>
    </w:p>
    <w:p>
      <w:pPr>
        <w:spacing w:after="80" w:before="80"/>
      </w:pPr>
      <w:r>
        <w:rPr>
          <w:rFonts w:ascii="Arial" w:cs="Arial" w:eastAsia="Arial" w:hAnsi="Arial"/>
          <w:color w:val="1A1A1A"/>
          <w:sz w:val="20"/>
          <w:szCs w:val="20"/>
        </w:rPr>
        <w:t xml:space="preserve">This creates a 'Compliance Intelligence' report shown to each customer: "Companies in your sector (SaaS, 50–200 employees) have an average compliance score of 67%. You are at 71%. Here are the top 3 gaps others in your category are working on."</w:t>
      </w:r>
    </w:p>
    <w:p>
      <w:pPr>
        <w:spacing w:after="60" w:before="60"/>
      </w:pPr>
    </w:p>
    <w:p>
      <w:pPr>
        <w:spacing w:after="80" w:before="80"/>
      </w:pPr>
      <w:r>
        <w:rPr>
          <w:rFonts w:ascii="Arial" w:cs="Arial" w:eastAsia="Arial" w:hAnsi="Arial"/>
          <w:color w:val="1A1A1A"/>
          <w:sz w:val="20"/>
          <w:szCs w:val="20"/>
        </w:rPr>
        <w:t xml:space="preserve">Data is always anonymized — no individual company data is exposed. Opt-out available in settings.</w:t>
      </w:r>
    </w:p>
    <w:p>
      <w:pPr>
        <w:spacing w:after="60" w:before="60"/>
      </w:pPr>
    </w:p>
    <w:p>
      <w:r>
        <w:br/>
      </w:r>
    </w:p>
    <w:p>
      <w:pPr>
        <w:pStyle w:val="Heading1"/>
        <w:spacing w:after="240" w:before="480"/>
      </w:pPr>
      <w:r>
        <w:rPr>
          <w:rFonts w:ascii="Arial" w:cs="Arial" w:eastAsia="Arial" w:hAnsi="Arial"/>
          <w:b/>
          <w:bCs/>
          <w:color w:val="1B4F72"/>
          <w:sz w:val="40"/>
          <w:szCs w:val="40"/>
        </w:rPr>
        <w:t xml:space="preserve">10. Enterprise Features — Phase 2</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10.1 Enterprise Plan Overview</w:t>
      </w:r>
    </w:p>
    <w:p>
      <w:pPr>
        <w:spacing w:after="80" w:before="80"/>
      </w:pPr>
      <w:r>
        <w:rPr>
          <w:rFonts w:ascii="Arial" w:cs="Arial" w:eastAsia="Arial" w:hAnsi="Arial"/>
          <w:color w:val="1A1A1A"/>
          <w:sz w:val="20"/>
          <w:szCs w:val="20"/>
        </w:rPr>
        <w:t xml:space="preserve">The Enterprise plan (from $3,000/month) serves companies with 200+ employees, complex AI portfolios, and enterprise procurement requirements. It requires consultative selling (not self-serve) and includes dedicated support.</w:t>
      </w:r>
    </w:p>
    <w:p>
      <w:pPr>
        <w:spacing w:after="60" w:before="60"/>
      </w:pPr>
    </w:p>
    <w:p>
      <w:pPr>
        <w:pStyle w:val="Heading2"/>
        <w:spacing w:after="180" w:before="360"/>
      </w:pPr>
      <w:r>
        <w:rPr>
          <w:rFonts w:ascii="Arial" w:cs="Arial" w:eastAsia="Arial" w:hAnsi="Arial"/>
          <w:b/>
          <w:bCs/>
          <w:color w:val="1B4F72"/>
          <w:sz w:val="30"/>
          <w:szCs w:val="30"/>
        </w:rPr>
        <w:t xml:space="preserve">10.2 Multi-Subsidiary / Group Organization Management</w:t>
      </w:r>
    </w:p>
    <w:p>
      <w:pPr>
        <w:pStyle w:val="Heading3"/>
        <w:spacing w:after="140" w:before="280"/>
      </w:pPr>
      <w:r>
        <w:rPr>
          <w:rFonts w:ascii="Arial" w:cs="Arial" w:eastAsia="Arial" w:hAnsi="Arial"/>
          <w:b/>
          <w:bCs/>
          <w:color w:val="1D8348"/>
          <w:sz w:val="24"/>
          <w:szCs w:val="24"/>
        </w:rPr>
        <w:t xml:space="preserve">10.2.1 Problem</w:t>
      </w:r>
    </w:p>
    <w:p>
      <w:pPr>
        <w:spacing w:after="80" w:before="80"/>
      </w:pPr>
      <w:r>
        <w:rPr>
          <w:rFonts w:ascii="Arial" w:cs="Arial" w:eastAsia="Arial" w:hAnsi="Arial"/>
          <w:color w:val="1A1A1A"/>
          <w:sz w:val="20"/>
          <w:szCs w:val="20"/>
        </w:rPr>
        <w:t xml:space="preserve">A corporate group (e.g., a PE-backed company with 5 subsidiaries, or a holding company with divisions across Germany, France, and Poland) needs to:</w:t>
      </w:r>
    </w:p>
    <w:p>
      <w:pPr>
        <w:pStyle w:val="ListParagraph"/>
        <w:numPr>
          <w:ilvl w:val="0"/>
          <w:numId w:val="2"/>
        </w:numPr>
        <w:spacing w:after="40" w:before="40"/>
      </w:pPr>
      <w:r>
        <w:rPr>
          <w:rFonts w:ascii="Arial" w:cs="Arial" w:eastAsia="Arial" w:hAnsi="Arial"/>
          <w:color w:val="1A1A1A"/>
          <w:sz w:val="20"/>
          <w:szCs w:val="20"/>
        </w:rPr>
        <w:t xml:space="preserve">Manage AI compliance for each entity separately (different legal entities, different obligations)</w:t>
      </w:r>
    </w:p>
    <w:p>
      <w:pPr>
        <w:pStyle w:val="ListParagraph"/>
        <w:numPr>
          <w:ilvl w:val="0"/>
          <w:numId w:val="2"/>
        </w:numPr>
        <w:spacing w:after="40" w:before="40"/>
      </w:pPr>
      <w:r>
        <w:rPr>
          <w:rFonts w:ascii="Arial" w:cs="Arial" w:eastAsia="Arial" w:hAnsi="Arial"/>
          <w:color w:val="1A1A1A"/>
          <w:sz w:val="20"/>
          <w:szCs w:val="20"/>
        </w:rPr>
        <w:t xml:space="preserve">Roll up a consolidated view for the group compliance officer</w:t>
      </w:r>
    </w:p>
    <w:p>
      <w:pPr>
        <w:pStyle w:val="ListParagraph"/>
        <w:numPr>
          <w:ilvl w:val="0"/>
          <w:numId w:val="2"/>
        </w:numPr>
        <w:spacing w:after="40" w:before="40"/>
      </w:pPr>
      <w:r>
        <w:rPr>
          <w:rFonts w:ascii="Arial" w:cs="Arial" w:eastAsia="Arial" w:hAnsi="Arial"/>
          <w:color w:val="1A1A1A"/>
          <w:sz w:val="20"/>
          <w:szCs w:val="20"/>
        </w:rPr>
        <w:t xml:space="preserve">Share common AI systems (group-wide tools like Microsoft 365) across subsidiaries without duplicating data</w:t>
      </w:r>
    </w:p>
    <w:p>
      <w:pPr>
        <w:pStyle w:val="ListParagraph"/>
        <w:numPr>
          <w:ilvl w:val="0"/>
          <w:numId w:val="2"/>
        </w:numPr>
        <w:spacing w:after="40" w:before="40"/>
      </w:pPr>
      <w:r>
        <w:rPr>
          <w:rFonts w:ascii="Arial" w:cs="Arial" w:eastAsia="Arial" w:hAnsi="Arial"/>
          <w:color w:val="1A1A1A"/>
          <w:sz w:val="20"/>
          <w:szCs w:val="20"/>
        </w:rPr>
        <w:t xml:space="preserve">Generate consolidated reporting for group leadership and investors</w:t>
      </w:r>
    </w:p>
    <w:p>
      <w:pPr>
        <w:spacing w:after="60" w:before="60"/>
      </w:pPr>
    </w:p>
    <w:p>
      <w:pPr>
        <w:pStyle w:val="Heading3"/>
        <w:spacing w:after="140" w:before="280"/>
      </w:pPr>
      <w:r>
        <w:rPr>
          <w:rFonts w:ascii="Arial" w:cs="Arial" w:eastAsia="Arial" w:hAnsi="Arial"/>
          <w:b/>
          <w:bCs/>
          <w:color w:val="1D8348"/>
          <w:sz w:val="24"/>
          <w:szCs w:val="24"/>
        </w:rPr>
        <w:t xml:space="preserve">10.2.2 Group Architecture</w:t>
      </w:r>
    </w:p>
    <w:p>
      <w:pPr>
        <w:pStyle w:val="ListParagraph"/>
        <w:numPr>
          <w:ilvl w:val="0"/>
          <w:numId w:val="2"/>
        </w:numPr>
        <w:spacing w:after="40" w:before="40"/>
      </w:pPr>
      <w:r>
        <w:rPr>
          <w:rFonts w:ascii="Arial" w:cs="Arial" w:eastAsia="Arial" w:hAnsi="Arial"/>
          <w:color w:val="1A1A1A"/>
          <w:sz w:val="20"/>
          <w:szCs w:val="20"/>
        </w:rPr>
        <w:t xml:space="preserve">'Group' account type: parent organization that can add subsidiary organizations</w:t>
      </w:r>
    </w:p>
    <w:p>
      <w:pPr>
        <w:pStyle w:val="ListParagraph"/>
        <w:numPr>
          <w:ilvl w:val="0"/>
          <w:numId w:val="2"/>
        </w:numPr>
        <w:spacing w:after="40" w:before="40"/>
      </w:pPr>
      <w:r>
        <w:rPr>
          <w:rFonts w:ascii="Arial" w:cs="Arial" w:eastAsia="Arial" w:hAnsi="Arial"/>
          <w:color w:val="1A1A1A"/>
          <w:sz w:val="20"/>
          <w:szCs w:val="20"/>
        </w:rPr>
        <w:t xml:space="preserve">Each subsidiary is a full ActProve organization with its own inventory, documents, and compliance posture</w:t>
      </w:r>
    </w:p>
    <w:p>
      <w:pPr>
        <w:pStyle w:val="ListParagraph"/>
        <w:numPr>
          <w:ilvl w:val="0"/>
          <w:numId w:val="2"/>
        </w:numPr>
        <w:spacing w:after="40" w:before="40"/>
      </w:pPr>
      <w:r>
        <w:rPr>
          <w:rFonts w:ascii="Arial" w:cs="Arial" w:eastAsia="Arial" w:hAnsi="Arial"/>
          <w:color w:val="1A1A1A"/>
          <w:sz w:val="20"/>
          <w:szCs w:val="20"/>
        </w:rPr>
        <w:t xml:space="preserve">Group-level 'Shared Systems Library': AI systems marked as group-wide can be inherited by subsidiaries</w:t>
      </w:r>
    </w:p>
    <w:p>
      <w:pPr>
        <w:pStyle w:val="ListParagraph"/>
        <w:numPr>
          <w:ilvl w:val="0"/>
          <w:numId w:val="2"/>
        </w:numPr>
        <w:spacing w:after="40" w:before="40"/>
      </w:pPr>
      <w:r>
        <w:rPr>
          <w:rFonts w:ascii="Arial" w:cs="Arial" w:eastAsia="Arial" w:hAnsi="Arial"/>
          <w:color w:val="1A1A1A"/>
          <w:sz w:val="20"/>
          <w:szCs w:val="20"/>
        </w:rPr>
        <w:t xml:space="preserve">Group dashboard: consolidated view — aggregate compliance score, total AI systems across all entities, cross-entity issues</w:t>
      </w:r>
    </w:p>
    <w:p>
      <w:pPr>
        <w:pStyle w:val="ListParagraph"/>
        <w:numPr>
          <w:ilvl w:val="0"/>
          <w:numId w:val="2"/>
        </w:numPr>
        <w:spacing w:after="40" w:before="40"/>
      </w:pPr>
      <w:r>
        <w:rPr>
          <w:rFonts w:ascii="Arial" w:cs="Arial" w:eastAsia="Arial" w:hAnsi="Arial"/>
          <w:color w:val="1A1A1A"/>
          <w:sz w:val="20"/>
          <w:szCs w:val="20"/>
        </w:rPr>
        <w:t xml:space="preserve">Cross-entity reporting: generate a group-level compliance report for investors, auditors, or group management</w:t>
      </w:r>
    </w:p>
    <w:p>
      <w:pPr>
        <w:pStyle w:val="ListParagraph"/>
        <w:numPr>
          <w:ilvl w:val="0"/>
          <w:numId w:val="2"/>
        </w:numPr>
        <w:spacing w:after="40" w:before="40"/>
      </w:pPr>
      <w:r>
        <w:rPr>
          <w:rFonts w:ascii="Arial" w:cs="Arial" w:eastAsia="Arial" w:hAnsi="Arial"/>
          <w:color w:val="1A1A1A"/>
          <w:sz w:val="20"/>
          <w:szCs w:val="20"/>
        </w:rPr>
        <w:t xml:space="preserve">Centralized billing: one invoice for all subsidiaries, per-entity cost breakdown</w:t>
      </w:r>
    </w:p>
    <w:p>
      <w:pPr>
        <w:spacing w:after="60" w:before="60"/>
      </w:pPr>
    </w:p>
    <w:p>
      <w:pPr>
        <w:pStyle w:val="Heading2"/>
        <w:spacing w:after="180" w:before="360"/>
      </w:pPr>
      <w:r>
        <w:rPr>
          <w:rFonts w:ascii="Arial" w:cs="Arial" w:eastAsia="Arial" w:hAnsi="Arial"/>
          <w:b/>
          <w:bCs/>
          <w:color w:val="1B4F72"/>
          <w:sz w:val="30"/>
          <w:szCs w:val="30"/>
        </w:rPr>
        <w:t xml:space="preserve">10.3 Audit Mode</w:t>
      </w:r>
    </w:p>
    <w:p>
      <w:pPr>
        <w:pStyle w:val="Heading3"/>
        <w:spacing w:after="140" w:before="280"/>
      </w:pPr>
      <w:r>
        <w:rPr>
          <w:rFonts w:ascii="Arial" w:cs="Arial" w:eastAsia="Arial" w:hAnsi="Arial"/>
          <w:b/>
          <w:bCs/>
          <w:color w:val="1D8348"/>
          <w:sz w:val="24"/>
          <w:szCs w:val="24"/>
        </w:rPr>
        <w:t xml:space="preserve">10.3.1 What Audit Mode Is</w:t>
      </w:r>
    </w:p>
    <w:p>
      <w:pPr>
        <w:spacing w:after="80" w:before="80"/>
      </w:pPr>
      <w:r>
        <w:rPr>
          <w:rFonts w:ascii="Arial" w:cs="Arial" w:eastAsia="Arial" w:hAnsi="Arial"/>
          <w:color w:val="1A1A1A"/>
          <w:sz w:val="20"/>
          <w:szCs w:val="20"/>
        </w:rPr>
        <w:t xml:space="preserve">When an organization is under regulatory audit or due diligence, they activate Audit Mode. This provides:</w:t>
      </w:r>
    </w:p>
    <w:p>
      <w:pPr>
        <w:pStyle w:val="ListParagraph"/>
        <w:numPr>
          <w:ilvl w:val="0"/>
          <w:numId w:val="2"/>
        </w:numPr>
        <w:spacing w:after="40" w:before="40"/>
      </w:pPr>
      <w:r>
        <w:rPr>
          <w:rFonts w:ascii="Arial" w:cs="Arial" w:eastAsia="Arial" w:hAnsi="Arial"/>
          <w:color w:val="1A1A1A"/>
          <w:sz w:val="20"/>
          <w:szCs w:val="20"/>
        </w:rPr>
        <w:t xml:space="preserve">Read-only auditor access: invite external auditor with a temporary link — they see the full compliance picture but cannot edit anything</w:t>
      </w:r>
    </w:p>
    <w:p>
      <w:pPr>
        <w:pStyle w:val="ListParagraph"/>
        <w:numPr>
          <w:ilvl w:val="0"/>
          <w:numId w:val="2"/>
        </w:numPr>
        <w:spacing w:after="40" w:before="40"/>
      </w:pPr>
      <w:r>
        <w:rPr>
          <w:rFonts w:ascii="Arial" w:cs="Arial" w:eastAsia="Arial" w:hAnsi="Arial"/>
          <w:color w:val="1A1A1A"/>
          <w:sz w:val="20"/>
          <w:szCs w:val="20"/>
        </w:rPr>
        <w:t xml:space="preserve">Audit package generator: one-click generation of a complete evidence package (all documents, register, evidence files, audit log) as a structured ZIP archive</w:t>
      </w:r>
    </w:p>
    <w:p>
      <w:pPr>
        <w:pStyle w:val="ListParagraph"/>
        <w:numPr>
          <w:ilvl w:val="0"/>
          <w:numId w:val="2"/>
        </w:numPr>
        <w:spacing w:after="40" w:before="40"/>
      </w:pPr>
      <w:r>
        <w:rPr>
          <w:rFonts w:ascii="Arial" w:cs="Arial" w:eastAsia="Arial" w:hAnsi="Arial"/>
          <w:color w:val="1A1A1A"/>
          <w:sz w:val="20"/>
          <w:szCs w:val="20"/>
        </w:rPr>
        <w:t xml:space="preserve">Immutable timeline: audit log entries cannot be edited or deleted in Audit Mode — tamper-evident compliance history</w:t>
      </w:r>
    </w:p>
    <w:p>
      <w:pPr>
        <w:pStyle w:val="ListParagraph"/>
        <w:numPr>
          <w:ilvl w:val="0"/>
          <w:numId w:val="2"/>
        </w:numPr>
        <w:spacing w:after="40" w:before="40"/>
      </w:pPr>
      <w:r>
        <w:rPr>
          <w:rFonts w:ascii="Arial" w:cs="Arial" w:eastAsia="Arial" w:hAnsi="Arial"/>
          <w:color w:val="1A1A1A"/>
          <w:sz w:val="20"/>
          <w:szCs w:val="20"/>
        </w:rPr>
        <w:t xml:space="preserve">Auditor Q&amp;A: auditor submits questions directly in the platform, company responds — full documented Q&amp;A thread</w:t>
      </w:r>
    </w:p>
    <w:p>
      <w:pPr>
        <w:pStyle w:val="ListParagraph"/>
        <w:numPr>
          <w:ilvl w:val="0"/>
          <w:numId w:val="2"/>
        </w:numPr>
        <w:spacing w:after="40" w:before="40"/>
      </w:pPr>
      <w:r>
        <w:rPr>
          <w:rFonts w:ascii="Arial" w:cs="Arial" w:eastAsia="Arial" w:hAnsi="Arial"/>
          <w:color w:val="1A1A1A"/>
          <w:sz w:val="20"/>
          <w:szCs w:val="20"/>
        </w:rPr>
        <w:t xml:space="preserve">Audit closure: when audit is complete, audit mode closed and summary report generated</w:t>
      </w:r>
    </w:p>
    <w:p>
      <w:pPr>
        <w:spacing w:after="60" w:before="60"/>
      </w:pPr>
    </w:p>
    <w:p>
      <w:pPr>
        <w:pStyle w:val="Heading2"/>
        <w:spacing w:after="180" w:before="360"/>
      </w:pPr>
      <w:r>
        <w:rPr>
          <w:rFonts w:ascii="Arial" w:cs="Arial" w:eastAsia="Arial" w:hAnsi="Arial"/>
          <w:b/>
          <w:bCs/>
          <w:color w:val="1B4F72"/>
          <w:sz w:val="30"/>
          <w:szCs w:val="30"/>
        </w:rPr>
        <w:t xml:space="preserve">10.4 Custom Risk Rules Engine</w:t>
      </w:r>
    </w:p>
    <w:p>
      <w:pPr>
        <w:pStyle w:val="Heading3"/>
        <w:spacing w:after="140" w:before="280"/>
      </w:pPr>
      <w:r>
        <w:rPr>
          <w:rFonts w:ascii="Arial" w:cs="Arial" w:eastAsia="Arial" w:hAnsi="Arial"/>
          <w:b/>
          <w:bCs/>
          <w:color w:val="1D8348"/>
          <w:sz w:val="24"/>
          <w:szCs w:val="24"/>
        </w:rPr>
        <w:t xml:space="preserve">10.4.1 What Custom Rules Are</w:t>
      </w:r>
    </w:p>
    <w:p>
      <w:pPr>
        <w:spacing w:after="80" w:before="80"/>
      </w:pPr>
      <w:r>
        <w:rPr>
          <w:rFonts w:ascii="Arial" w:cs="Arial" w:eastAsia="Arial" w:hAnsi="Arial"/>
          <w:color w:val="1A1A1A"/>
          <w:sz w:val="20"/>
          <w:szCs w:val="20"/>
        </w:rPr>
        <w:t xml:space="preserve">Large organizations may have specific internal risk policies stricter than EU AI Act requires. Custom risk rules allow compliance teams to define organization-specific classification logic:</w:t>
      </w:r>
    </w:p>
    <w:p>
      <w:pPr>
        <w:spacing w:after="60" w:before="60"/>
      </w:pPr>
    </w:p>
    <w:p>
      <w:pPr>
        <w:shd w:fill="F0F0F0" w:val="clear"/>
        <w:spacing w:after="40" w:before="40"/>
      </w:pPr>
      <w:r>
        <w:rPr>
          <w:rFonts w:ascii="Courier New" w:cs="Courier New" w:eastAsia="Courier New" w:hAnsi="Courier New"/>
          <w:color w:val="333333"/>
          <w:sz w:val="18"/>
          <w:szCs w:val="18"/>
        </w:rPr>
        <w:t xml:space="preserve">// Example: Company policy — any AI touching customer data is automatically 'high internal risk'</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rule_name: 'Customer Data AI Policy',</w:t>
      </w:r>
    </w:p>
    <w:p>
      <w:pPr>
        <w:shd w:fill="F0F0F0" w:val="clear"/>
        <w:spacing w:after="40" w:before="40"/>
      </w:pPr>
      <w:r>
        <w:rPr>
          <w:rFonts w:ascii="Courier New" w:cs="Courier New" w:eastAsia="Courier New" w:hAnsi="Courier New"/>
          <w:color w:val="333333"/>
          <w:sz w:val="18"/>
          <w:szCs w:val="18"/>
        </w:rPr>
        <w:t xml:space="preserve">  condition: { data_processed: { contains: 'personal' }, is_public_facing: true },</w:t>
      </w:r>
    </w:p>
    <w:p>
      <w:pPr>
        <w:shd w:fill="F0F0F0" w:val="clear"/>
        <w:spacing w:after="40" w:before="40"/>
      </w:pPr>
      <w:r>
        <w:rPr>
          <w:rFonts w:ascii="Courier New" w:cs="Courier New" w:eastAsia="Courier New" w:hAnsi="Courier New"/>
          <w:color w:val="333333"/>
          <w:sz w:val="18"/>
          <w:szCs w:val="18"/>
        </w:rPr>
        <w:t xml:space="preserve">  resulting_tier: 'high_risk',</w:t>
      </w:r>
    </w:p>
    <w:p>
      <w:pPr>
        <w:shd w:fill="F0F0F0" w:val="clear"/>
        <w:spacing w:after="40" w:before="40"/>
      </w:pPr>
      <w:r>
        <w:rPr>
          <w:rFonts w:ascii="Courier New" w:cs="Courier New" w:eastAsia="Courier New" w:hAnsi="Courier New"/>
          <w:color w:val="333333"/>
          <w:sz w:val="18"/>
          <w:szCs w:val="18"/>
        </w:rPr>
        <w:t xml:space="preserve">  internal_label: 'High Internal Risk (Company Policy)',</w:t>
      </w:r>
    </w:p>
    <w:p>
      <w:pPr>
        <w:shd w:fill="F0F0F0" w:val="clear"/>
        <w:spacing w:after="40" w:before="40"/>
      </w:pPr>
      <w:r>
        <w:rPr>
          <w:rFonts w:ascii="Courier New" w:cs="Courier New" w:eastAsia="Courier New" w:hAnsi="Courier New"/>
          <w:color w:val="333333"/>
          <w:sz w:val="18"/>
          <w:szCs w:val="18"/>
        </w:rPr>
        <w:t xml:space="preserve">  priority: 10  // Higher priority overrides lower</w:t>
      </w:r>
    </w:p>
    <w:p>
      <w:pPr>
        <w:shd w:fill="F0F0F0" w:val="clear"/>
        <w:spacing w:after="40" w:before="40"/>
      </w:pPr>
      <w:r>
        <w:rPr>
          <w:rFonts w:ascii="Courier New" w:cs="Courier New" w:eastAsia="Courier New" w:hAnsi="Courier New"/>
          <w:color w:val="333333"/>
          <w:sz w:val="18"/>
          <w:szCs w:val="18"/>
        </w:rPr>
        <w:t xml:space="preserve">}</w:t>
      </w:r>
    </w:p>
    <w:p>
      <w:pPr>
        <w:spacing w:after="60" w:before="60"/>
      </w:pPr>
    </w:p>
    <w:p>
      <w:pPr>
        <w:spacing w:after="80" w:before="80"/>
      </w:pPr>
      <w:r>
        <w:rPr>
          <w:rFonts w:ascii="Arial" w:cs="Arial" w:eastAsia="Arial" w:hAnsi="Arial"/>
          <w:color w:val="1A1A1A"/>
          <w:sz w:val="20"/>
          <w:szCs w:val="20"/>
        </w:rPr>
        <w:t xml:space="preserve">Custom rules are layered on top of the standard EU AI Act classifier. Results show both: EU AI Act classification and Internal classification separately. This is critical for enterprise companies with internal risk governance that is stricter than the regulation.</w:t>
      </w:r>
    </w:p>
    <w:p>
      <w:pPr>
        <w:spacing w:after="60" w:before="60"/>
      </w:pPr>
    </w:p>
    <w:p>
      <w:pPr>
        <w:pStyle w:val="Heading2"/>
        <w:spacing w:after="180" w:before="360"/>
      </w:pPr>
      <w:r>
        <w:rPr>
          <w:rFonts w:ascii="Arial" w:cs="Arial" w:eastAsia="Arial" w:hAnsi="Arial"/>
          <w:b/>
          <w:bCs/>
          <w:color w:val="1B4F72"/>
          <w:sz w:val="30"/>
          <w:szCs w:val="30"/>
        </w:rPr>
        <w:t xml:space="preserve">10.5 White-Label Reports</w:t>
      </w:r>
    </w:p>
    <w:p>
      <w:pPr>
        <w:pStyle w:val="Heading3"/>
        <w:spacing w:after="140" w:before="280"/>
      </w:pPr>
      <w:r>
        <w:rPr>
          <w:rFonts w:ascii="Arial" w:cs="Arial" w:eastAsia="Arial" w:hAnsi="Arial"/>
          <w:b/>
          <w:bCs/>
          <w:color w:val="1D8348"/>
          <w:sz w:val="24"/>
          <w:szCs w:val="24"/>
        </w:rPr>
        <w:t xml:space="preserve">10.5.1 For Enterprise Customers and Partners</w:t>
      </w:r>
    </w:p>
    <w:p>
      <w:pPr>
        <w:spacing w:after="80" w:before="80"/>
      </w:pPr>
      <w:r>
        <w:rPr>
          <w:rFonts w:ascii="Arial" w:cs="Arial" w:eastAsia="Arial" w:hAnsi="Arial"/>
          <w:color w:val="1A1A1A"/>
          <w:sz w:val="20"/>
          <w:szCs w:val="20"/>
        </w:rPr>
        <w:t xml:space="preserve">White-label reporting allows: company logo replaces ActProve logo on all PDFs, custom cover page with company name and branding, color scheme matching company brand guide, custom footer text, removal of "Powered by ActProve" from public Trust Page (optional enterprise add-on).</w:t>
      </w:r>
    </w:p>
    <w:p>
      <w:pPr>
        <w:spacing w:after="60" w:before="60"/>
      </w:pPr>
    </w:p>
    <w:p>
      <w:pPr>
        <w:pStyle w:val="Heading2"/>
        <w:spacing w:after="180" w:before="360"/>
      </w:pPr>
      <w:r>
        <w:rPr>
          <w:rFonts w:ascii="Arial" w:cs="Arial" w:eastAsia="Arial" w:hAnsi="Arial"/>
          <w:b/>
          <w:bCs/>
          <w:color w:val="1B4F72"/>
          <w:sz w:val="30"/>
          <w:szCs w:val="30"/>
        </w:rPr>
        <w:t xml:space="preserve">10.6 SCIM Provisioning</w:t>
      </w:r>
    </w:p>
    <w:p>
      <w:pPr>
        <w:spacing w:after="80" w:before="80"/>
      </w:pPr>
      <w:r>
        <w:rPr>
          <w:rFonts w:ascii="Arial" w:cs="Arial" w:eastAsia="Arial" w:hAnsi="Arial"/>
          <w:color w:val="1A1A1A"/>
          <w:sz w:val="20"/>
          <w:szCs w:val="20"/>
        </w:rPr>
        <w:t xml:space="preserve">Enterprise organizations need automated user management. Phase 2 adds SCIM 2.0 support:</w:t>
      </w:r>
    </w:p>
    <w:p>
      <w:pPr>
        <w:pStyle w:val="ListParagraph"/>
        <w:numPr>
          <w:ilvl w:val="0"/>
          <w:numId w:val="2"/>
        </w:numPr>
        <w:spacing w:after="40" w:before="40"/>
      </w:pPr>
      <w:r>
        <w:rPr>
          <w:rFonts w:ascii="Arial" w:cs="Arial" w:eastAsia="Arial" w:hAnsi="Arial"/>
          <w:color w:val="1A1A1A"/>
          <w:sz w:val="20"/>
          <w:szCs w:val="20"/>
        </w:rPr>
        <w:t xml:space="preserve">When HR adds new employee to Okta/Azure AD → ActProve user created automatically with correct role</w:t>
      </w:r>
    </w:p>
    <w:p>
      <w:pPr>
        <w:pStyle w:val="ListParagraph"/>
        <w:numPr>
          <w:ilvl w:val="0"/>
          <w:numId w:val="2"/>
        </w:numPr>
        <w:spacing w:after="40" w:before="40"/>
      </w:pPr>
      <w:r>
        <w:rPr>
          <w:rFonts w:ascii="Arial" w:cs="Arial" w:eastAsia="Arial" w:hAnsi="Arial"/>
          <w:color w:val="1A1A1A"/>
          <w:sz w:val="20"/>
          <w:szCs w:val="20"/>
        </w:rPr>
        <w:t xml:space="preserve">When employee leaves → ActProve account deactivated automatically within 24 hours</w:t>
      </w:r>
    </w:p>
    <w:p>
      <w:pPr>
        <w:pStyle w:val="ListParagraph"/>
        <w:numPr>
          <w:ilvl w:val="0"/>
          <w:numId w:val="2"/>
        </w:numPr>
        <w:spacing w:after="40" w:before="40"/>
      </w:pPr>
      <w:r>
        <w:rPr>
          <w:rFonts w:ascii="Arial" w:cs="Arial" w:eastAsia="Arial" w:hAnsi="Arial"/>
          <w:color w:val="1A1A1A"/>
          <w:sz w:val="20"/>
          <w:szCs w:val="20"/>
        </w:rPr>
        <w:t xml:space="preserve">Group membership in IdP maps to ActProve roles (e.g., 'Legal Team' Okta group = 'Admin' ActProve role)</w:t>
      </w:r>
    </w:p>
    <w:p>
      <w:pPr>
        <w:pStyle w:val="ListParagraph"/>
        <w:numPr>
          <w:ilvl w:val="0"/>
          <w:numId w:val="2"/>
        </w:numPr>
        <w:spacing w:after="40" w:before="40"/>
      </w:pPr>
      <w:r>
        <w:rPr>
          <w:rFonts w:ascii="Arial" w:cs="Arial" w:eastAsia="Arial" w:hAnsi="Arial"/>
          <w:color w:val="1A1A1A"/>
          <w:sz w:val="20"/>
          <w:szCs w:val="20"/>
        </w:rPr>
        <w:t xml:space="preserve">Reduces security risk of orphaned accounts</w:t>
      </w:r>
    </w:p>
    <w:p>
      <w:pPr>
        <w:pStyle w:val="ListParagraph"/>
        <w:numPr>
          <w:ilvl w:val="0"/>
          <w:numId w:val="2"/>
        </w:numPr>
        <w:spacing w:after="40" w:before="40"/>
      </w:pPr>
      <w:r>
        <w:rPr>
          <w:rFonts w:ascii="Arial" w:cs="Arial" w:eastAsia="Arial" w:hAnsi="Arial"/>
          <w:color w:val="1A1A1A"/>
          <w:sz w:val="20"/>
          <w:szCs w:val="20"/>
        </w:rPr>
        <w:t xml:space="preserve">Eliminates manual user management for large organizations</w:t>
      </w:r>
    </w:p>
    <w:p>
      <w:pPr>
        <w:spacing w:after="60" w:before="60"/>
      </w:pPr>
    </w:p>
    <w:p>
      <w:pPr>
        <w:pStyle w:val="Heading2"/>
        <w:spacing w:after="180" w:before="360"/>
      </w:pPr>
      <w:r>
        <w:rPr>
          <w:rFonts w:ascii="Arial" w:cs="Arial" w:eastAsia="Arial" w:hAnsi="Arial"/>
          <w:b/>
          <w:bCs/>
          <w:color w:val="1B4F72"/>
          <w:sz w:val="30"/>
          <w:szCs w:val="30"/>
        </w:rPr>
        <w:t xml:space="preserve">10.7 SLA and Support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2200"/>
        <w:gridCol w:w="1800"/>
        <w:gridCol w:w="20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Support Tier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Response SLA</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Channels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Dedicated CSM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Standard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 business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Priority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Growth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24 business hours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Email + in-app chat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Business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business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 chat + monthly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Shared</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Enterprise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Enterprise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 business hours (critical: 1 hour)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All + Slack channel + quarterly on-site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Dedicated</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11. Technical Implementation Guide — Phase 2</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11.1 Background Job Architecture with Inngest</w:t>
      </w:r>
    </w:p>
    <w:p>
      <w:pPr>
        <w:pStyle w:val="Heading3"/>
        <w:spacing w:after="140" w:before="280"/>
      </w:pPr>
      <w:r>
        <w:rPr>
          <w:rFonts w:ascii="Arial" w:cs="Arial" w:eastAsia="Arial" w:hAnsi="Arial"/>
          <w:b/>
          <w:bCs/>
          <w:color w:val="1D8348"/>
          <w:sz w:val="24"/>
          <w:szCs w:val="24"/>
        </w:rPr>
        <w:t xml:space="preserve">11.1.1 Why Inngest</w:t>
      </w:r>
    </w:p>
    <w:p>
      <w:pPr>
        <w:spacing w:after="80" w:before="80"/>
      </w:pPr>
      <w:r>
        <w:rPr>
          <w:rFonts w:ascii="Arial" w:cs="Arial" w:eastAsia="Arial" w:hAnsi="Arial"/>
          <w:color w:val="1A1A1A"/>
          <w:sz w:val="20"/>
          <w:szCs w:val="20"/>
        </w:rPr>
        <w:t xml:space="preserve">Vercel serverless functions have a 30-second execution limit (300 seconds on Enterprise). PDF generation, bulk AI classification, and integration syncs regularly exceed this. Inngest provides: durable execution with automatic retries, step functions that can pause and resume, fan-out for parallel processing, and local development that matches production exactly.</w:t>
      </w:r>
    </w:p>
    <w:p>
      <w:pPr>
        <w:spacing w:after="60" w:before="60"/>
      </w:pPr>
    </w:p>
    <w:p>
      <w:pPr>
        <w:pStyle w:val="Heading3"/>
        <w:spacing w:after="140" w:before="280"/>
      </w:pPr>
      <w:r>
        <w:rPr>
          <w:rFonts w:ascii="Arial" w:cs="Arial" w:eastAsia="Arial" w:hAnsi="Arial"/>
          <w:b/>
          <w:bCs/>
          <w:color w:val="1D8348"/>
          <w:sz w:val="24"/>
          <w:szCs w:val="24"/>
        </w:rPr>
        <w:t xml:space="preserve">11.1.2 Core Job Definitions</w:t>
      </w:r>
    </w:p>
    <w:p>
      <w:pPr>
        <w:shd w:fill="F0F0F0" w:val="clear"/>
        <w:spacing w:after="40" w:before="40"/>
      </w:pPr>
      <w:r>
        <w:rPr>
          <w:rFonts w:ascii="Courier New" w:cs="Courier New" w:eastAsia="Courier New" w:hAnsi="Courier New"/>
          <w:color w:val="333333"/>
          <w:sz w:val="18"/>
          <w:szCs w:val="18"/>
        </w:rPr>
        <w:t xml:space="preserve">// src/inngest/functions.ts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1. PDF Generation Job</w:t>
      </w:r>
    </w:p>
    <w:p>
      <w:pPr>
        <w:shd w:fill="F0F0F0" w:val="clear"/>
        <w:spacing w:after="40" w:before="40"/>
      </w:pPr>
      <w:r>
        <w:rPr>
          <w:rFonts w:ascii="Courier New" w:cs="Courier New" w:eastAsia="Courier New" w:hAnsi="Courier New"/>
          <w:color w:val="333333"/>
          <w:sz w:val="18"/>
          <w:szCs w:val="18"/>
        </w:rPr>
        <w:t xml:space="preserve">export const generatePdf = inngest.createFunction(</w:t>
      </w:r>
    </w:p>
    <w:p>
      <w:pPr>
        <w:shd w:fill="F0F0F0" w:val="clear"/>
        <w:spacing w:after="40" w:before="40"/>
      </w:pPr>
      <w:r>
        <w:rPr>
          <w:rFonts w:ascii="Courier New" w:cs="Courier New" w:eastAsia="Courier New" w:hAnsi="Courier New"/>
          <w:color w:val="333333"/>
          <w:sz w:val="18"/>
          <w:szCs w:val="18"/>
        </w:rPr>
        <w:t xml:space="preserve">  { id: 'document/generate-pdf', retries: 3 },</w:t>
      </w:r>
    </w:p>
    <w:p>
      <w:pPr>
        <w:shd w:fill="F0F0F0" w:val="clear"/>
        <w:spacing w:after="40" w:before="40"/>
      </w:pPr>
      <w:r>
        <w:rPr>
          <w:rFonts w:ascii="Courier New" w:cs="Courier New" w:eastAsia="Courier New" w:hAnsi="Courier New"/>
          <w:color w:val="333333"/>
          <w:sz w:val="18"/>
          <w:szCs w:val="18"/>
        </w:rPr>
        <w:t xml:space="preserve">  { event: 'document/pdf.requested' },</w:t>
      </w:r>
    </w:p>
    <w:p>
      <w:pPr>
        <w:shd w:fill="F0F0F0" w:val="clear"/>
        <w:spacing w:after="40" w:before="40"/>
      </w:pPr>
      <w:r>
        <w:rPr>
          <w:rFonts w:ascii="Courier New" w:cs="Courier New" w:eastAsia="Courier New" w:hAnsi="Courier New"/>
          <w:color w:val="333333"/>
          <w:sz w:val="18"/>
          <w:szCs w:val="18"/>
        </w:rPr>
        <w:t xml:space="preserve">  async ({ event, step }) =&gt; {</w:t>
      </w:r>
    </w:p>
    <w:p>
      <w:pPr>
        <w:shd w:fill="F0F0F0" w:val="clear"/>
        <w:spacing w:after="40" w:before="40"/>
      </w:pPr>
      <w:r>
        <w:rPr>
          <w:rFonts w:ascii="Courier New" w:cs="Courier New" w:eastAsia="Courier New" w:hAnsi="Courier New"/>
          <w:color w:val="333333"/>
          <w:sz w:val="18"/>
          <w:szCs w:val="18"/>
        </w:rPr>
        <w:t xml:space="preserve">    const html = await step.run('render-html', () =&gt; renderDocumentHtml(event.data.documentId))</w:t>
      </w:r>
    </w:p>
    <w:p>
      <w:pPr>
        <w:shd w:fill="F0F0F0" w:val="clear"/>
        <w:spacing w:after="40" w:before="40"/>
      </w:pPr>
      <w:r>
        <w:rPr>
          <w:rFonts w:ascii="Courier New" w:cs="Courier New" w:eastAsia="Courier New" w:hAnsi="Courier New"/>
          <w:color w:val="333333"/>
          <w:sz w:val="18"/>
          <w:szCs w:val="18"/>
        </w:rPr>
        <w:t xml:space="preserve">    const pdf = await step.run('generate-pdf', () =&gt; puppeteerGenerate(html))</w:t>
      </w:r>
    </w:p>
    <w:p>
      <w:pPr>
        <w:shd w:fill="F0F0F0" w:val="clear"/>
        <w:spacing w:after="40" w:before="40"/>
      </w:pPr>
      <w:r>
        <w:rPr>
          <w:rFonts w:ascii="Courier New" w:cs="Courier New" w:eastAsia="Courier New" w:hAnsi="Courier New"/>
          <w:color w:val="333333"/>
          <w:sz w:val="18"/>
          <w:szCs w:val="18"/>
        </w:rPr>
        <w:t xml:space="preserve">    const url = await step.run('upload-pdf', () =&gt; uploadToSupabase(pdf, event.data.orgId))</w:t>
      </w:r>
    </w:p>
    <w:p>
      <w:pPr>
        <w:shd w:fill="F0F0F0" w:val="clear"/>
        <w:spacing w:after="40" w:before="40"/>
      </w:pPr>
      <w:r>
        <w:rPr>
          <w:rFonts w:ascii="Courier New" w:cs="Courier New" w:eastAsia="Courier New" w:hAnsi="Courier New"/>
          <w:color w:val="333333"/>
          <w:sz w:val="18"/>
          <w:szCs w:val="18"/>
        </w:rPr>
        <w:t xml:space="preserve">    await step.run('update-record', () =&gt; updateDocumentUrl(event.data.documentId, url))</w:t>
      </w:r>
    </w:p>
    <w:p>
      <w:pPr>
        <w:shd w:fill="F0F0F0" w:val="clear"/>
        <w:spacing w:after="40" w:before="40"/>
      </w:pPr>
      <w:r>
        <w:rPr>
          <w:rFonts w:ascii="Courier New" w:cs="Courier New" w:eastAsia="Courier New" w:hAnsi="Courier New"/>
          <w:color w:val="333333"/>
          <w:sz w:val="18"/>
          <w:szCs w:val="18"/>
        </w:rPr>
        <w:t xml:space="preserve">    await step.run('notify-user', () =&gt; sendEmail(event.data.userId, 'pdf-ready', { url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2. Batch Risk Classification</w:t>
      </w:r>
    </w:p>
    <w:p>
      <w:pPr>
        <w:shd w:fill="F0F0F0" w:val="clear"/>
        <w:spacing w:after="40" w:before="40"/>
      </w:pPr>
      <w:r>
        <w:rPr>
          <w:rFonts w:ascii="Courier New" w:cs="Courier New" w:eastAsia="Courier New" w:hAnsi="Courier New"/>
          <w:color w:val="333333"/>
          <w:sz w:val="18"/>
          <w:szCs w:val="18"/>
        </w:rPr>
        <w:t xml:space="preserve">export const classifyBatch = inngest.createFunction(</w:t>
      </w:r>
    </w:p>
    <w:p>
      <w:pPr>
        <w:shd w:fill="F0F0F0" w:val="clear"/>
        <w:spacing w:after="40" w:before="40"/>
      </w:pPr>
      <w:r>
        <w:rPr>
          <w:rFonts w:ascii="Courier New" w:cs="Courier New" w:eastAsia="Courier New" w:hAnsi="Courier New"/>
          <w:color w:val="333333"/>
          <w:sz w:val="18"/>
          <w:szCs w:val="18"/>
        </w:rPr>
        <w:t xml:space="preserve">  { id: 'ai-systems/classify-batch', concurrency: { limit: 5 } },</w:t>
      </w:r>
    </w:p>
    <w:p>
      <w:pPr>
        <w:shd w:fill="F0F0F0" w:val="clear"/>
        <w:spacing w:after="40" w:before="40"/>
      </w:pPr>
      <w:r>
        <w:rPr>
          <w:rFonts w:ascii="Courier New" w:cs="Courier New" w:eastAsia="Courier New" w:hAnsi="Courier New"/>
          <w:color w:val="333333"/>
          <w:sz w:val="18"/>
          <w:szCs w:val="18"/>
        </w:rPr>
        <w:t xml:space="preserve">  { event: 'ai-systems/classify.batch' },</w:t>
      </w:r>
    </w:p>
    <w:p>
      <w:pPr>
        <w:shd w:fill="F0F0F0" w:val="clear"/>
        <w:spacing w:after="40" w:before="40"/>
      </w:pPr>
      <w:r>
        <w:rPr>
          <w:rFonts w:ascii="Courier New" w:cs="Courier New" w:eastAsia="Courier New" w:hAnsi="Courier New"/>
          <w:color w:val="333333"/>
          <w:sz w:val="18"/>
          <w:szCs w:val="18"/>
        </w:rPr>
        <w:t xml:space="preserve">  async ({ event, step }) =&gt; {</w:t>
      </w:r>
    </w:p>
    <w:p>
      <w:pPr>
        <w:shd w:fill="F0F0F0" w:val="clear"/>
        <w:spacing w:after="40" w:before="40"/>
      </w:pPr>
      <w:r>
        <w:rPr>
          <w:rFonts w:ascii="Courier New" w:cs="Courier New" w:eastAsia="Courier New" w:hAnsi="Courier New"/>
          <w:color w:val="333333"/>
          <w:sz w:val="18"/>
          <w:szCs w:val="18"/>
        </w:rPr>
        <w:t xml:space="preserve">    // Fan out: one step per system in parallel</w:t>
      </w:r>
    </w:p>
    <w:p>
      <w:pPr>
        <w:shd w:fill="F0F0F0" w:val="clear"/>
        <w:spacing w:after="40" w:before="40"/>
      </w:pPr>
      <w:r>
        <w:rPr>
          <w:rFonts w:ascii="Courier New" w:cs="Courier New" w:eastAsia="Courier New" w:hAnsi="Courier New"/>
          <w:color w:val="333333"/>
          <w:sz w:val="18"/>
          <w:szCs w:val="18"/>
        </w:rPr>
        <w:t xml:space="preserve">    await step.run('classify-all', async () =&gt; {</w:t>
      </w:r>
    </w:p>
    <w:p>
      <w:pPr>
        <w:shd w:fill="F0F0F0" w:val="clear"/>
        <w:spacing w:after="40" w:before="40"/>
      </w:pPr>
      <w:r>
        <w:rPr>
          <w:rFonts w:ascii="Courier New" w:cs="Courier New" w:eastAsia="Courier New" w:hAnsi="Courier New"/>
          <w:color w:val="333333"/>
          <w:sz w:val="18"/>
          <w:szCs w:val="18"/>
        </w:rPr>
        <w:t xml:space="preserve">      return Promise.all(event.data.systemIds.map(id =&gt; classifySystem(id)))</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3. Integration Sync</w:t>
      </w:r>
    </w:p>
    <w:p>
      <w:pPr>
        <w:shd w:fill="F0F0F0" w:val="clear"/>
        <w:spacing w:after="40" w:before="40"/>
      </w:pPr>
      <w:r>
        <w:rPr>
          <w:rFonts w:ascii="Courier New" w:cs="Courier New" w:eastAsia="Courier New" w:hAnsi="Courier New"/>
          <w:color w:val="333333"/>
          <w:sz w:val="18"/>
          <w:szCs w:val="18"/>
        </w:rPr>
        <w:t xml:space="preserve">export const syncIntegration = inngest.createFunction(</w:t>
      </w:r>
    </w:p>
    <w:p>
      <w:pPr>
        <w:shd w:fill="F0F0F0" w:val="clear"/>
        <w:spacing w:after="40" w:before="40"/>
      </w:pPr>
      <w:r>
        <w:rPr>
          <w:rFonts w:ascii="Courier New" w:cs="Courier New" w:eastAsia="Courier New" w:hAnsi="Courier New"/>
          <w:color w:val="333333"/>
          <w:sz w:val="18"/>
          <w:szCs w:val="18"/>
        </w:rPr>
        <w:t xml:space="preserve">  { id: 'integration/sync', retries: 2 },</w:t>
      </w:r>
    </w:p>
    <w:p>
      <w:pPr>
        <w:shd w:fill="F0F0F0" w:val="clear"/>
        <w:spacing w:after="40" w:before="40"/>
      </w:pPr>
      <w:r>
        <w:rPr>
          <w:rFonts w:ascii="Courier New" w:cs="Courier New" w:eastAsia="Courier New" w:hAnsi="Courier New"/>
          <w:color w:val="333333"/>
          <w:sz w:val="18"/>
          <w:szCs w:val="18"/>
        </w:rPr>
        <w:t xml:space="preserve">  { event: 'integration/sync.requested' },</w:t>
      </w:r>
    </w:p>
    <w:p>
      <w:pPr>
        <w:shd w:fill="F0F0F0" w:val="clear"/>
        <w:spacing w:after="40" w:before="40"/>
      </w:pPr>
      <w:r>
        <w:rPr>
          <w:rFonts w:ascii="Courier New" w:cs="Courier New" w:eastAsia="Courier New" w:hAnsi="Courier New"/>
          <w:color w:val="333333"/>
          <w:sz w:val="18"/>
          <w:szCs w:val="18"/>
        </w:rPr>
        <w:t xml:space="preserve">  async ({ event, step }) =&gt; {</w:t>
      </w:r>
    </w:p>
    <w:p>
      <w:pPr>
        <w:shd w:fill="F0F0F0" w:val="clear"/>
        <w:spacing w:after="40" w:before="40"/>
      </w:pPr>
      <w:r>
        <w:rPr>
          <w:rFonts w:ascii="Courier New" w:cs="Courier New" w:eastAsia="Courier New" w:hAnsi="Courier New"/>
          <w:color w:val="333333"/>
          <w:sz w:val="18"/>
          <w:szCs w:val="18"/>
        </w:rPr>
        <w:t xml:space="preserve">    const integration = await step.run('fetch-integration', () =&gt;</w:t>
      </w:r>
    </w:p>
    <w:p>
      <w:pPr>
        <w:shd w:fill="F0F0F0" w:val="clear"/>
        <w:spacing w:after="40" w:before="40"/>
      </w:pPr>
      <w:r>
        <w:rPr>
          <w:rFonts w:ascii="Courier New" w:cs="Courier New" w:eastAsia="Courier New" w:hAnsi="Courier New"/>
          <w:color w:val="333333"/>
          <w:sz w:val="18"/>
          <w:szCs w:val="18"/>
        </w:rPr>
        <w:t xml:space="preserve">      getIntegration(event.data.integrationId)</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const discovered = await step.run('sync', () =&gt; integration.sync())</w:t>
      </w:r>
    </w:p>
    <w:p>
      <w:pPr>
        <w:shd w:fill="F0F0F0" w:val="clear"/>
        <w:spacing w:after="40" w:before="40"/>
      </w:pPr>
      <w:r>
        <w:rPr>
          <w:rFonts w:ascii="Courier New" w:cs="Courier New" w:eastAsia="Courier New" w:hAnsi="Courier New"/>
          <w:color w:val="333333"/>
          <w:sz w:val="18"/>
          <w:szCs w:val="18"/>
        </w:rPr>
        <w:t xml:space="preserve">    await step.run('process-candidates', () =&gt;</w:t>
      </w:r>
    </w:p>
    <w:p>
      <w:pPr>
        <w:shd w:fill="F0F0F0" w:val="clear"/>
        <w:spacing w:after="40" w:before="40"/>
      </w:pPr>
      <w:r>
        <w:rPr>
          <w:rFonts w:ascii="Courier New" w:cs="Courier New" w:eastAsia="Courier New" w:hAnsi="Courier New"/>
          <w:color w:val="333333"/>
          <w:sz w:val="18"/>
          <w:szCs w:val="18"/>
        </w:rPr>
        <w:t xml:space="preserve">      processDiscoveredSystems(discovered, event.data.orgId)</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w:t>
      </w:r>
    </w:p>
    <w:p>
      <w:pPr>
        <w:spacing w:after="60" w:before="60"/>
      </w:pPr>
    </w:p>
    <w:p>
      <w:pPr>
        <w:pStyle w:val="Heading2"/>
        <w:spacing w:after="180" w:before="360"/>
      </w:pPr>
      <w:r>
        <w:rPr>
          <w:rFonts w:ascii="Arial" w:cs="Arial" w:eastAsia="Arial" w:hAnsi="Arial"/>
          <w:b/>
          <w:bCs/>
          <w:color w:val="1B4F72"/>
          <w:sz w:val="30"/>
          <w:szCs w:val="30"/>
        </w:rPr>
        <w:t xml:space="preserve">11.2 Caching Strategy with Upstash Redis</w:t>
      </w:r>
    </w:p>
    <w:p>
      <w:pPr>
        <w:pStyle w:val="Heading3"/>
        <w:spacing w:after="140" w:before="280"/>
      </w:pPr>
      <w:r>
        <w:rPr>
          <w:rFonts w:ascii="Arial" w:cs="Arial" w:eastAsia="Arial" w:hAnsi="Arial"/>
          <w:b/>
          <w:bCs/>
          <w:color w:val="1D8348"/>
          <w:sz w:val="24"/>
          <w:szCs w:val="24"/>
        </w:rPr>
        <w:t xml:space="preserve">11.2.1 What to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Data</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Cache Key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TTL</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Invalidation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Organization compliance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org:{orgId}:score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minutes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 any system/obligation update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Trust Page data (public)</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trust:{slug}:data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 minutes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On org compliance status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Badge SVG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badge:{orgId}:svg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hour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 compliance status change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Regulation updates feed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regulations:feed:{locale}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 hour</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On new update published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system risk 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classify:{systemHash}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 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 system data change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User session data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session:{userId}:org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15 minutes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On role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rate limits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rate:{apiKeyId}:{window}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 window (1h)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Rolling window counter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Claude API output cache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claude:{promptHash}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 days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Manual invalidation only</w:t>
            </w:r>
          </w:p>
        </w:tc>
      </w:tr>
    </w:tbl>
    <w:p>
      <w:pPr>
        <w:spacing w:after="60" w:before="60"/>
      </w:pPr>
    </w:p>
    <w:p>
      <w:pPr>
        <w:pStyle w:val="Heading3"/>
        <w:spacing w:after="140" w:before="280"/>
      </w:pPr>
      <w:r>
        <w:rPr>
          <w:rFonts w:ascii="Arial" w:cs="Arial" w:eastAsia="Arial" w:hAnsi="Arial"/>
          <w:b/>
          <w:bCs/>
          <w:color w:val="1D8348"/>
          <w:sz w:val="24"/>
          <w:szCs w:val="24"/>
        </w:rPr>
        <w:t xml:space="preserve">11.2.2 Cache Implementation Pattern</w:t>
      </w:r>
    </w:p>
    <w:p>
      <w:pPr>
        <w:shd w:fill="F0F0F0" w:val="clear"/>
        <w:spacing w:after="40" w:before="40"/>
      </w:pPr>
      <w:r>
        <w:rPr>
          <w:rFonts w:ascii="Courier New" w:cs="Courier New" w:eastAsia="Courier New" w:hAnsi="Courier New"/>
          <w:color w:val="333333"/>
          <w:sz w:val="18"/>
          <w:szCs w:val="18"/>
        </w:rPr>
        <w:t xml:space="preserve">// lib/cache.ts</w:t>
      </w:r>
    </w:p>
    <w:p>
      <w:pPr>
        <w:shd w:fill="F0F0F0" w:val="clear"/>
        <w:spacing w:after="40" w:before="40"/>
      </w:pPr>
      <w:r>
        <w:rPr>
          <w:rFonts w:ascii="Courier New" w:cs="Courier New" w:eastAsia="Courier New" w:hAnsi="Courier New"/>
          <w:color w:val="333333"/>
          <w:sz w:val="18"/>
          <w:szCs w:val="18"/>
        </w:rPr>
        <w:t xml:space="preserve">import { Redis } from '@upstash/redis'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const redis = new Redis({ url: process.env.UPSTASH_REDIS_URL!, token: process.env.UPSTASH_REDIS_TOKEN! })</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export async function cached&lt;T&gt;(key: string, ttl: number, fn: () =&gt; Promise&lt;T&gt;): Promise&lt;T&gt; {</w:t>
      </w:r>
    </w:p>
    <w:p>
      <w:pPr>
        <w:shd w:fill="F0F0F0" w:val="clear"/>
        <w:spacing w:after="40" w:before="40"/>
      </w:pPr>
      <w:r>
        <w:rPr>
          <w:rFonts w:ascii="Courier New" w:cs="Courier New" w:eastAsia="Courier New" w:hAnsi="Courier New"/>
          <w:color w:val="333333"/>
          <w:sz w:val="18"/>
          <w:szCs w:val="18"/>
        </w:rPr>
        <w:t xml:space="preserve">  const cached = await redis.get&lt;T&gt;(key)</w:t>
      </w:r>
    </w:p>
    <w:p>
      <w:pPr>
        <w:shd w:fill="F0F0F0" w:val="clear"/>
        <w:spacing w:after="40" w:before="40"/>
      </w:pPr>
      <w:r>
        <w:rPr>
          <w:rFonts w:ascii="Courier New" w:cs="Courier New" w:eastAsia="Courier New" w:hAnsi="Courier New"/>
          <w:color w:val="333333"/>
          <w:sz w:val="18"/>
          <w:szCs w:val="18"/>
        </w:rPr>
        <w:t xml:space="preserve">  if (cached !== null) return cached</w:t>
      </w:r>
    </w:p>
    <w:p>
      <w:pPr>
        <w:shd w:fill="F0F0F0" w:val="clear"/>
        <w:spacing w:after="40" w:before="40"/>
      </w:pPr>
      <w:r>
        <w:rPr>
          <w:rFonts w:ascii="Courier New" w:cs="Courier New" w:eastAsia="Courier New" w:hAnsi="Courier New"/>
          <w:color w:val="333333"/>
          <w:sz w:val="18"/>
          <w:szCs w:val="18"/>
        </w:rPr>
        <w:t xml:space="preserve">  const result = await fn()</w:t>
      </w:r>
    </w:p>
    <w:p>
      <w:pPr>
        <w:shd w:fill="F0F0F0" w:val="clear"/>
        <w:spacing w:after="40" w:before="40"/>
      </w:pPr>
      <w:r>
        <w:rPr>
          <w:rFonts w:ascii="Courier New" w:cs="Courier New" w:eastAsia="Courier New" w:hAnsi="Courier New"/>
          <w:color w:val="333333"/>
          <w:sz w:val="18"/>
          <w:szCs w:val="18"/>
        </w:rPr>
        <w:t xml:space="preserve">  await redis.setex(key, ttl, result)</w:t>
      </w:r>
    </w:p>
    <w:p>
      <w:pPr>
        <w:shd w:fill="F0F0F0" w:val="clear"/>
        <w:spacing w:after="40" w:before="40"/>
      </w:pPr>
      <w:r>
        <w:rPr>
          <w:rFonts w:ascii="Courier New" w:cs="Courier New" w:eastAsia="Courier New" w:hAnsi="Courier New"/>
          <w:color w:val="333333"/>
          <w:sz w:val="18"/>
          <w:szCs w:val="18"/>
        </w:rPr>
        <w:t xml:space="preserve">  return result</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export async function invalidate(pattern: string) {</w:t>
      </w:r>
    </w:p>
    <w:p>
      <w:pPr>
        <w:shd w:fill="F0F0F0" w:val="clear"/>
        <w:spacing w:after="40" w:before="40"/>
      </w:pPr>
      <w:r>
        <w:rPr>
          <w:rFonts w:ascii="Courier New" w:cs="Courier New" w:eastAsia="Courier New" w:hAnsi="Courier New"/>
          <w:color w:val="333333"/>
          <w:sz w:val="18"/>
          <w:szCs w:val="18"/>
        </w:rPr>
        <w:t xml:space="preserve">  const keys = await redis.keys(pattern)</w:t>
      </w:r>
    </w:p>
    <w:p>
      <w:pPr>
        <w:shd w:fill="F0F0F0" w:val="clear"/>
        <w:spacing w:after="40" w:before="40"/>
      </w:pPr>
      <w:r>
        <w:rPr>
          <w:rFonts w:ascii="Courier New" w:cs="Courier New" w:eastAsia="Courier New" w:hAnsi="Courier New"/>
          <w:color w:val="333333"/>
          <w:sz w:val="18"/>
          <w:szCs w:val="18"/>
        </w:rPr>
        <w:t xml:space="preserve">  if (keys.length &gt; 0) await redis.del(...keys)</w:t>
      </w:r>
    </w:p>
    <w:p>
      <w:pPr>
        <w:shd w:fill="F0F0F0" w:val="clear"/>
        <w:spacing w:after="40" w:before="40"/>
      </w:pPr>
      <w:r>
        <w:rPr>
          <w:rFonts w:ascii="Courier New" w:cs="Courier New" w:eastAsia="Courier New" w:hAnsi="Courier New"/>
          <w:color w:val="333333"/>
          <w:sz w:val="18"/>
          <w:szCs w:val="18"/>
        </w:rPr>
        <w:t xml:space="preserve">}</w:t>
      </w:r>
    </w:p>
    <w:p>
      <w:pPr>
        <w:spacing w:after="60" w:before="60"/>
      </w:pPr>
    </w:p>
    <w:p>
      <w:pPr>
        <w:pStyle w:val="Heading2"/>
        <w:spacing w:after="180" w:before="360"/>
      </w:pPr>
      <w:r>
        <w:rPr>
          <w:rFonts w:ascii="Arial" w:cs="Arial" w:eastAsia="Arial" w:hAnsi="Arial"/>
          <w:b/>
          <w:bCs/>
          <w:color w:val="1B4F72"/>
          <w:sz w:val="30"/>
          <w:szCs w:val="30"/>
        </w:rPr>
        <w:t xml:space="preserve">11.3 Integration OAuth Flow</w:t>
      </w:r>
    </w:p>
    <w:p>
      <w:pPr>
        <w:pStyle w:val="Heading3"/>
        <w:spacing w:after="140" w:before="280"/>
      </w:pPr>
      <w:r>
        <w:rPr>
          <w:rFonts w:ascii="Arial" w:cs="Arial" w:eastAsia="Arial" w:hAnsi="Arial"/>
          <w:b/>
          <w:bCs/>
          <w:color w:val="1D8348"/>
          <w:sz w:val="24"/>
          <w:szCs w:val="24"/>
        </w:rPr>
        <w:t xml:space="preserve">11.3.1 Standard OAuth 2.0 Integration Pattern</w:t>
      </w:r>
    </w:p>
    <w:p>
      <w:pPr>
        <w:shd w:fill="F0F0F0" w:val="clear"/>
        <w:spacing w:after="40" w:before="40"/>
      </w:pPr>
      <w:r>
        <w:rPr>
          <w:rFonts w:ascii="Courier New" w:cs="Courier New" w:eastAsia="Courier New" w:hAnsi="Courier New"/>
          <w:color w:val="333333"/>
          <w:sz w:val="18"/>
          <w:szCs w:val="18"/>
        </w:rPr>
        <w:t xml:space="preserve">// 1. User clicks 'Connect Azure' in /dashboard/integrations</w:t>
      </w:r>
    </w:p>
    <w:p>
      <w:pPr>
        <w:shd w:fill="F0F0F0" w:val="clear"/>
        <w:spacing w:after="40" w:before="40"/>
      </w:pPr>
      <w:r>
        <w:rPr>
          <w:rFonts w:ascii="Courier New" w:cs="Courier New" w:eastAsia="Courier New" w:hAnsi="Courier New"/>
          <w:color w:val="333333"/>
          <w:sz w:val="18"/>
          <w:szCs w:val="18"/>
        </w:rPr>
        <w:t xml:space="preserve">// 2. Redirect to Azure OAuth with PKCE</w:t>
      </w:r>
    </w:p>
    <w:p>
      <w:pPr>
        <w:shd w:fill="F0F0F0" w:val="clear"/>
        <w:spacing w:after="40" w:before="40"/>
      </w:pPr>
      <w:r>
        <w:rPr>
          <w:rFonts w:ascii="Courier New" w:cs="Courier New" w:eastAsia="Courier New" w:hAnsi="Courier New"/>
          <w:color w:val="333333"/>
          <w:sz w:val="18"/>
          <w:szCs w:val="18"/>
        </w:rPr>
        <w:t xml:space="preserve">GET /api/integrations/azure/authorize</w:t>
      </w:r>
    </w:p>
    <w:p>
      <w:pPr>
        <w:shd w:fill="F0F0F0" w:val="clear"/>
        <w:spacing w:after="40" w:before="40"/>
      </w:pPr>
      <w:r>
        <w:rPr>
          <w:rFonts w:ascii="Courier New" w:cs="Courier New" w:eastAsia="Courier New" w:hAnsi="Courier New"/>
          <w:color w:val="333333"/>
          <w:sz w:val="18"/>
          <w:szCs w:val="18"/>
        </w:rPr>
        <w:t xml:space="preserve">  → generates state (stored in Redis 5min), code_verifier</w:t>
      </w:r>
    </w:p>
    <w:p>
      <w:pPr>
        <w:shd w:fill="F0F0F0" w:val="clear"/>
        <w:spacing w:after="40" w:before="40"/>
      </w:pPr>
      <w:r>
        <w:rPr>
          <w:rFonts w:ascii="Courier New" w:cs="Courier New" w:eastAsia="Courier New" w:hAnsi="Courier New"/>
          <w:color w:val="333333"/>
          <w:sz w:val="18"/>
          <w:szCs w:val="18"/>
        </w:rPr>
        <w:t xml:space="preserve">  → redirects to https://login.microsoftonline.com/common/oauth2/v2.0/authorize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3. Azure redirects back</w:t>
      </w:r>
    </w:p>
    <w:p>
      <w:pPr>
        <w:shd w:fill="F0F0F0" w:val="clear"/>
        <w:spacing w:after="40" w:before="40"/>
      </w:pPr>
      <w:r>
        <w:rPr>
          <w:rFonts w:ascii="Courier New" w:cs="Courier New" w:eastAsia="Courier New" w:hAnsi="Courier New"/>
          <w:color w:val="333333"/>
          <w:sz w:val="18"/>
          <w:szCs w:val="18"/>
        </w:rPr>
        <w:t xml:space="preserve">GET /api/integrations/azure/callback?code=XXX&amp;state=YYY</w:t>
      </w:r>
    </w:p>
    <w:p>
      <w:pPr>
        <w:shd w:fill="F0F0F0" w:val="clear"/>
        <w:spacing w:after="40" w:before="40"/>
      </w:pPr>
      <w:r>
        <w:rPr>
          <w:rFonts w:ascii="Courier New" w:cs="Courier New" w:eastAsia="Courier New" w:hAnsi="Courier New"/>
          <w:color w:val="333333"/>
          <w:sz w:val="18"/>
          <w:szCs w:val="18"/>
        </w:rPr>
        <w:t xml:space="preserve">  → verify state matches Redis</w:t>
      </w:r>
    </w:p>
    <w:p>
      <w:pPr>
        <w:shd w:fill="F0F0F0" w:val="clear"/>
        <w:spacing w:after="40" w:before="40"/>
      </w:pPr>
      <w:r>
        <w:rPr>
          <w:rFonts w:ascii="Courier New" w:cs="Courier New" w:eastAsia="Courier New" w:hAnsi="Courier New"/>
          <w:color w:val="333333"/>
          <w:sz w:val="18"/>
          <w:szCs w:val="18"/>
        </w:rPr>
        <w:t xml:space="preserve">  → exchange code for access_token + refresh_token</w:t>
      </w:r>
    </w:p>
    <w:p>
      <w:pPr>
        <w:shd w:fill="F0F0F0" w:val="clear"/>
        <w:spacing w:after="40" w:before="40"/>
      </w:pPr>
      <w:r>
        <w:rPr>
          <w:rFonts w:ascii="Courier New" w:cs="Courier New" w:eastAsia="Courier New" w:hAnsi="Courier New"/>
          <w:color w:val="333333"/>
          <w:sz w:val="18"/>
          <w:szCs w:val="18"/>
        </w:rPr>
        <w:t xml:space="preserve">  → encrypt tokens with org-specific key</w:t>
      </w:r>
    </w:p>
    <w:p>
      <w:pPr>
        <w:shd w:fill="F0F0F0" w:val="clear"/>
        <w:spacing w:after="40" w:before="40"/>
      </w:pPr>
      <w:r>
        <w:rPr>
          <w:rFonts w:ascii="Courier New" w:cs="Courier New" w:eastAsia="Courier New" w:hAnsi="Courier New"/>
          <w:color w:val="333333"/>
          <w:sz w:val="18"/>
          <w:szCs w:val="18"/>
        </w:rPr>
        <w:t xml:space="preserve">  → store in integrations table</w:t>
      </w:r>
    </w:p>
    <w:p>
      <w:pPr>
        <w:shd w:fill="F0F0F0" w:val="clear"/>
        <w:spacing w:after="40" w:before="40"/>
      </w:pPr>
      <w:r>
        <w:rPr>
          <w:rFonts w:ascii="Courier New" w:cs="Courier New" w:eastAsia="Courier New" w:hAnsi="Courier New"/>
          <w:color w:val="333333"/>
          <w:sz w:val="18"/>
          <w:szCs w:val="18"/>
        </w:rPr>
        <w:t xml:space="preserve">  → trigger first sync: inngest.send('integration/sync.requested', { integrationId })</w:t>
      </w:r>
    </w:p>
    <w:p>
      <w:pPr>
        <w:shd w:fill="F0F0F0" w:val="clear"/>
        <w:spacing w:after="40" w:before="40"/>
      </w:pPr>
      <w:r>
        <w:rPr>
          <w:rFonts w:ascii="Courier New" w:cs="Courier New" w:eastAsia="Courier New" w:hAnsi="Courier New"/>
          <w:color w:val="333333"/>
          <w:sz w:val="18"/>
          <w:szCs w:val="18"/>
        </w:rPr>
        <w:t xml:space="preserve">  → redirect to /dashboard/integrations?connected=azure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4. Token refresh (before every sync)</w:t>
      </w:r>
    </w:p>
    <w:p>
      <w:pPr>
        <w:shd w:fill="F0F0F0" w:val="clear"/>
        <w:spacing w:after="40" w:before="40"/>
      </w:pPr>
      <w:r>
        <w:rPr>
          <w:rFonts w:ascii="Courier New" w:cs="Courier New" w:eastAsia="Courier New" w:hAnsi="Courier New"/>
          <w:color w:val="333333"/>
          <w:sz w:val="18"/>
          <w:szCs w:val="18"/>
        </w:rPr>
        <w:t xml:space="preserve">  → check token expiry</w:t>
      </w:r>
    </w:p>
    <w:p>
      <w:pPr>
        <w:shd w:fill="F0F0F0" w:val="clear"/>
        <w:spacing w:after="40" w:before="40"/>
      </w:pPr>
      <w:r>
        <w:rPr>
          <w:rFonts w:ascii="Courier New" w:cs="Courier New" w:eastAsia="Courier New" w:hAnsi="Courier New"/>
          <w:color w:val="333333"/>
          <w:sz w:val="18"/>
          <w:szCs w:val="18"/>
        </w:rPr>
        <w:t xml:space="preserve">  → if &lt; 5 min remaining: refresh before sync</w:t>
      </w:r>
    </w:p>
    <w:p>
      <w:pPr>
        <w:shd w:fill="F0F0F0" w:val="clear"/>
        <w:spacing w:after="40" w:before="40"/>
      </w:pPr>
      <w:r>
        <w:rPr>
          <w:rFonts w:ascii="Courier New" w:cs="Courier New" w:eastAsia="Courier New" w:hAnsi="Courier New"/>
          <w:color w:val="333333"/>
          <w:sz w:val="18"/>
          <w:szCs w:val="18"/>
        </w:rPr>
        <w:t xml:space="preserve">  → update encrypted tokens in DB</w:t>
      </w:r>
    </w:p>
    <w:p>
      <w:pPr>
        <w:spacing w:after="60" w:before="60"/>
      </w:pPr>
    </w:p>
    <w:p>
      <w:pPr>
        <w:pStyle w:val="Heading2"/>
        <w:spacing w:after="180" w:before="360"/>
      </w:pPr>
      <w:r>
        <w:rPr>
          <w:rFonts w:ascii="Arial" w:cs="Arial" w:eastAsia="Arial" w:hAnsi="Arial"/>
          <w:b/>
          <w:bCs/>
          <w:color w:val="1B4F72"/>
          <w:sz w:val="30"/>
          <w:szCs w:val="30"/>
        </w:rPr>
        <w:t xml:space="preserve">11.4 Multi-Language Document Generation</w:t>
      </w:r>
    </w:p>
    <w:p>
      <w:pPr>
        <w:pStyle w:val="Heading3"/>
        <w:spacing w:after="140" w:before="280"/>
      </w:pPr>
      <w:r>
        <w:rPr>
          <w:rFonts w:ascii="Arial" w:cs="Arial" w:eastAsia="Arial" w:hAnsi="Arial"/>
          <w:b/>
          <w:bCs/>
          <w:color w:val="1D8348"/>
          <w:sz w:val="24"/>
          <w:szCs w:val="24"/>
        </w:rPr>
        <w:t xml:space="preserve">11.4.1 Language-Aware Claude Prompts</w:t>
      </w:r>
    </w:p>
    <w:p>
      <w:pPr>
        <w:shd w:fill="F0F0F0" w:val="clear"/>
        <w:spacing w:after="40" w:before="40"/>
      </w:pPr>
      <w:r>
        <w:rPr>
          <w:rFonts w:ascii="Courier New" w:cs="Courier New" w:eastAsia="Courier New" w:hAnsi="Courier New"/>
          <w:color w:val="333333"/>
          <w:sz w:val="18"/>
          <w:szCs w:val="18"/>
        </w:rPr>
        <w:t xml:space="preserve">// server/services/document-generator.ts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const LANGUAGE_INSTRUCTIONS: Record&lt;string, string&gt; = {</w:t>
      </w:r>
    </w:p>
    <w:p>
      <w:pPr>
        <w:shd w:fill="F0F0F0" w:val="clear"/>
        <w:spacing w:after="40" w:before="40"/>
      </w:pPr>
      <w:r>
        <w:rPr>
          <w:rFonts w:ascii="Courier New" w:cs="Courier New" w:eastAsia="Courier New" w:hAnsi="Courier New"/>
          <w:color w:val="333333"/>
          <w:sz w:val="18"/>
          <w:szCs w:val="18"/>
        </w:rPr>
        <w:t xml:space="preserve">  en: 'Write in clear, professional British English.',</w:t>
      </w:r>
    </w:p>
    <w:p>
      <w:pPr>
        <w:shd w:fill="F0F0F0" w:val="clear"/>
        <w:spacing w:after="40" w:before="40"/>
      </w:pPr>
      <w:r>
        <w:rPr>
          <w:rFonts w:ascii="Courier New" w:cs="Courier New" w:eastAsia="Courier New" w:hAnsi="Courier New"/>
          <w:color w:val="333333"/>
          <w:sz w:val="18"/>
          <w:szCs w:val="18"/>
        </w:rPr>
        <w:t xml:space="preserve">  de: 'Schreiben Sie auf Deutsch. Verwenden Sie professionelle, rechtlich korrekte Sprache.',</w:t>
      </w:r>
    </w:p>
    <w:p>
      <w:pPr>
        <w:shd w:fill="F0F0F0" w:val="clear"/>
        <w:spacing w:after="40" w:before="40"/>
      </w:pPr>
      <w:r>
        <w:rPr>
          <w:rFonts w:ascii="Courier New" w:cs="Courier New" w:eastAsia="Courier New" w:hAnsi="Courier New"/>
          <w:color w:val="333333"/>
          <w:sz w:val="18"/>
          <w:szCs w:val="18"/>
        </w:rPr>
        <w:t xml:space="preserve">  fr: 'Rédigez en français. Utilisez un langage professionnel et juridiquement correct.',</w:t>
      </w:r>
    </w:p>
    <w:p>
      <w:pPr>
        <w:shd w:fill="F0F0F0" w:val="clear"/>
        <w:spacing w:after="40" w:before="40"/>
      </w:pPr>
      <w:r>
        <w:rPr>
          <w:rFonts w:ascii="Courier New" w:cs="Courier New" w:eastAsia="Courier New" w:hAnsi="Courier New"/>
          <w:color w:val="333333"/>
          <w:sz w:val="18"/>
          <w:szCs w:val="18"/>
        </w:rPr>
        <w:t xml:space="preserve">  pl: 'Pisz po polsku. Używaj profesjonalnego, poprawnego języka prawniczego.',</w:t>
      </w:r>
    </w:p>
    <w:p>
      <w:pPr>
        <w:shd w:fill="F0F0F0" w:val="clear"/>
        <w:spacing w:after="40" w:before="40"/>
      </w:pPr>
      <w:r>
        <w:rPr>
          <w:rFonts w:ascii="Courier New" w:cs="Courier New" w:eastAsia="Courier New" w:hAnsi="Courier New"/>
          <w:color w:val="333333"/>
          <w:sz w:val="18"/>
          <w:szCs w:val="18"/>
        </w:rPr>
        <w:t xml:space="preserve">  nl: 'Schrijf in het Nederlands. Gebruik professioneel, juridisch correct taalgebruik.',</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async function generateDocument(type: DocType, org: Org, systems: AISystem[], locale: string) {</w:t>
      </w:r>
    </w:p>
    <w:p>
      <w:pPr>
        <w:shd w:fill="F0F0F0" w:val="clear"/>
        <w:spacing w:after="40" w:before="40"/>
      </w:pPr>
      <w:r>
        <w:rPr>
          <w:rFonts w:ascii="Courier New" w:cs="Courier New" w:eastAsia="Courier New" w:hAnsi="Courier New"/>
          <w:color w:val="333333"/>
          <w:sz w:val="18"/>
          <w:szCs w:val="18"/>
        </w:rPr>
        <w:t xml:space="preserve">  const langInstruction = LANGUAGE_INSTRUCTIONS[locale] ?? LANGUAGE_INSTRUCTIONS.en</w:t>
      </w:r>
    </w:p>
    <w:p>
      <w:pPr>
        <w:shd w:fill="F0F0F0" w:val="clear"/>
        <w:spacing w:after="40" w:before="40"/>
      </w:pPr>
      <w:r>
        <w:rPr>
          <w:rFonts w:ascii="Courier New" w:cs="Courier New" w:eastAsia="Courier New" w:hAnsi="Courier New"/>
          <w:color w:val="333333"/>
          <w:sz w:val="18"/>
          <w:szCs w:val="18"/>
        </w:rPr>
        <w:t xml:space="preserve">  const prompt = buildPrompt(type, org, systems, langInstruction)</w:t>
      </w:r>
    </w:p>
    <w:p>
      <w:pPr>
        <w:shd w:fill="F0F0F0" w:val="clear"/>
        <w:spacing w:after="40" w:before="40"/>
      </w:pPr>
      <w:r>
        <w:rPr>
          <w:rFonts w:ascii="Courier New" w:cs="Courier New" w:eastAsia="Courier New" w:hAnsi="Courier New"/>
          <w:color w:val="333333"/>
          <w:sz w:val="18"/>
          <w:szCs w:val="18"/>
        </w:rPr>
        <w:t xml:space="preserve">  return callClaudeAPI(prompt)</w:t>
      </w:r>
    </w:p>
    <w:p>
      <w:pPr>
        <w:shd w:fill="F0F0F0" w:val="clear"/>
        <w:spacing w:after="40" w:before="40"/>
      </w:pPr>
      <w:r>
        <w:rPr>
          <w:rFonts w:ascii="Courier New" w:cs="Courier New" w:eastAsia="Courier New" w:hAnsi="Courier New"/>
          <w:color w:val="333333"/>
          <w:sz w:val="18"/>
          <w:szCs w:val="18"/>
        </w:rPr>
        <w:t xml:space="preserve">}</w:t>
      </w:r>
    </w:p>
    <w:p>
      <w:pPr>
        <w:spacing w:after="60" w:before="60"/>
      </w:pPr>
    </w:p>
    <w:p>
      <w:pPr>
        <w:pStyle w:val="Heading2"/>
        <w:spacing w:after="180" w:before="360"/>
      </w:pPr>
      <w:r>
        <w:rPr>
          <w:rFonts w:ascii="Arial" w:cs="Arial" w:eastAsia="Arial" w:hAnsi="Arial"/>
          <w:b/>
          <w:bCs/>
          <w:color w:val="1B4F72"/>
          <w:sz w:val="30"/>
          <w:szCs w:val="30"/>
        </w:rPr>
        <w:t xml:space="preserve">11.5 Supabase Realtime — Live Dashboard Updates</w:t>
      </w:r>
    </w:p>
    <w:p>
      <w:pPr>
        <w:shd w:fill="F0F0F0" w:val="clear"/>
        <w:spacing w:after="40" w:before="40"/>
      </w:pPr>
      <w:r>
        <w:rPr>
          <w:rFonts w:ascii="Courier New" w:cs="Courier New" w:eastAsia="Courier New" w:hAnsi="Courier New"/>
          <w:color w:val="333333"/>
          <w:sz w:val="18"/>
          <w:szCs w:val="18"/>
        </w:rPr>
        <w:t xml:space="preserve">// components/dashboard/ComplianceScore.tsx</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'use client'</w:t>
      </w:r>
    </w:p>
    <w:p>
      <w:pPr>
        <w:shd w:fill="F0F0F0" w:val="clear"/>
        <w:spacing w:after="40" w:before="40"/>
      </w:pPr>
      <w:r>
        <w:rPr>
          <w:rFonts w:ascii="Courier New" w:cs="Courier New" w:eastAsia="Courier New" w:hAnsi="Courier New"/>
          <w:color w:val="333333"/>
          <w:sz w:val="18"/>
          <w:szCs w:val="18"/>
        </w:rPr>
        <w:t xml:space="preserve">import { useEffect, useState } from 'react'</w:t>
      </w:r>
    </w:p>
    <w:p>
      <w:pPr>
        <w:shd w:fill="F0F0F0" w:val="clear"/>
        <w:spacing w:after="40" w:before="40"/>
      </w:pPr>
      <w:r>
        <w:rPr>
          <w:rFonts w:ascii="Courier New" w:cs="Courier New" w:eastAsia="Courier New" w:hAnsi="Courier New"/>
          <w:color w:val="333333"/>
          <w:sz w:val="18"/>
          <w:szCs w:val="18"/>
        </w:rPr>
        <w:t xml:space="preserve">import { createClient } from '@/lib/supabase/client'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export function ComplianceScore({ orgId }: { orgId: string }) {</w:t>
      </w:r>
    </w:p>
    <w:p>
      <w:pPr>
        <w:shd w:fill="F0F0F0" w:val="clear"/>
        <w:spacing w:after="40" w:before="40"/>
      </w:pPr>
      <w:r>
        <w:rPr>
          <w:rFonts w:ascii="Courier New" w:cs="Courier New" w:eastAsia="Courier New" w:hAnsi="Courier New"/>
          <w:color w:val="333333"/>
          <w:sz w:val="18"/>
          <w:szCs w:val="18"/>
        </w:rPr>
        <w:t xml:space="preserve">  const [score, setScore] = useState&lt;number&gt;(0)</w:t>
      </w:r>
    </w:p>
    <w:p>
      <w:pPr>
        <w:shd w:fill="F0F0F0" w:val="clear"/>
        <w:spacing w:after="40" w:before="40"/>
      </w:pPr>
      <w:r>
        <w:rPr>
          <w:rFonts w:ascii="Courier New" w:cs="Courier New" w:eastAsia="Courier New" w:hAnsi="Courier New"/>
          <w:color w:val="333333"/>
          <w:sz w:val="18"/>
          <w:szCs w:val="18"/>
        </w:rPr>
        <w:t xml:space="preserve">  const supabase = createClient()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useEffect(() =&gt; {</w:t>
      </w:r>
    </w:p>
    <w:p>
      <w:pPr>
        <w:shd w:fill="F0F0F0" w:val="clear"/>
        <w:spacing w:after="40" w:before="40"/>
      </w:pPr>
      <w:r>
        <w:rPr>
          <w:rFonts w:ascii="Courier New" w:cs="Courier New" w:eastAsia="Courier New" w:hAnsi="Courier New"/>
          <w:color w:val="333333"/>
          <w:sz w:val="18"/>
          <w:szCs w:val="18"/>
        </w:rPr>
        <w:t xml:space="preserve">    // Subscribe to changes in ai_systems for this org</w:t>
      </w:r>
    </w:p>
    <w:p>
      <w:pPr>
        <w:shd w:fill="F0F0F0" w:val="clear"/>
        <w:spacing w:after="40" w:before="40"/>
      </w:pPr>
      <w:r>
        <w:rPr>
          <w:rFonts w:ascii="Courier New" w:cs="Courier New" w:eastAsia="Courier New" w:hAnsi="Courier New"/>
          <w:color w:val="333333"/>
          <w:sz w:val="18"/>
          <w:szCs w:val="18"/>
        </w:rPr>
        <w:t xml:space="preserve">    const channel = supabase</w:t>
      </w:r>
    </w:p>
    <w:p>
      <w:pPr>
        <w:shd w:fill="F0F0F0" w:val="clear"/>
        <w:spacing w:after="40" w:before="40"/>
      </w:pPr>
      <w:r>
        <w:rPr>
          <w:rFonts w:ascii="Courier New" w:cs="Courier New" w:eastAsia="Courier New" w:hAnsi="Courier New"/>
          <w:color w:val="333333"/>
          <w:sz w:val="18"/>
          <w:szCs w:val="18"/>
        </w:rPr>
        <w:t xml:space="preserve">      .channel(`org-${orgId}-systems`)</w:t>
      </w:r>
    </w:p>
    <w:p>
      <w:pPr>
        <w:shd w:fill="F0F0F0" w:val="clear"/>
        <w:spacing w:after="40" w:before="40"/>
      </w:pPr>
      <w:r>
        <w:rPr>
          <w:rFonts w:ascii="Courier New" w:cs="Courier New" w:eastAsia="Courier New" w:hAnsi="Courier New"/>
          <w:color w:val="333333"/>
          <w:sz w:val="18"/>
          <w:szCs w:val="18"/>
        </w:rPr>
        <w:t xml:space="preserve">      .on('postgres_changes', {</w:t>
      </w:r>
    </w:p>
    <w:p>
      <w:pPr>
        <w:shd w:fill="F0F0F0" w:val="clear"/>
        <w:spacing w:after="40" w:before="40"/>
      </w:pPr>
      <w:r>
        <w:rPr>
          <w:rFonts w:ascii="Courier New" w:cs="Courier New" w:eastAsia="Courier New" w:hAnsi="Courier New"/>
          <w:color w:val="333333"/>
          <w:sz w:val="18"/>
          <w:szCs w:val="18"/>
        </w:rPr>
        <w:t xml:space="preserve">        event: '*',</w:t>
      </w:r>
    </w:p>
    <w:p>
      <w:pPr>
        <w:shd w:fill="F0F0F0" w:val="clear"/>
        <w:spacing w:after="40" w:before="40"/>
      </w:pPr>
      <w:r>
        <w:rPr>
          <w:rFonts w:ascii="Courier New" w:cs="Courier New" w:eastAsia="Courier New" w:hAnsi="Courier New"/>
          <w:color w:val="333333"/>
          <w:sz w:val="18"/>
          <w:szCs w:val="18"/>
        </w:rPr>
        <w:t xml:space="preserve">        schema: 'public',</w:t>
      </w:r>
    </w:p>
    <w:p>
      <w:pPr>
        <w:shd w:fill="F0F0F0" w:val="clear"/>
        <w:spacing w:after="40" w:before="40"/>
      </w:pPr>
      <w:r>
        <w:rPr>
          <w:rFonts w:ascii="Courier New" w:cs="Courier New" w:eastAsia="Courier New" w:hAnsi="Courier New"/>
          <w:color w:val="333333"/>
          <w:sz w:val="18"/>
          <w:szCs w:val="18"/>
        </w:rPr>
        <w:t xml:space="preserve">        table: 'ai_systems',</w:t>
      </w:r>
    </w:p>
    <w:p>
      <w:pPr>
        <w:shd w:fill="F0F0F0" w:val="clear"/>
        <w:spacing w:after="40" w:before="40"/>
      </w:pPr>
      <w:r>
        <w:rPr>
          <w:rFonts w:ascii="Courier New" w:cs="Courier New" w:eastAsia="Courier New" w:hAnsi="Courier New"/>
          <w:color w:val="333333"/>
          <w:sz w:val="18"/>
          <w:szCs w:val="18"/>
        </w:rPr>
        <w:t xml:space="preserve">        filter: `organization_id=eq.${orgId}`</w:t>
      </w:r>
    </w:p>
    <w:p>
      <w:pPr>
        <w:shd w:fill="F0F0F0" w:val="clear"/>
        <w:spacing w:after="40" w:before="40"/>
      </w:pPr>
      <w:r>
        <w:rPr>
          <w:rFonts w:ascii="Courier New" w:cs="Courier New" w:eastAsia="Courier New" w:hAnsi="Courier New"/>
          <w:color w:val="333333"/>
          <w:sz w:val="18"/>
          <w:szCs w:val="18"/>
        </w:rPr>
        <w:t xml:space="preserve">      }, async () =&gt; {</w:t>
      </w:r>
    </w:p>
    <w:p>
      <w:pPr>
        <w:shd w:fill="F0F0F0" w:val="clear"/>
        <w:spacing w:after="40" w:before="40"/>
      </w:pPr>
      <w:r>
        <w:rPr>
          <w:rFonts w:ascii="Courier New" w:cs="Courier New" w:eastAsia="Courier New" w:hAnsi="Courier New"/>
          <w:color w:val="333333"/>
          <w:sz w:val="18"/>
          <w:szCs w:val="18"/>
        </w:rPr>
        <w:t xml:space="preserve">        // Recalculate score on any change</w:t>
      </w:r>
    </w:p>
    <w:p>
      <w:pPr>
        <w:shd w:fill="F0F0F0" w:val="clear"/>
        <w:spacing w:after="40" w:before="40"/>
      </w:pPr>
      <w:r>
        <w:rPr>
          <w:rFonts w:ascii="Courier New" w:cs="Courier New" w:eastAsia="Courier New" w:hAnsi="Courier New"/>
          <w:color w:val="333333"/>
          <w:sz w:val="18"/>
          <w:szCs w:val="18"/>
        </w:rPr>
        <w:t xml:space="preserve">        const newScore = await fetchComplianceScore(orgId)</w:t>
      </w:r>
    </w:p>
    <w:p>
      <w:pPr>
        <w:shd w:fill="F0F0F0" w:val="clear"/>
        <w:spacing w:after="40" w:before="40"/>
      </w:pPr>
      <w:r>
        <w:rPr>
          <w:rFonts w:ascii="Courier New" w:cs="Courier New" w:eastAsia="Courier New" w:hAnsi="Courier New"/>
          <w:color w:val="333333"/>
          <w:sz w:val="18"/>
          <w:szCs w:val="18"/>
        </w:rPr>
        <w:t xml:space="preserve">        setScore(newScore)</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      .subscribe()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return () =&gt; { supabase.removeChannel(channel) }</w:t>
      </w:r>
    </w:p>
    <w:p>
      <w:pPr>
        <w:shd w:fill="F0F0F0" w:val="clear"/>
        <w:spacing w:after="40" w:before="40"/>
      </w:pPr>
      <w:r>
        <w:rPr>
          <w:rFonts w:ascii="Courier New" w:cs="Courier New" w:eastAsia="Courier New" w:hAnsi="Courier New"/>
          <w:color w:val="333333"/>
          <w:sz w:val="18"/>
          <w:szCs w:val="18"/>
        </w:rPr>
        <w:t xml:space="preserve">  }, [orgId])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return &lt;ScoreGauge value={score} /&gt;</w:t>
      </w:r>
    </w:p>
    <w:p>
      <w:pPr>
        <w:shd w:fill="F0F0F0" w:val="clear"/>
        <w:spacing w:after="40" w:before="40"/>
      </w:pPr>
      <w:r>
        <w:rPr>
          <w:rFonts w:ascii="Courier New" w:cs="Courier New" w:eastAsia="Courier New" w:hAnsi="Courier New"/>
          <w:color w:val="333333"/>
          <w:sz w:val="18"/>
          <w:szCs w:val="18"/>
        </w:rPr>
        <w:t xml:space="preserve">}</w:t>
      </w:r>
    </w:p>
    <w:p>
      <w:pPr>
        <w:spacing w:after="60" w:before="60"/>
      </w:pPr>
    </w:p>
    <w:p>
      <w:pPr>
        <w:pStyle w:val="Heading2"/>
        <w:spacing w:after="180" w:before="360"/>
      </w:pPr>
      <w:r>
        <w:rPr>
          <w:rFonts w:ascii="Arial" w:cs="Arial" w:eastAsia="Arial" w:hAnsi="Arial"/>
          <w:b/>
          <w:bCs/>
          <w:color w:val="1B4F72"/>
          <w:sz w:val="30"/>
          <w:szCs w:val="30"/>
        </w:rPr>
        <w:t xml:space="preserve">11.6 Testing Strategy — Phase 2</w:t>
      </w:r>
    </w:p>
    <w:p>
      <w:pPr>
        <w:pStyle w:val="Heading3"/>
        <w:spacing w:after="140" w:before="280"/>
      </w:pPr>
      <w:r>
        <w:rPr>
          <w:rFonts w:ascii="Arial" w:cs="Arial" w:eastAsia="Arial" w:hAnsi="Arial"/>
          <w:b/>
          <w:bCs/>
          <w:color w:val="1D8348"/>
          <w:sz w:val="24"/>
          <w:szCs w:val="24"/>
        </w:rPr>
        <w:t xml:space="preserve">11.6.1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Test Type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Coverage Target</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to Test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Unit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80%+ of business logic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Risk classifier, compliance score calculator, obligation checker, document prompt builders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 tests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Vitest + Supabase local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60%+ of API endpoints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tRPC procedures with real DB, RLS policy validation, Stripe webhook handlers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E2E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Playwright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Critical user flows only (10–15 tests)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Signup → onboarding, add system, generate doc, Trust Page visible, Stripe checkout</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Visual regression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Playwright screenshots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Key pages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Catch UI regressions on Trust Page, document PDFs, badge SVG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Load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Pre-release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Concurrent user simulation, PDF generation queue, badge endpoint under load</w:t>
            </w:r>
          </w:p>
        </w:tc>
      </w:tr>
    </w:tbl>
    <w:p>
      <w:pPr>
        <w:spacing w:after="60" w:before="60"/>
      </w:pPr>
    </w:p>
    <w:p>
      <w:pPr>
        <w:pStyle w:val="Heading3"/>
        <w:spacing w:after="140" w:before="280"/>
      </w:pPr>
      <w:r>
        <w:rPr>
          <w:rFonts w:ascii="Arial" w:cs="Arial" w:eastAsia="Arial" w:hAnsi="Arial"/>
          <w:b/>
          <w:bCs/>
          <w:color w:val="1D8348"/>
          <w:sz w:val="24"/>
          <w:szCs w:val="24"/>
        </w:rPr>
        <w:t xml:space="preserve">11.6.2 Critical Test: RLS Policy Verification</w:t>
      </w:r>
    </w:p>
    <w:p>
      <w:pPr>
        <w:shd w:fill="F0F0F0" w:val="clear"/>
        <w:spacing w:after="40" w:before="40"/>
      </w:pPr>
      <w:r>
        <w:rPr>
          <w:rFonts w:ascii="Courier New" w:cs="Courier New" w:eastAsia="Courier New" w:hAnsi="Courier New"/>
          <w:color w:val="333333"/>
          <w:sz w:val="18"/>
          <w:szCs w:val="18"/>
        </w:rPr>
        <w:t xml:space="preserve">// tests/rls.test.ts — This test MUST pass before every production deploy</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test('User cannot access another org\'s AI systems', async () =&gt; {</w:t>
      </w:r>
    </w:p>
    <w:p>
      <w:pPr>
        <w:shd w:fill="F0F0F0" w:val="clear"/>
        <w:spacing w:after="40" w:before="40"/>
      </w:pPr>
      <w:r>
        <w:rPr>
          <w:rFonts w:ascii="Courier New" w:cs="Courier New" w:eastAsia="Courier New" w:hAnsi="Courier New"/>
          <w:color w:val="333333"/>
          <w:sz w:val="18"/>
          <w:szCs w:val="18"/>
        </w:rPr>
        <w:t xml:space="preserve">  const orgA = await createTestOrg()</w:t>
      </w:r>
    </w:p>
    <w:p>
      <w:pPr>
        <w:shd w:fill="F0F0F0" w:val="clear"/>
        <w:spacing w:after="40" w:before="40"/>
      </w:pPr>
      <w:r>
        <w:rPr>
          <w:rFonts w:ascii="Courier New" w:cs="Courier New" w:eastAsia="Courier New" w:hAnsi="Courier New"/>
          <w:color w:val="333333"/>
          <w:sz w:val="18"/>
          <w:szCs w:val="18"/>
        </w:rPr>
        <w:t xml:space="preserve">  const orgB = await createTestOrg()</w:t>
      </w:r>
    </w:p>
    <w:p>
      <w:pPr>
        <w:shd w:fill="F0F0F0" w:val="clear"/>
        <w:spacing w:after="40" w:before="40"/>
      </w:pPr>
      <w:r>
        <w:rPr>
          <w:rFonts w:ascii="Courier New" w:cs="Courier New" w:eastAsia="Courier New" w:hAnsi="Courier New"/>
          <w:color w:val="333333"/>
          <w:sz w:val="18"/>
          <w:szCs w:val="18"/>
        </w:rPr>
        <w:t xml:space="preserve">  const system = await createAISystem(orgA.id)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 Login as orgB user and try to read orgA's system</w:t>
      </w:r>
    </w:p>
    <w:p>
      <w:pPr>
        <w:shd w:fill="F0F0F0" w:val="clear"/>
        <w:spacing w:after="40" w:before="40"/>
      </w:pPr>
      <w:r>
        <w:rPr>
          <w:rFonts w:ascii="Courier New" w:cs="Courier New" w:eastAsia="Courier New" w:hAnsi="Courier New"/>
          <w:color w:val="333333"/>
          <w:sz w:val="18"/>
          <w:szCs w:val="18"/>
        </w:rPr>
        <w:t xml:space="preserve">  const clientB = createSupabaseClient(orgB.user.token)</w:t>
      </w:r>
    </w:p>
    <w:p>
      <w:pPr>
        <w:shd w:fill="F0F0F0" w:val="clear"/>
        <w:spacing w:after="40" w:before="40"/>
      </w:pPr>
      <w:r>
        <w:rPr>
          <w:rFonts w:ascii="Courier New" w:cs="Courier New" w:eastAsia="Courier New" w:hAnsi="Courier New"/>
          <w:color w:val="333333"/>
          <w:sz w:val="18"/>
          <w:szCs w:val="18"/>
        </w:rPr>
        <w:t xml:space="preserve">  const { data } = await clientB.from('ai_systems').select().eq('id', system.id)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expect(data).toHaveLength(0)  // RLS blocked it</w:t>
      </w:r>
    </w:p>
    <w:p>
      <w:pPr>
        <w:shd w:fill="F0F0F0" w:val="clear"/>
        <w:spacing w:after="40" w:before="40"/>
      </w:pPr>
      <w:r>
        <w:rPr>
          <w:rFonts w:ascii="Courier New" w:cs="Courier New" w:eastAsia="Courier New" w:hAnsi="Courier New"/>
          <w:color w:val="333333"/>
          <w:sz w:val="18"/>
          <w:szCs w:val="18"/>
        </w:rPr>
        <w:t xml:space="preserve">})</w:t>
      </w:r>
    </w:p>
    <w:p>
      <w:pPr>
        <w:spacing w:after="60" w:before="60"/>
      </w:pPr>
    </w:p>
    <w:p>
      <w:r>
        <w:br/>
      </w:r>
    </w:p>
    <w:p>
      <w:pPr>
        <w:pStyle w:val="Heading1"/>
        <w:spacing w:after="240" w:before="480"/>
      </w:pPr>
      <w:r>
        <w:rPr>
          <w:rFonts w:ascii="Arial" w:cs="Arial" w:eastAsia="Arial" w:hAnsi="Arial"/>
          <w:b/>
          <w:bCs/>
          <w:color w:val="1B4F72"/>
          <w:sz w:val="40"/>
          <w:szCs w:val="40"/>
        </w:rPr>
        <w:t xml:space="preserve">12. Marketing &amp; Content Strategy — Phase 2</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12.1 Content Marketing Engine</w:t>
      </w:r>
    </w:p>
    <w:p>
      <w:pPr>
        <w:pStyle w:val="Heading3"/>
        <w:spacing w:after="140" w:before="280"/>
      </w:pPr>
      <w:r>
        <w:rPr>
          <w:rFonts w:ascii="Arial" w:cs="Arial" w:eastAsia="Arial" w:hAnsi="Arial"/>
          <w:b/>
          <w:bCs/>
          <w:color w:val="1D8348"/>
          <w:sz w:val="24"/>
          <w:szCs w:val="24"/>
        </w:rPr>
        <w:t xml:space="preserve">12.1.1 Content Pillars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1600"/>
        <w:gridCol w:w="25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Pillar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 Audience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Content Types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Monthly Volume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Education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SMB owners, CTOs new to compliance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Explainer guides, FAQ pages, deadline countdown, glossary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 pieces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Enforcement Intelligence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Compliance-aware buyers, DPOs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Enforcement action summaries, case studies, regulator statements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 pieces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Practical How-Tos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Users trying to complete specific tasks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"How to write a transparency notice", "How to classify AI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pieces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Industry &amp; Sector Focus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Sector-specific buyers (fintech, healthcare)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for [sector]" deep dives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pieces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 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Existing users + product-aware buyers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Changelog, feature announcements, roadmap previews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 pieces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Spotlights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DPO community, advisors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success stories, co-authored guest posts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pieces</w:t>
            </w:r>
          </w:p>
        </w:tc>
      </w:tr>
    </w:tbl>
    <w:p>
      <w:pPr>
        <w:spacing w:after="60" w:before="60"/>
      </w:pPr>
    </w:p>
    <w:p>
      <w:pPr>
        <w:pStyle w:val="Heading3"/>
        <w:spacing w:after="140" w:before="280"/>
      </w:pPr>
      <w:r>
        <w:rPr>
          <w:rFonts w:ascii="Arial" w:cs="Arial" w:eastAsia="Arial" w:hAnsi="Arial"/>
          <w:b/>
          <w:bCs/>
          <w:color w:val="1D8348"/>
          <w:sz w:val="24"/>
          <w:szCs w:val="24"/>
        </w:rPr>
        <w:t xml:space="preserve">12.1.2 Free Tools — Lead Magnet Strategy</w:t>
      </w:r>
    </w:p>
    <w:p>
      <w:pPr>
        <w:spacing w:after="80" w:before="80"/>
      </w:pPr>
      <w:r>
        <w:rPr>
          <w:rFonts w:ascii="Arial" w:cs="Arial" w:eastAsia="Arial" w:hAnsi="Arial"/>
          <w:color w:val="1A1A1A"/>
          <w:sz w:val="20"/>
          <w:szCs w:val="20"/>
        </w:rPr>
        <w:t xml:space="preserve">Free interactive tools capture email leads from organic search and convert at 3–8x better than static blog posts. Phase 2 builds 5 free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6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 Keyword</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Lead Capture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Risk Classifier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actprove.com/tools/risk-classifier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risk level checker"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After result: email for full report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Compliance Score Calculator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actprove.com/tools/compliance-score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compliance checklist"</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After score: email for personalized action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Deadline Calculator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actprove.com/tools/deadline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deadline countdown"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Subscribe to deadline alerts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Transparency Notice Generator (basic)</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actprove.com/tools/transparency-notice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transparency notice template"</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Basic free version, full in ActProve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Vendor AI Compliance Checker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actprove.com/tools/vendor-check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 [AI tool] EU AI Act compliant?"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Database of 500+ tools with compliance status</w:t>
            </w:r>
          </w:p>
        </w:tc>
      </w:tr>
    </w:tbl>
    <w:p>
      <w:pPr>
        <w:spacing w:after="60" w:before="60"/>
      </w:pPr>
    </w:p>
    <w:p>
      <w:pPr>
        <w:pStyle w:val="Heading2"/>
        <w:spacing w:after="180" w:before="360"/>
      </w:pPr>
      <w:r>
        <w:rPr>
          <w:rFonts w:ascii="Arial" w:cs="Arial" w:eastAsia="Arial" w:hAnsi="Arial"/>
          <w:b/>
          <w:bCs/>
          <w:color w:val="1B4F72"/>
          <w:sz w:val="30"/>
          <w:szCs w:val="30"/>
        </w:rPr>
        <w:t xml:space="preserve">12.2 LinkedIn Strategy</w:t>
      </w:r>
    </w:p>
    <w:p>
      <w:pPr>
        <w:pStyle w:val="Heading3"/>
        <w:spacing w:after="140" w:before="280"/>
      </w:pPr>
      <w:r>
        <w:rPr>
          <w:rFonts w:ascii="Arial" w:cs="Arial" w:eastAsia="Arial" w:hAnsi="Arial"/>
          <w:b/>
          <w:bCs/>
          <w:color w:val="1D8348"/>
          <w:sz w:val="24"/>
          <w:szCs w:val="24"/>
        </w:rPr>
        <w:t xml:space="preserve">12.2.1 Founder Personal Brand</w:t>
      </w:r>
    </w:p>
    <w:p>
      <w:pPr>
        <w:spacing w:after="80" w:before="80"/>
      </w:pPr>
      <w:r>
        <w:rPr>
          <w:rFonts w:ascii="Arial" w:cs="Arial" w:eastAsia="Arial" w:hAnsi="Arial"/>
          <w:color w:val="1A1A1A"/>
          <w:sz w:val="20"/>
          <w:szCs w:val="20"/>
        </w:rPr>
        <w:t xml:space="preserve">In B2B SaaS, the founder's personal LinkedIn is often more powerful than the company page. Phase 2 LinkedIn strategy for the ActProve founder:</w:t>
      </w:r>
    </w:p>
    <w:p>
      <w:pPr>
        <w:pStyle w:val="ListParagraph"/>
        <w:numPr>
          <w:ilvl w:val="0"/>
          <w:numId w:val="2"/>
        </w:numPr>
        <w:spacing w:after="40" w:before="40"/>
      </w:pPr>
      <w:r>
        <w:rPr>
          <w:rFonts w:ascii="Arial" w:cs="Arial" w:eastAsia="Arial" w:hAnsi="Arial"/>
          <w:color w:val="1A1A1A"/>
          <w:sz w:val="20"/>
          <w:szCs w:val="20"/>
        </w:rPr>
        <w:t xml:space="preserve">4 posts per week from personal account: 2 EU AI Act education, 1 ActProve update, 1 opinion/insight</w:t>
      </w:r>
    </w:p>
    <w:p>
      <w:pPr>
        <w:pStyle w:val="ListParagraph"/>
        <w:numPr>
          <w:ilvl w:val="0"/>
          <w:numId w:val="2"/>
        </w:numPr>
        <w:spacing w:after="40" w:before="40"/>
      </w:pPr>
      <w:r>
        <w:rPr>
          <w:rFonts w:ascii="Arial" w:cs="Arial" w:eastAsia="Arial" w:hAnsi="Arial"/>
          <w:color w:val="1A1A1A"/>
          <w:sz w:val="20"/>
          <w:szCs w:val="20"/>
        </w:rPr>
        <w:t xml:space="preserve">Engage in EU AI Act discussion threads: target DPOs, privacy lawyers, CTOs actively discussing the topic</w:t>
      </w:r>
    </w:p>
    <w:p>
      <w:pPr>
        <w:pStyle w:val="ListParagraph"/>
        <w:numPr>
          <w:ilvl w:val="0"/>
          <w:numId w:val="2"/>
        </w:numPr>
        <w:spacing w:after="40" w:before="40"/>
      </w:pPr>
      <w:r>
        <w:rPr>
          <w:rFonts w:ascii="Arial" w:cs="Arial" w:eastAsia="Arial" w:hAnsi="Arial"/>
          <w:color w:val="1A1A1A"/>
          <w:sz w:val="20"/>
          <w:szCs w:val="20"/>
        </w:rPr>
        <w:t xml:space="preserve">LinkedIn Newsletter: "EU AI Act Weekly" — 2,000+ subscribers by Month 6. Each issue: top update of the week + practical tip + ActProve link</w:t>
      </w:r>
    </w:p>
    <w:p>
      <w:pPr>
        <w:pStyle w:val="ListParagraph"/>
        <w:numPr>
          <w:ilvl w:val="0"/>
          <w:numId w:val="2"/>
        </w:numPr>
        <w:spacing w:after="40" w:before="40"/>
      </w:pPr>
      <w:r>
        <w:rPr>
          <w:rFonts w:ascii="Arial" w:cs="Arial" w:eastAsia="Arial" w:hAnsi="Arial"/>
          <w:color w:val="1A1A1A"/>
          <w:sz w:val="20"/>
          <w:szCs w:val="20"/>
        </w:rPr>
        <w:t xml:space="preserve">LinkedIn Live: monthly 30-minute 'EU AI Act Office Hours' — answer compliance questions live. Recorded for YouTube</w:t>
      </w:r>
    </w:p>
    <w:p>
      <w:pPr>
        <w:pStyle w:val="ListParagraph"/>
        <w:numPr>
          <w:ilvl w:val="0"/>
          <w:numId w:val="2"/>
        </w:numPr>
        <w:spacing w:after="40" w:before="40"/>
      </w:pPr>
      <w:r>
        <w:rPr>
          <w:rFonts w:ascii="Arial" w:cs="Arial" w:eastAsia="Arial" w:hAnsi="Arial"/>
          <w:color w:val="1A1A1A"/>
          <w:sz w:val="20"/>
          <w:szCs w:val="20"/>
        </w:rPr>
        <w:t xml:space="preserve">Comment strategy: comment thoughtfully on posts by enforcement authority accounts, EU Commission, CNIL, BfDI — high visibility in target audience</w:t>
      </w:r>
    </w:p>
    <w:p>
      <w:pPr>
        <w:spacing w:after="60" w:before="60"/>
      </w:pPr>
    </w:p>
    <w:p>
      <w:pPr>
        <w:pStyle w:val="Heading3"/>
        <w:spacing w:after="140" w:before="280"/>
      </w:pPr>
      <w:r>
        <w:rPr>
          <w:rFonts w:ascii="Arial" w:cs="Arial" w:eastAsia="Arial" w:hAnsi="Arial"/>
          <w:b/>
          <w:bCs/>
          <w:color w:val="1D8348"/>
          <w:sz w:val="24"/>
          <w:szCs w:val="24"/>
        </w:rPr>
        <w:t xml:space="preserve">12.2.2 Company Page Strategy</w:t>
      </w:r>
    </w:p>
    <w:p>
      <w:pPr>
        <w:pStyle w:val="ListParagraph"/>
        <w:numPr>
          <w:ilvl w:val="0"/>
          <w:numId w:val="2"/>
        </w:numPr>
        <w:spacing w:after="40" w:before="40"/>
      </w:pPr>
      <w:r>
        <w:rPr>
          <w:rFonts w:ascii="Arial" w:cs="Arial" w:eastAsia="Arial" w:hAnsi="Arial"/>
          <w:color w:val="1A1A1A"/>
          <w:sz w:val="20"/>
          <w:szCs w:val="20"/>
        </w:rPr>
        <w:t xml:space="preserve">Share blog posts, tool launches, customer stories</w:t>
      </w:r>
    </w:p>
    <w:p>
      <w:pPr>
        <w:pStyle w:val="ListParagraph"/>
        <w:numPr>
          <w:ilvl w:val="0"/>
          <w:numId w:val="2"/>
        </w:numPr>
        <w:spacing w:after="40" w:before="40"/>
      </w:pPr>
      <w:r>
        <w:rPr>
          <w:rFonts w:ascii="Arial" w:cs="Arial" w:eastAsia="Arial" w:hAnsi="Arial"/>
          <w:color w:val="1A1A1A"/>
          <w:sz w:val="20"/>
          <w:szCs w:val="20"/>
        </w:rPr>
        <w:t xml:space="preserve">LinkedIn Lead Gen Forms: use for 'Download EU AI Act compliance checklist' lead magnet</w:t>
      </w:r>
    </w:p>
    <w:p>
      <w:pPr>
        <w:pStyle w:val="ListParagraph"/>
        <w:numPr>
          <w:ilvl w:val="0"/>
          <w:numId w:val="2"/>
        </w:numPr>
        <w:spacing w:after="40" w:before="40"/>
      </w:pPr>
      <w:r>
        <w:rPr>
          <w:rFonts w:ascii="Arial" w:cs="Arial" w:eastAsia="Arial" w:hAnsi="Arial"/>
          <w:color w:val="1A1A1A"/>
          <w:sz w:val="20"/>
          <w:szCs w:val="20"/>
        </w:rPr>
        <w:t xml:space="preserve">Sponsored posts: $500–1000/month targeting CTOs and DPOs in DE, NL, PL, FR with 'August 2026 deadline' urgency</w:t>
      </w:r>
    </w:p>
    <w:p>
      <w:pPr>
        <w:spacing w:after="60" w:before="60"/>
      </w:pPr>
    </w:p>
    <w:p>
      <w:pPr>
        <w:pStyle w:val="Heading2"/>
        <w:spacing w:after="180" w:before="360"/>
      </w:pPr>
      <w:r>
        <w:rPr>
          <w:rFonts w:ascii="Arial" w:cs="Arial" w:eastAsia="Arial" w:hAnsi="Arial"/>
          <w:b/>
          <w:bCs/>
          <w:color w:val="1B4F72"/>
          <w:sz w:val="30"/>
          <w:szCs w:val="30"/>
        </w:rPr>
        <w:t xml:space="preserve">12.3 Product Hunt Launch Strategy</w:t>
      </w:r>
    </w:p>
    <w:p>
      <w:pPr>
        <w:pStyle w:val="Heading3"/>
        <w:spacing w:after="140" w:before="280"/>
      </w:pPr>
      <w:r>
        <w:rPr>
          <w:rFonts w:ascii="Arial" w:cs="Arial" w:eastAsia="Arial" w:hAnsi="Arial"/>
          <w:b/>
          <w:bCs/>
          <w:color w:val="1D8348"/>
          <w:sz w:val="24"/>
          <w:szCs w:val="24"/>
        </w:rPr>
        <w:t xml:space="preserve">12.3.1 Two Launch Strategy</w:t>
      </w:r>
    </w:p>
    <w:p>
      <w:pPr>
        <w:spacing w:after="80" w:before="80"/>
      </w:pPr>
      <w:r>
        <w:rPr>
          <w:rFonts w:ascii="Arial" w:cs="Arial" w:eastAsia="Arial" w:hAnsi="Arial"/>
          <w:color w:val="1A1A1A"/>
          <w:sz w:val="20"/>
          <w:szCs w:val="20"/>
        </w:rPr>
        <w:t xml:space="preserve">Phase 2 warrants a second Product Hunt launch — this time with major feature improvements and a larger existing community to drive upvotes.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39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Launch</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Hook</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Preparation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1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Immediately after MVP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compliance for SMBs — 14-day deadline sprint"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Build hunter list, prep assets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Phase 2 Launch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6 of Phase 2</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"ActProve 2.0 — Multi-regulation compliance hub for EU businesses (ISO 42001 + NIS2 added)"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Leverage existing user base for votes, partner support, major feature reveal</w:t>
            </w:r>
          </w:p>
        </w:tc>
      </w:tr>
    </w:tbl>
    <w:p>
      <w:pPr>
        <w:spacing w:after="60" w:before="60"/>
      </w:pPr>
    </w:p>
    <w:p>
      <w:pPr>
        <w:pStyle w:val="Heading2"/>
        <w:spacing w:after="180" w:before="360"/>
      </w:pPr>
      <w:r>
        <w:rPr>
          <w:rFonts w:ascii="Arial" w:cs="Arial" w:eastAsia="Arial" w:hAnsi="Arial"/>
          <w:b/>
          <w:bCs/>
          <w:color w:val="1B4F72"/>
          <w:sz w:val="30"/>
          <w:szCs w:val="30"/>
        </w:rPr>
        <w:t xml:space="preserve">12.4 Email Marketing Lifecycle</w:t>
      </w:r>
    </w:p>
    <w:p>
      <w:pPr>
        <w:pStyle w:val="Heading3"/>
        <w:spacing w:after="140" w:before="280"/>
      </w:pPr>
      <w:r>
        <w:rPr>
          <w:rFonts w:ascii="Arial" w:cs="Arial" w:eastAsia="Arial" w:hAnsi="Arial"/>
          <w:b/>
          <w:bCs/>
          <w:color w:val="1D8348"/>
          <w:sz w:val="24"/>
          <w:szCs w:val="24"/>
        </w:rPr>
        <w:t xml:space="preserve">12.4.1 Prospect Sequences (pre-signup)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Emails in Sequence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Goal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Downloads free checklist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 emails over 14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Convert to trial signup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Uses free compliance tool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 emails over 7 days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Convert to trial signup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Visits pricing page (tracked)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emails over 5 days (if email known)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Convert to trial signup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Abandons signup form</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 email within 1 hour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Complete signup</w:t>
            </w:r>
          </w:p>
        </w:tc>
      </w:tr>
    </w:tbl>
    <w:p>
      <w:pPr>
        <w:spacing w:after="60" w:before="60"/>
      </w:pPr>
    </w:p>
    <w:p>
      <w:pPr>
        <w:pStyle w:val="Heading3"/>
        <w:spacing w:after="140" w:before="280"/>
      </w:pPr>
      <w:r>
        <w:rPr>
          <w:rFonts w:ascii="Arial" w:cs="Arial" w:eastAsia="Arial" w:hAnsi="Arial"/>
          <w:b/>
          <w:bCs/>
          <w:color w:val="1D8348"/>
          <w:sz w:val="24"/>
          <w:szCs w:val="24"/>
        </w:rPr>
        <w:t xml:space="preserve">12.4.2 Customer Lifecycle Emails (post-signup)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35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Emails</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Goal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Activation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Day 0–7 of trial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emails (daily first week)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5+ systems, generate 1 doc</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Engagement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Day 8–14 of trial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 emails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Create Trust Page, invite team member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Day 12–14 (trial 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emails (urgency sequence)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Enter payment before trial ends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Onboarding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1 (paid)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 emails (weekly)</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Complete compliance score &gt; 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Expansion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Monthly digest + specific triggers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frameworks, upgrade plan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Retention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3, 6, 12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Success review emails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Prevent churn, identify expansion</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13. Team Building &amp; Hiring Plan</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13.1 Phase 2 Team Structure</w:t>
      </w:r>
    </w:p>
    <w:p>
      <w:pPr>
        <w:spacing w:after="80" w:before="80"/>
      </w:pPr>
      <w:r>
        <w:rPr>
          <w:rFonts w:ascii="Arial" w:cs="Arial" w:eastAsia="Arial" w:hAnsi="Arial"/>
          <w:color w:val="1A1A1A"/>
          <w:sz w:val="20"/>
          <w:szCs w:val="20"/>
        </w:rPr>
        <w:t xml:space="preserve">Phase 2 grows from 1 (solo founder) to 4–5 people by Month 18. Each hire is made when there is clear evidence that this role will accelerate growth more than any other investment.</w:t>
      </w:r>
    </w:p>
    <w:p>
      <w:pPr>
        <w:spacing w:after="60" w:before="60"/>
      </w:pPr>
    </w:p>
    <w:p>
      <w:pPr>
        <w:pStyle w:val="Heading2"/>
        <w:spacing w:after="180" w:before="360"/>
      </w:pPr>
      <w:r>
        <w:rPr>
          <w:rFonts w:ascii="Arial" w:cs="Arial" w:eastAsia="Arial" w:hAnsi="Arial"/>
          <w:b/>
          <w:bCs/>
          <w:color w:val="1B4F72"/>
          <w:sz w:val="30"/>
          <w:szCs w:val="30"/>
        </w:rPr>
        <w:t xml:space="preserve">13.2 Hiring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1600"/>
        <w:gridCol w:w="316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Salary/Rate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Trigger for Hiring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Customer Success / Growth (first hire)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Part-time contractor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$2,500–3,500/mo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customers, support taking &gt; 10h/week of founder time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9–10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Domain Expert (Part-time advisor)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Monthly retainer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$1,000–1,500/mo</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Enterprise sales require credibility. Product questions need expert validation.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Full-stack 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Full-time or senior contractor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$4,000–6,000/mo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Integration roadmap and Phase 2 features need dedicated engineering bandwidth</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13–14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Growth / Partnerships Manager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Part-time (20h/week)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$2,500–3,500/mo</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program ready to scale — needs dedicated relationship manager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Month 15–16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Content / SEO Specialist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Part-time contractor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$2,000–3,000/mo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Content is proven channel — needs dedicated person to scale output</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Month 17–18</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Second Developer or First Sales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Full-time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$4,500–6,000/mo</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Decision point: more product or more sales? Driven by bottleneck at that point</w:t>
            </w:r>
          </w:p>
        </w:tc>
      </w:tr>
    </w:tbl>
    <w:p>
      <w:pPr>
        <w:spacing w:after="60" w:before="60"/>
      </w:pPr>
    </w:p>
    <w:p>
      <w:pPr>
        <w:pStyle w:val="Heading2"/>
        <w:spacing w:after="180" w:before="360"/>
      </w:pPr>
      <w:r>
        <w:rPr>
          <w:rFonts w:ascii="Arial" w:cs="Arial" w:eastAsia="Arial" w:hAnsi="Arial"/>
          <w:b/>
          <w:bCs/>
          <w:color w:val="1B4F72"/>
          <w:sz w:val="30"/>
          <w:szCs w:val="30"/>
        </w:rPr>
        <w:t xml:space="preserve">13.3 First Hire Profile — Customer Success / Growth</w:t>
      </w:r>
    </w:p>
    <w:p>
      <w:pPr>
        <w:pStyle w:val="Heading3"/>
        <w:spacing w:after="140" w:before="280"/>
      </w:pPr>
      <w:r>
        <w:rPr>
          <w:rFonts w:ascii="Arial" w:cs="Arial" w:eastAsia="Arial" w:hAnsi="Arial"/>
          <w:b/>
          <w:bCs/>
          <w:color w:val="1D8348"/>
          <w:sz w:val="24"/>
          <w:szCs w:val="24"/>
        </w:rPr>
        <w:t xml:space="preserve">13.3.1 Why This Role First</w:t>
      </w:r>
    </w:p>
    <w:p>
      <w:pPr>
        <w:spacing w:after="80" w:before="80"/>
      </w:pPr>
      <w:r>
        <w:rPr>
          <w:rFonts w:ascii="Arial" w:cs="Arial" w:eastAsia="Arial" w:hAnsi="Arial"/>
          <w:color w:val="1A1A1A"/>
          <w:sz w:val="20"/>
          <w:szCs w:val="20"/>
        </w:rPr>
        <w:t xml:space="preserve">The biggest risk in Phase 2 is churn. A CS/Growth person: reduces churn by ensuring users actually use the product, identifies expansion opportunities, handles support tickets freeing founder for product and sales, and runs email marketing sequences.</w:t>
      </w:r>
    </w:p>
    <w:p>
      <w:pPr>
        <w:spacing w:after="60" w:before="60"/>
      </w:pPr>
    </w:p>
    <w:p>
      <w:pPr>
        <w:pStyle w:val="Heading3"/>
        <w:spacing w:after="140" w:before="280"/>
      </w:pPr>
      <w:r>
        <w:rPr>
          <w:rFonts w:ascii="Arial" w:cs="Arial" w:eastAsia="Arial" w:hAnsi="Arial"/>
          <w:b/>
          <w:bCs/>
          <w:color w:val="1D8348"/>
          <w:sz w:val="24"/>
          <w:szCs w:val="24"/>
        </w:rPr>
        <w:t xml:space="preserve">13.3.2 Role Responsibilities</w:t>
      </w:r>
    </w:p>
    <w:p>
      <w:pPr>
        <w:pStyle w:val="ListParagraph"/>
        <w:numPr>
          <w:ilvl w:val="0"/>
          <w:numId w:val="2"/>
        </w:numPr>
        <w:spacing w:after="40" w:before="40"/>
      </w:pPr>
      <w:r>
        <w:rPr>
          <w:rFonts w:ascii="Arial" w:cs="Arial" w:eastAsia="Arial" w:hAnsi="Arial"/>
          <w:color w:val="1A1A1A"/>
          <w:sz w:val="20"/>
          <w:szCs w:val="20"/>
        </w:rPr>
        <w:t xml:space="preserve">Onboarding calls: 30-minute call with every new Growth/Team customer in first week</w:t>
      </w:r>
    </w:p>
    <w:p>
      <w:pPr>
        <w:pStyle w:val="ListParagraph"/>
        <w:numPr>
          <w:ilvl w:val="0"/>
          <w:numId w:val="2"/>
        </w:numPr>
        <w:spacing w:after="40" w:before="40"/>
      </w:pPr>
      <w:r>
        <w:rPr>
          <w:rFonts w:ascii="Arial" w:cs="Arial" w:eastAsia="Arial" w:hAnsi="Arial"/>
          <w:color w:val="1A1A1A"/>
          <w:sz w:val="20"/>
          <w:szCs w:val="20"/>
        </w:rPr>
        <w:t xml:space="preserve">Email sequences: manage lifecycle email strategy in Loops.so</w:t>
      </w:r>
    </w:p>
    <w:p>
      <w:pPr>
        <w:pStyle w:val="ListParagraph"/>
        <w:numPr>
          <w:ilvl w:val="0"/>
          <w:numId w:val="2"/>
        </w:numPr>
        <w:spacing w:after="40" w:before="40"/>
      </w:pPr>
      <w:r>
        <w:rPr>
          <w:rFonts w:ascii="Arial" w:cs="Arial" w:eastAsia="Arial" w:hAnsi="Arial"/>
          <w:color w:val="1A1A1A"/>
          <w:sz w:val="20"/>
          <w:szCs w:val="20"/>
        </w:rPr>
        <w:t xml:space="preserve">Support: handle customer questions via email/chat (&lt; 8 hour response time)</w:t>
      </w:r>
    </w:p>
    <w:p>
      <w:pPr>
        <w:pStyle w:val="ListParagraph"/>
        <w:numPr>
          <w:ilvl w:val="0"/>
          <w:numId w:val="2"/>
        </w:numPr>
        <w:spacing w:after="40" w:before="40"/>
      </w:pPr>
      <w:r>
        <w:rPr>
          <w:rFonts w:ascii="Arial" w:cs="Arial" w:eastAsia="Arial" w:hAnsi="Arial"/>
          <w:color w:val="1A1A1A"/>
          <w:sz w:val="20"/>
          <w:szCs w:val="20"/>
        </w:rPr>
        <w:t xml:space="preserve">Product feedback: synthesize customer feedback → product requirements</w:t>
      </w:r>
    </w:p>
    <w:p>
      <w:pPr>
        <w:pStyle w:val="ListParagraph"/>
        <w:numPr>
          <w:ilvl w:val="0"/>
          <w:numId w:val="2"/>
        </w:numPr>
        <w:spacing w:after="40" w:before="40"/>
      </w:pPr>
      <w:r>
        <w:rPr>
          <w:rFonts w:ascii="Arial" w:cs="Arial" w:eastAsia="Arial" w:hAnsi="Arial"/>
          <w:color w:val="1A1A1A"/>
          <w:sz w:val="20"/>
          <w:szCs w:val="20"/>
        </w:rPr>
        <w:t xml:space="preserve">Case studies: interview happy customers, write case studies</w:t>
      </w:r>
    </w:p>
    <w:p>
      <w:pPr>
        <w:pStyle w:val="ListParagraph"/>
        <w:numPr>
          <w:ilvl w:val="0"/>
          <w:numId w:val="2"/>
        </w:numPr>
        <w:spacing w:after="40" w:before="40"/>
      </w:pPr>
      <w:r>
        <w:rPr>
          <w:rFonts w:ascii="Arial" w:cs="Arial" w:eastAsia="Arial" w:hAnsi="Arial"/>
          <w:color w:val="1A1A1A"/>
          <w:sz w:val="20"/>
          <w:szCs w:val="20"/>
        </w:rPr>
        <w:t xml:space="preserve">Partner onboarding: support new partners in getting their first customers</w:t>
      </w:r>
    </w:p>
    <w:p>
      <w:pPr>
        <w:spacing w:after="60" w:before="60"/>
      </w:pPr>
    </w:p>
    <w:p>
      <w:pPr>
        <w:pStyle w:val="Heading3"/>
        <w:spacing w:after="140" w:before="280"/>
      </w:pPr>
      <w:r>
        <w:rPr>
          <w:rFonts w:ascii="Arial" w:cs="Arial" w:eastAsia="Arial" w:hAnsi="Arial"/>
          <w:b/>
          <w:bCs/>
          <w:color w:val="1D8348"/>
          <w:sz w:val="24"/>
          <w:szCs w:val="24"/>
        </w:rPr>
        <w:t xml:space="preserve">13.3.3 Where to Find</w:t>
      </w:r>
    </w:p>
    <w:p>
      <w:pPr>
        <w:pStyle w:val="ListParagraph"/>
        <w:numPr>
          <w:ilvl w:val="0"/>
          <w:numId w:val="2"/>
        </w:numPr>
        <w:spacing w:after="40" w:before="40"/>
      </w:pPr>
      <w:r>
        <w:rPr>
          <w:rFonts w:ascii="Arial" w:cs="Arial" w:eastAsia="Arial" w:hAnsi="Arial"/>
          <w:color w:val="1A1A1A"/>
          <w:sz w:val="20"/>
          <w:szCs w:val="20"/>
        </w:rPr>
        <w:t xml:space="preserve">AngelList / Wellfound: filter for CS/growth at compliance or legaltech startups</w:t>
      </w:r>
    </w:p>
    <w:p>
      <w:pPr>
        <w:pStyle w:val="ListParagraph"/>
        <w:numPr>
          <w:ilvl w:val="0"/>
          <w:numId w:val="2"/>
        </w:numPr>
        <w:spacing w:after="40" w:before="40"/>
      </w:pPr>
      <w:r>
        <w:rPr>
          <w:rFonts w:ascii="Arial" w:cs="Arial" w:eastAsia="Arial" w:hAnsi="Arial"/>
          <w:color w:val="1A1A1A"/>
          <w:sz w:val="20"/>
          <w:szCs w:val="20"/>
        </w:rPr>
        <w:t xml:space="preserve">LinkedIn: search 'customer success' + 'legaltech' OR 'compliance SaaS'</w:t>
      </w:r>
    </w:p>
    <w:p>
      <w:pPr>
        <w:pStyle w:val="ListParagraph"/>
        <w:numPr>
          <w:ilvl w:val="0"/>
          <w:numId w:val="2"/>
        </w:numPr>
        <w:spacing w:after="40" w:before="40"/>
      </w:pPr>
      <w:r>
        <w:rPr>
          <w:rFonts w:ascii="Arial" w:cs="Arial" w:eastAsia="Arial" w:hAnsi="Arial"/>
          <w:color w:val="1A1A1A"/>
          <w:sz w:val="20"/>
          <w:szCs w:val="20"/>
        </w:rPr>
        <w:t xml:space="preserve">European startup communities: Sifted, tech.eu, local startup Slack groups</w:t>
      </w:r>
    </w:p>
    <w:p>
      <w:pPr>
        <w:pStyle w:val="ListParagraph"/>
        <w:numPr>
          <w:ilvl w:val="0"/>
          <w:numId w:val="2"/>
        </w:numPr>
        <w:spacing w:after="40" w:before="40"/>
      </w:pPr>
      <w:r>
        <w:rPr>
          <w:rFonts w:ascii="Arial" w:cs="Arial" w:eastAsia="Arial" w:hAnsi="Arial"/>
          <w:color w:val="1A1A1A"/>
          <w:sz w:val="20"/>
          <w:szCs w:val="20"/>
        </w:rPr>
        <w:t xml:space="preserve">EU AI Act adjacent communities: DPO networks, privacy professionals who understand the domain</w:t>
      </w:r>
    </w:p>
    <w:p>
      <w:pPr>
        <w:spacing w:after="60" w:before="60"/>
      </w:pPr>
    </w:p>
    <w:p>
      <w:pPr>
        <w:pStyle w:val="Heading2"/>
        <w:spacing w:after="180" w:before="360"/>
      </w:pPr>
      <w:r>
        <w:rPr>
          <w:rFonts w:ascii="Arial" w:cs="Arial" w:eastAsia="Arial" w:hAnsi="Arial"/>
          <w:b/>
          <w:bCs/>
          <w:color w:val="1B4F72"/>
          <w:sz w:val="30"/>
          <w:szCs w:val="30"/>
        </w:rPr>
        <w:t xml:space="preserve">13.4 Advisory Board</w:t>
      </w:r>
    </w:p>
    <w:p>
      <w:pPr>
        <w:pStyle w:val="Heading3"/>
        <w:spacing w:after="140" w:before="280"/>
      </w:pPr>
      <w:r>
        <w:rPr>
          <w:rFonts w:ascii="Arial" w:cs="Arial" w:eastAsia="Arial" w:hAnsi="Arial"/>
          <w:b/>
          <w:bCs/>
          <w:color w:val="1D8348"/>
          <w:sz w:val="24"/>
          <w:szCs w:val="24"/>
        </w:rPr>
        <w:t xml:space="preserve">13.4.1 Recommended Advisors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00"/>
        <w:gridCol w:w="32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Advisor Type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Value Add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Compensation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 to Find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legal expert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Validates classification logic, reviews generated documents, enterprise sales credibility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0.1–0.25% equity or €500–1000/month retainer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LinkedIn DPO community, law school AI ethics departments, EU Commission published experts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SaaS GTM advisor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Go-to-market strategy, pricing, sales playbook for European B2B SaaS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0.1–0.25% equity</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Founders of successful European SaaS exits, accelerator networks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European enterprise buyer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Current or former CTO/DPO at 100–500 person 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0.1% equity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Your own customer network — best advisors are customers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VC / investor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Fundraising readiness, intro network, financial modeling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0.1% equity</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European seed funds: Seedcamp, Kfund, Notion Capital, etc.</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14. Advanced Dashboard UX — Phase 2</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14.1 Dashboard Redesign Philosophy</w:t>
      </w:r>
    </w:p>
    <w:p>
      <w:pPr>
        <w:spacing w:after="80" w:before="80"/>
      </w:pPr>
      <w:r>
        <w:rPr>
          <w:rFonts w:ascii="Arial" w:cs="Arial" w:eastAsia="Arial" w:hAnsi="Arial"/>
          <w:color w:val="1A1A1A"/>
          <w:sz w:val="20"/>
          <w:szCs w:val="20"/>
        </w:rPr>
        <w:t xml:space="preserve">Phase 1 dashboard is functional. Phase 2 dashboard is motivating. The redesign applies principles from behavioral psychology: progress visibility, streak mechanics, and clear next action — making compliance feel achievable and rewarding instead of overwhelming.</w:t>
      </w:r>
    </w:p>
    <w:p>
      <w:pPr>
        <w:spacing w:after="60" w:before="60"/>
      </w:pPr>
    </w:p>
    <w:p>
      <w:pPr>
        <w:pStyle w:val="Heading2"/>
        <w:spacing w:after="180" w:before="360"/>
      </w:pPr>
      <w:r>
        <w:rPr>
          <w:rFonts w:ascii="Arial" w:cs="Arial" w:eastAsia="Arial" w:hAnsi="Arial"/>
          <w:b/>
          <w:bCs/>
          <w:color w:val="1B4F72"/>
          <w:sz w:val="30"/>
          <w:szCs w:val="30"/>
        </w:rPr>
        <w:t xml:space="preserve">14.2 Command Palette</w:t>
      </w:r>
    </w:p>
    <w:p>
      <w:pPr>
        <w:spacing w:after="80" w:before="80"/>
      </w:pPr>
      <w:r>
        <w:rPr>
          <w:rFonts w:ascii="Arial" w:cs="Arial" w:eastAsia="Arial" w:hAnsi="Arial"/>
          <w:color w:val="1A1A1A"/>
          <w:sz w:val="20"/>
          <w:szCs w:val="20"/>
        </w:rPr>
        <w:t xml:space="preserve">Global keyboard shortcut: Cmd+K (Mac) / Ctrl+K (Windows). Opens a full-screen command palette:</w:t>
      </w:r>
    </w:p>
    <w:p>
      <w:pPr>
        <w:pStyle w:val="ListParagraph"/>
        <w:numPr>
          <w:ilvl w:val="0"/>
          <w:numId w:val="2"/>
        </w:numPr>
        <w:spacing w:after="40" w:before="40"/>
      </w:pPr>
      <w:r>
        <w:rPr>
          <w:rFonts w:ascii="Arial" w:cs="Arial" w:eastAsia="Arial" w:hAnsi="Arial"/>
          <w:color w:val="1A1A1A"/>
          <w:sz w:val="20"/>
          <w:szCs w:val="20"/>
        </w:rPr>
        <w:t xml:space="preserve">Search everything: AI systems by name, documents by type, regulations by keyword</w:t>
      </w:r>
    </w:p>
    <w:p>
      <w:pPr>
        <w:pStyle w:val="ListParagraph"/>
        <w:numPr>
          <w:ilvl w:val="0"/>
          <w:numId w:val="2"/>
        </w:numPr>
        <w:spacing w:after="40" w:before="40"/>
      </w:pPr>
      <w:r>
        <w:rPr>
          <w:rFonts w:ascii="Arial" w:cs="Arial" w:eastAsia="Arial" w:hAnsi="Arial"/>
          <w:color w:val="1A1A1A"/>
          <w:sz w:val="20"/>
          <w:szCs w:val="20"/>
        </w:rPr>
        <w:t xml:space="preserve">Quick actions: "Add AI system", "Generate transparency notice", "View Trust Page", "Invite team member"</w:t>
      </w:r>
    </w:p>
    <w:p>
      <w:pPr>
        <w:pStyle w:val="ListParagraph"/>
        <w:numPr>
          <w:ilvl w:val="0"/>
          <w:numId w:val="2"/>
        </w:numPr>
        <w:spacing w:after="40" w:before="40"/>
      </w:pPr>
      <w:r>
        <w:rPr>
          <w:rFonts w:ascii="Arial" w:cs="Arial" w:eastAsia="Arial" w:hAnsi="Arial"/>
          <w:color w:val="1A1A1A"/>
          <w:sz w:val="20"/>
          <w:szCs w:val="20"/>
        </w:rPr>
        <w:t xml:space="preserve">Recent items: jump to last 5 visited AI systems or documents</w:t>
      </w:r>
    </w:p>
    <w:p>
      <w:pPr>
        <w:pStyle w:val="ListParagraph"/>
        <w:numPr>
          <w:ilvl w:val="0"/>
          <w:numId w:val="2"/>
        </w:numPr>
        <w:spacing w:after="40" w:before="40"/>
      </w:pPr>
      <w:r>
        <w:rPr>
          <w:rFonts w:ascii="Arial" w:cs="Arial" w:eastAsia="Arial" w:hAnsi="Arial"/>
          <w:color w:val="1A1A1A"/>
          <w:sz w:val="20"/>
          <w:szCs w:val="20"/>
        </w:rPr>
        <w:t xml:space="preserve">Keyboard-first: entirely navigable with keyboard, no mouse required</w:t>
      </w:r>
    </w:p>
    <w:p>
      <w:pPr>
        <w:pStyle w:val="ListParagraph"/>
        <w:numPr>
          <w:ilvl w:val="0"/>
          <w:numId w:val="2"/>
        </w:numPr>
        <w:spacing w:after="40" w:before="40"/>
      </w:pPr>
      <w:r>
        <w:rPr>
          <w:rFonts w:ascii="Arial" w:cs="Arial" w:eastAsia="Arial" w:hAnsi="Arial"/>
          <w:color w:val="1A1A1A"/>
          <w:sz w:val="20"/>
          <w:szCs w:val="20"/>
        </w:rPr>
        <w:t xml:space="preserve">Results ranked by: recency, relevance, completion status</w:t>
      </w:r>
    </w:p>
    <w:p>
      <w:pPr>
        <w:spacing w:after="60" w:before="60"/>
      </w:pPr>
    </w:p>
    <w:p>
      <w:pPr>
        <w:pStyle w:val="Heading2"/>
        <w:spacing w:after="180" w:before="360"/>
      </w:pPr>
      <w:r>
        <w:rPr>
          <w:rFonts w:ascii="Arial" w:cs="Arial" w:eastAsia="Arial" w:hAnsi="Arial"/>
          <w:b/>
          <w:bCs/>
          <w:color w:val="1B4F72"/>
          <w:sz w:val="30"/>
          <w:szCs w:val="30"/>
        </w:rPr>
        <w:t xml:space="preserve">14.3 Compliance Calendar</w:t>
      </w:r>
    </w:p>
    <w:p>
      <w:pPr>
        <w:spacing w:after="80" w:before="80"/>
      </w:pPr>
      <w:r>
        <w:rPr>
          <w:rFonts w:ascii="Arial" w:cs="Arial" w:eastAsia="Arial" w:hAnsi="Arial"/>
          <w:color w:val="1A1A1A"/>
          <w:sz w:val="20"/>
          <w:szCs w:val="20"/>
        </w:rPr>
        <w:t xml:space="preserve">Route: /dashboard/calendar — Visual calendar view of all compliance deadlines:</w:t>
      </w:r>
    </w:p>
    <w:p>
      <w:pPr>
        <w:pStyle w:val="ListParagraph"/>
        <w:numPr>
          <w:ilvl w:val="0"/>
          <w:numId w:val="2"/>
        </w:numPr>
        <w:spacing w:after="40" w:before="40"/>
      </w:pPr>
      <w:r>
        <w:rPr>
          <w:rFonts w:ascii="Arial" w:cs="Arial" w:eastAsia="Arial" w:hAnsi="Arial"/>
          <w:color w:val="1A1A1A"/>
          <w:sz w:val="20"/>
          <w:szCs w:val="20"/>
        </w:rPr>
        <w:t xml:space="preserve">Monthly/weekly calendar view showing upcoming obligation deadlines</w:t>
      </w:r>
    </w:p>
    <w:p>
      <w:pPr>
        <w:pStyle w:val="ListParagraph"/>
        <w:numPr>
          <w:ilvl w:val="0"/>
          <w:numId w:val="2"/>
        </w:numPr>
        <w:spacing w:after="40" w:before="40"/>
      </w:pPr>
      <w:r>
        <w:rPr>
          <w:rFonts w:ascii="Arial" w:cs="Arial" w:eastAsia="Arial" w:hAnsi="Arial"/>
          <w:color w:val="1A1A1A"/>
          <w:sz w:val="20"/>
          <w:szCs w:val="20"/>
        </w:rPr>
        <w:t xml:space="preserve">Color-coded: red (overdue), orange (due soon &lt; 7 days), yellow (due &lt; 30 days), green (completed)</w:t>
      </w:r>
    </w:p>
    <w:p>
      <w:pPr>
        <w:pStyle w:val="ListParagraph"/>
        <w:numPr>
          <w:ilvl w:val="0"/>
          <w:numId w:val="2"/>
        </w:numPr>
        <w:spacing w:after="40" w:before="40"/>
      </w:pPr>
      <w:r>
        <w:rPr>
          <w:rFonts w:ascii="Arial" w:cs="Arial" w:eastAsia="Arial" w:hAnsi="Arial"/>
          <w:color w:val="1A1A1A"/>
          <w:sz w:val="20"/>
          <w:szCs w:val="20"/>
        </w:rPr>
        <w:t xml:space="preserve">Click any event to jump to the relevant obligation or system</w:t>
      </w:r>
    </w:p>
    <w:p>
      <w:pPr>
        <w:pStyle w:val="ListParagraph"/>
        <w:numPr>
          <w:ilvl w:val="0"/>
          <w:numId w:val="2"/>
        </w:numPr>
        <w:spacing w:after="40" w:before="40"/>
      </w:pPr>
      <w:r>
        <w:rPr>
          <w:rFonts w:ascii="Arial" w:cs="Arial" w:eastAsia="Arial" w:hAnsi="Arial"/>
          <w:color w:val="1A1A1A"/>
          <w:sz w:val="20"/>
          <w:szCs w:val="20"/>
        </w:rPr>
        <w:t xml:space="preserve">iCal export: subscribe to compliance calendar in Google Calendar or Outlook</w:t>
      </w:r>
    </w:p>
    <w:p>
      <w:pPr>
        <w:pStyle w:val="ListParagraph"/>
        <w:numPr>
          <w:ilvl w:val="0"/>
          <w:numId w:val="2"/>
        </w:numPr>
        <w:spacing w:after="40" w:before="40"/>
      </w:pPr>
      <w:r>
        <w:rPr>
          <w:rFonts w:ascii="Arial" w:cs="Arial" w:eastAsia="Arial" w:hAnsi="Arial"/>
          <w:color w:val="1A1A1A"/>
          <w:sz w:val="20"/>
          <w:szCs w:val="20"/>
        </w:rPr>
        <w:t xml:space="preserve">Integrates with: Jira (creates Jira issues for deadlines), Linear (creates Linear tickets)</w:t>
      </w:r>
    </w:p>
    <w:p>
      <w:pPr>
        <w:spacing w:after="60" w:before="60"/>
      </w:pPr>
    </w:p>
    <w:p>
      <w:pPr>
        <w:pStyle w:val="Heading2"/>
        <w:spacing w:after="180" w:before="360"/>
      </w:pPr>
      <w:r>
        <w:rPr>
          <w:rFonts w:ascii="Arial" w:cs="Arial" w:eastAsia="Arial" w:hAnsi="Arial"/>
          <w:b/>
          <w:bCs/>
          <w:color w:val="1B4F72"/>
          <w:sz w:val="30"/>
          <w:szCs w:val="30"/>
        </w:rPr>
        <w:t xml:space="preserve">14.4 Onboarding Gamification</w:t>
      </w:r>
    </w:p>
    <w:p>
      <w:pPr>
        <w:pStyle w:val="Heading3"/>
        <w:spacing w:after="140" w:before="280"/>
      </w:pPr>
      <w:r>
        <w:rPr>
          <w:rFonts w:ascii="Arial" w:cs="Arial" w:eastAsia="Arial" w:hAnsi="Arial"/>
          <w:b/>
          <w:bCs/>
          <w:color w:val="1D8348"/>
          <w:sz w:val="24"/>
          <w:szCs w:val="24"/>
        </w:rPr>
        <w:t xml:space="preserve">14.4.1 Compliance Journey Checklist</w:t>
      </w:r>
    </w:p>
    <w:p>
      <w:pPr>
        <w:spacing w:after="80" w:before="80"/>
      </w:pPr>
      <w:r>
        <w:rPr>
          <w:rFonts w:ascii="Arial" w:cs="Arial" w:eastAsia="Arial" w:hAnsi="Arial"/>
          <w:color w:val="1A1A1A"/>
          <w:sz w:val="20"/>
          <w:szCs w:val="20"/>
        </w:rPr>
        <w:t xml:space="preserve">Shown prominently until 100%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XP Points</w:t>
            </w:r>
          </w:p>
        </w:tc>
        <w:tc>
          <w:tcPr>
            <w:tcW w:type="dxa" w:w="5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Unlocks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your first AI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Risk classification runs automatically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Complete risk classification review</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150 pts</w:t>
            </w:r>
          </w:p>
        </w:tc>
        <w:tc>
          <w:tcPr>
            <w:tcW w:type="dxa" w:w="5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Obligation checklist 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your first compliance document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 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version history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Set up your Trust Page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250 pts</w:t>
            </w:r>
          </w:p>
        </w:tc>
        <w:tc>
          <w:tcPr>
            <w:tcW w:type="dxa" w:w="5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Compliance badge embed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Invite a team member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150 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Team collaboration features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Complete AI literacy attestation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200 pts</w:t>
            </w:r>
          </w:p>
        </w:tc>
        <w:tc>
          <w:tcPr>
            <w:tcW w:type="dxa" w:w="5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Attestation document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Upload first evidence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 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Evidence vault unlocked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Add a second regulation framework</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300 pts</w:t>
            </w:r>
          </w:p>
        </w:tc>
        <w:tc>
          <w:tcPr>
            <w:tcW w:type="dxa" w:w="5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Unified compliance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Connect your first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300 pts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Auto-discovery of AI systems</w:t>
            </w:r>
          </w:p>
        </w:tc>
      </w:tr>
    </w:tbl>
    <w:p>
      <w:pPr>
        <w:spacing w:after="80" w:before="80"/>
      </w:pPr>
      <w:r>
        <w:rPr>
          <w:rFonts w:ascii="Arial" w:cs="Arial" w:eastAsia="Arial" w:hAnsi="Arial"/>
          <w:color w:val="1A1A1A"/>
          <w:sz w:val="20"/>
          <w:szCs w:val="20"/>
        </w:rPr>
        <w:t xml:space="preserve">Total XP visible on profile. Milestone badges (e.g., "EU AI Act Ready" badge when score &gt; 80%). Purely cosmetic — no discount or feature unlock — just motivation.</w:t>
      </w:r>
    </w:p>
    <w:p>
      <w:pPr>
        <w:spacing w:after="60" w:before="60"/>
      </w:pPr>
    </w:p>
    <w:p>
      <w:pPr>
        <w:pStyle w:val="Heading2"/>
        <w:spacing w:after="180" w:before="360"/>
      </w:pPr>
      <w:r>
        <w:rPr>
          <w:rFonts w:ascii="Arial" w:cs="Arial" w:eastAsia="Arial" w:hAnsi="Arial"/>
          <w:b/>
          <w:bCs/>
          <w:color w:val="1B4F72"/>
          <w:sz w:val="30"/>
          <w:szCs w:val="30"/>
        </w:rPr>
        <w:t xml:space="preserve">14.5 Obligation Kanban View</w:t>
      </w:r>
    </w:p>
    <w:p>
      <w:pPr>
        <w:spacing w:after="80" w:before="80"/>
      </w:pPr>
      <w:r>
        <w:rPr>
          <w:rFonts w:ascii="Arial" w:cs="Arial" w:eastAsia="Arial" w:hAnsi="Arial"/>
          <w:color w:val="1A1A1A"/>
          <w:sz w:val="20"/>
          <w:szCs w:val="20"/>
        </w:rPr>
        <w:t xml:space="preserve">Route: /dashboard/obligations — An alternative view of all compliance obligations as a Kanban board:</w:t>
      </w:r>
    </w:p>
    <w:p>
      <w:pPr>
        <w:pStyle w:val="ListParagraph"/>
        <w:numPr>
          <w:ilvl w:val="0"/>
          <w:numId w:val="2"/>
        </w:numPr>
        <w:spacing w:after="40" w:before="40"/>
      </w:pPr>
      <w:r>
        <w:rPr>
          <w:rFonts w:ascii="Arial" w:cs="Arial" w:eastAsia="Arial" w:hAnsi="Arial"/>
          <w:color w:val="1A1A1A"/>
          <w:sz w:val="20"/>
          <w:szCs w:val="20"/>
        </w:rPr>
        <w:t xml:space="preserve">Columns: To Do | In Progress | In Review | Complete</w:t>
      </w:r>
    </w:p>
    <w:p>
      <w:pPr>
        <w:pStyle w:val="ListParagraph"/>
        <w:numPr>
          <w:ilvl w:val="0"/>
          <w:numId w:val="2"/>
        </w:numPr>
        <w:spacing w:after="40" w:before="40"/>
      </w:pPr>
      <w:r>
        <w:rPr>
          <w:rFonts w:ascii="Arial" w:cs="Arial" w:eastAsia="Arial" w:hAnsi="Arial"/>
          <w:color w:val="1A1A1A"/>
          <w:sz w:val="20"/>
          <w:szCs w:val="20"/>
        </w:rPr>
        <w:t xml:space="preserve">Cards: obligation title, framework badge, AI system linked, assignee, due date</w:t>
      </w:r>
    </w:p>
    <w:p>
      <w:pPr>
        <w:pStyle w:val="ListParagraph"/>
        <w:numPr>
          <w:ilvl w:val="0"/>
          <w:numId w:val="2"/>
        </w:numPr>
        <w:spacing w:after="40" w:before="40"/>
      </w:pPr>
      <w:r>
        <w:rPr>
          <w:rFonts w:ascii="Arial" w:cs="Arial" w:eastAsia="Arial" w:hAnsi="Arial"/>
          <w:color w:val="1A1A1A"/>
          <w:sz w:val="20"/>
          <w:szCs w:val="20"/>
        </w:rPr>
        <w:t xml:space="preserve">Drag and drop between columns</w:t>
      </w:r>
    </w:p>
    <w:p>
      <w:pPr>
        <w:pStyle w:val="ListParagraph"/>
        <w:numPr>
          <w:ilvl w:val="0"/>
          <w:numId w:val="2"/>
        </w:numPr>
        <w:spacing w:after="40" w:before="40"/>
      </w:pPr>
      <w:r>
        <w:rPr>
          <w:rFonts w:ascii="Arial" w:cs="Arial" w:eastAsia="Arial" w:hAnsi="Arial"/>
          <w:color w:val="1A1A1A"/>
          <w:sz w:val="20"/>
          <w:szCs w:val="20"/>
        </w:rPr>
        <w:t xml:space="preserve">Filter by: framework, risk tier, assignee, due date range</w:t>
      </w:r>
    </w:p>
    <w:p>
      <w:pPr>
        <w:pStyle w:val="ListParagraph"/>
        <w:numPr>
          <w:ilvl w:val="0"/>
          <w:numId w:val="2"/>
        </w:numPr>
        <w:spacing w:after="40" w:before="40"/>
      </w:pPr>
      <w:r>
        <w:rPr>
          <w:rFonts w:ascii="Arial" w:cs="Arial" w:eastAsia="Arial" w:hAnsi="Arial"/>
          <w:color w:val="1A1A1A"/>
          <w:sz w:val="20"/>
          <w:szCs w:val="20"/>
        </w:rPr>
        <w:t xml:space="preserve">Bulk assign: select multiple cards and assign to team member</w:t>
      </w:r>
    </w:p>
    <w:p>
      <w:pPr>
        <w:pStyle w:val="ListParagraph"/>
        <w:numPr>
          <w:ilvl w:val="0"/>
          <w:numId w:val="2"/>
        </w:numPr>
        <w:spacing w:after="40" w:before="40"/>
      </w:pPr>
      <w:r>
        <w:rPr>
          <w:rFonts w:ascii="Arial" w:cs="Arial" w:eastAsia="Arial" w:hAnsi="Arial"/>
          <w:color w:val="1A1A1A"/>
          <w:sz w:val="20"/>
          <w:szCs w:val="20"/>
        </w:rPr>
        <w:t xml:space="preserve">Integration: sync with Jira or Linear (obligation = Jira issue, column = Jira status)</w:t>
      </w:r>
    </w:p>
    <w:p>
      <w:pPr>
        <w:spacing w:after="60" w:before="60"/>
      </w:pPr>
    </w:p>
    <w:p>
      <w:pPr>
        <w:pStyle w:val="Heading2"/>
        <w:spacing w:after="180" w:before="360"/>
      </w:pPr>
      <w:r>
        <w:rPr>
          <w:rFonts w:ascii="Arial" w:cs="Arial" w:eastAsia="Arial" w:hAnsi="Arial"/>
          <w:b/>
          <w:bCs/>
          <w:color w:val="1B4F72"/>
          <w:sz w:val="30"/>
          <w:szCs w:val="30"/>
        </w:rPr>
        <w:t xml:space="preserve">14.6 Mobile App — Companion (Phase 2 End)</w:t>
      </w:r>
    </w:p>
    <w:p>
      <w:pPr>
        <w:spacing w:after="80" w:before="80"/>
      </w:pPr>
      <w:r>
        <w:rPr>
          <w:rFonts w:ascii="Arial" w:cs="Arial" w:eastAsia="Arial" w:hAnsi="Arial"/>
          <w:color w:val="1A1A1A"/>
          <w:sz w:val="20"/>
          <w:szCs w:val="20"/>
        </w:rPr>
        <w:t xml:space="preserve">A lightweight React Native app (using Expo) for mobile compliance on the go:</w:t>
      </w:r>
    </w:p>
    <w:p>
      <w:pPr>
        <w:pStyle w:val="ListParagraph"/>
        <w:numPr>
          <w:ilvl w:val="0"/>
          <w:numId w:val="2"/>
        </w:numPr>
        <w:spacing w:after="40" w:before="40"/>
      </w:pPr>
      <w:r>
        <w:rPr>
          <w:rFonts w:ascii="Arial" w:cs="Arial" w:eastAsia="Arial" w:hAnsi="Arial"/>
          <w:color w:val="1A1A1A"/>
          <w:sz w:val="20"/>
          <w:szCs w:val="20"/>
        </w:rPr>
        <w:t xml:space="preserve">View compliance score and dashboard summary</w:t>
      </w:r>
    </w:p>
    <w:p>
      <w:pPr>
        <w:pStyle w:val="ListParagraph"/>
        <w:numPr>
          <w:ilvl w:val="0"/>
          <w:numId w:val="2"/>
        </w:numPr>
        <w:spacing w:after="40" w:before="40"/>
      </w:pPr>
      <w:r>
        <w:rPr>
          <w:rFonts w:ascii="Arial" w:cs="Arial" w:eastAsia="Arial" w:hAnsi="Arial"/>
          <w:color w:val="1A1A1A"/>
          <w:sz w:val="20"/>
          <w:szCs w:val="20"/>
        </w:rPr>
        <w:t xml:space="preserve">Approve/reject AI system candidates from integration discovery</w:t>
      </w:r>
    </w:p>
    <w:p>
      <w:pPr>
        <w:pStyle w:val="ListParagraph"/>
        <w:numPr>
          <w:ilvl w:val="0"/>
          <w:numId w:val="2"/>
        </w:numPr>
        <w:spacing w:after="40" w:before="40"/>
      </w:pPr>
      <w:r>
        <w:rPr>
          <w:rFonts w:ascii="Arial" w:cs="Arial" w:eastAsia="Arial" w:hAnsi="Arial"/>
          <w:color w:val="1A1A1A"/>
          <w:sz w:val="20"/>
          <w:szCs w:val="20"/>
        </w:rPr>
        <w:t xml:space="preserve">Receive push notifications for critical regulation updates and deadline reminders</w:t>
      </w:r>
    </w:p>
    <w:p>
      <w:pPr>
        <w:pStyle w:val="ListParagraph"/>
        <w:numPr>
          <w:ilvl w:val="0"/>
          <w:numId w:val="2"/>
        </w:numPr>
        <w:spacing w:after="40" w:before="40"/>
      </w:pPr>
      <w:r>
        <w:rPr>
          <w:rFonts w:ascii="Arial" w:cs="Arial" w:eastAsia="Arial" w:hAnsi="Arial"/>
          <w:color w:val="1A1A1A"/>
          <w:sz w:val="20"/>
          <w:szCs w:val="20"/>
        </w:rPr>
        <w:t xml:space="preserve">Quick-add AI system (voice input → AI transcribes and pre-fills form)</w:t>
      </w:r>
    </w:p>
    <w:p>
      <w:pPr>
        <w:pStyle w:val="ListParagraph"/>
        <w:numPr>
          <w:ilvl w:val="0"/>
          <w:numId w:val="2"/>
        </w:numPr>
        <w:spacing w:after="40" w:before="40"/>
      </w:pPr>
      <w:r>
        <w:rPr>
          <w:rFonts w:ascii="Arial" w:cs="Arial" w:eastAsia="Arial" w:hAnsi="Arial"/>
          <w:color w:val="1A1A1A"/>
          <w:sz w:val="20"/>
          <w:szCs w:val="20"/>
        </w:rPr>
        <w:t xml:space="preserve">Share Trust Page link from mobile</w:t>
      </w:r>
    </w:p>
    <w:p>
      <w:pPr>
        <w:pStyle w:val="ListParagraph"/>
        <w:numPr>
          <w:ilvl w:val="0"/>
          <w:numId w:val="2"/>
        </w:numPr>
        <w:spacing w:after="40" w:before="40"/>
      </w:pPr>
      <w:r>
        <w:rPr>
          <w:rFonts w:ascii="Arial" w:cs="Arial" w:eastAsia="Arial" w:hAnsi="Arial"/>
          <w:color w:val="1A1A1A"/>
          <w:sz w:val="20"/>
          <w:szCs w:val="20"/>
        </w:rPr>
        <w:t xml:space="preserve">View and download compliance documents</w:t>
      </w:r>
    </w:p>
    <w:p>
      <w:pPr>
        <w:spacing w:after="80" w:before="80"/>
      </w:pPr>
      <w:r>
        <w:rPr>
          <w:rFonts w:ascii="Arial" w:cs="Arial" w:eastAsia="Arial" w:hAnsi="Arial"/>
          <w:color w:val="1A1A1A"/>
          <w:sz w:val="20"/>
          <w:szCs w:val="20"/>
        </w:rPr>
        <w:t xml:space="preserve">Not a full desktop feature-equivalent — just the essential mobile moments. Built with Expo Router and Supabase React Native client.</w:t>
      </w:r>
    </w:p>
    <w:p>
      <w:pPr>
        <w:spacing w:after="60" w:before="60"/>
      </w:pPr>
    </w:p>
    <w:p>
      <w:r>
        <w:br/>
      </w:r>
    </w:p>
    <w:p>
      <w:pPr>
        <w:pStyle w:val="Heading1"/>
        <w:spacing w:after="240" w:before="480"/>
      </w:pPr>
      <w:r>
        <w:rPr>
          <w:rFonts w:ascii="Arial" w:cs="Arial" w:eastAsia="Arial" w:hAnsi="Arial"/>
          <w:b/>
          <w:bCs/>
          <w:color w:val="1B4F72"/>
          <w:sz w:val="40"/>
          <w:szCs w:val="40"/>
        </w:rPr>
        <w:t xml:space="preserve">15. Risk Management — ActProve Business Risks</w:t>
      </w:r>
    </w:p>
    <w:p>
      <w:pPr>
        <w:pBdr>
          <w:bottom w:val="single" w:color="1D8348"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FDEBD0" w:val="clear"/>
            <w:tcMar>
              <w:top w:type="dxa" w:w="140"/>
              <w:left w:type="dxa" w:w="220"/>
              <w:bottom w:type="dxa" w:w="140"/>
              <w:right w:type="dxa" w:w="220"/>
            </w:tcMar>
          </w:tcPr>
          <w:p>
            <w:r>
              <w:rPr>
                <w:rFonts w:ascii="Arial" w:cs="Arial" w:eastAsia="Arial" w:hAnsi="Arial"/>
                <w:b/>
                <w:bCs/>
                <w:color w:val="1B4F72"/>
                <w:sz w:val="21"/>
                <w:szCs w:val="21"/>
              </w:rPr>
              <w:t xml:space="preserve">Meta-note:</w:t>
            </w:r>
          </w:p>
          <w:p>
            <w:pPr>
              <w:spacing w:before="80"/>
            </w:pPr>
            <w:r>
              <w:rPr>
                <w:rFonts w:ascii="Arial" w:cs="Arial" w:eastAsia="Arial" w:hAnsi="Arial"/>
                <w:color w:val="1A1A1A"/>
                <w:sz w:val="19"/>
                <w:szCs w:val="19"/>
              </w:rPr>
              <w:t xml:space="preserve">ActProve helps customers manage AI compliance risk. We must also manage our own business risks with equal rigor. This section identifies and mitigates the top risks to ActProve's success.</w:t>
            </w:r>
          </w:p>
        </w:tc>
      </w:tr>
    </w:tbl>
    <w:p>
      <w:pPr>
        <w:spacing w:after="60" w:before="60"/>
      </w:pPr>
    </w:p>
    <w:p>
      <w:pPr>
        <w:pStyle w:val="Heading2"/>
        <w:spacing w:after="180" w:before="360"/>
      </w:pPr>
      <w:r>
        <w:rPr>
          <w:rFonts w:ascii="Arial" w:cs="Arial" w:eastAsia="Arial" w:hAnsi="Arial"/>
          <w:b/>
          <w:bCs/>
          <w:color w:val="1B4F72"/>
          <w:sz w:val="30"/>
          <w:szCs w:val="30"/>
        </w:rPr>
        <w:t xml:space="preserve">15.1 Risk Register — ActProve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3000"/>
        <w:gridCol w:w="17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enforcement relaxed (Digital Omnibus)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 actively discussed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reduces urgency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Expand to ISO 42001, NIS2, DORA immediately. Broader 'AI governance' positioning rather than pure EU AI Act. Recurring value from monitoring.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 strategy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Large competitor enters SMB market (Vanta adds EU AI Act)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 Vanta, Sprinto are watching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 incumbent advantage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Be faster and more specialized. Enterprise tools add EU AI Act as checkbox feature. We build it as primary product — 10x better UX and depth.</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Product + marketing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AI-generated document quality issue (hallucination)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Low-Medium — Claude is reliable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High — legal/reputational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Human review prompts on all docs. Clear 'not legal advice' disclaimers. Prompt versioning + output testing. Monthly audit of random document samples.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Solo founder burnout / key-person risk</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 — high intensity product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Critical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Hire CS person by Month 8. Document all processes. Build partner relationships as human buffer. Set weekly working hours limit and stick to it.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Founder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breach / security incident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 Supabase + Vercel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Critical — trust destruction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Security review before launch. Penetration test at $5K ARR. Bug bounty program. Cyber insurance. Incident response plan documented.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Technical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Churn above forecast (&gt; 5%/month)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 — MRR collapse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CS playbook execution. Monthly NPS. Proactive outreach on low-engagement accounts. Integration stickiness increases switching cost.</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CS hire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Partner program not activating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Medium — slows growth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 10 manual partner sales before building partner portal. Talk to DPO networks early. Commission rate competitive with alternatives.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Sales/partnerships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Regulation updates overwhelming product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 — EU publishes frequently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Medium — customer confusion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Dedicated regulation curator (team advisor role). Sanity CMS for non-developer content updates. 48-hour update SLA.</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Content + tech</w:t>
            </w:r>
          </w:p>
        </w:tc>
      </w:tr>
    </w:tbl>
    <w:p>
      <w:pPr>
        <w:spacing w:after="60" w:before="60"/>
      </w:pPr>
    </w:p>
    <w:p>
      <w:pPr>
        <w:pStyle w:val="Heading2"/>
        <w:spacing w:after="180" w:before="360"/>
      </w:pPr>
      <w:r>
        <w:rPr>
          <w:rFonts w:ascii="Arial" w:cs="Arial" w:eastAsia="Arial" w:hAnsi="Arial"/>
          <w:b/>
          <w:bCs/>
          <w:color w:val="1B4F72"/>
          <w:sz w:val="30"/>
          <w:szCs w:val="30"/>
        </w:rPr>
        <w:t xml:space="preserve">15.2 Legal Risk Mitigation</w:t>
      </w:r>
    </w:p>
    <w:p>
      <w:pPr>
        <w:pStyle w:val="Heading3"/>
        <w:spacing w:after="140" w:before="280"/>
      </w:pPr>
      <w:r>
        <w:rPr>
          <w:rFonts w:ascii="Arial" w:cs="Arial" w:eastAsia="Arial" w:hAnsi="Arial"/>
          <w:b/>
          <w:bCs/>
          <w:color w:val="1D8348"/>
          <w:sz w:val="24"/>
          <w:szCs w:val="24"/>
        </w:rPr>
        <w:t xml:space="preserve">15.2.1 "Not Legal Advice" Framework</w:t>
      </w:r>
    </w:p>
    <w:p>
      <w:pPr>
        <w:spacing w:after="80" w:before="80"/>
      </w:pPr>
      <w:r>
        <w:rPr>
          <w:rFonts w:ascii="Arial" w:cs="Arial" w:eastAsia="Arial" w:hAnsi="Arial"/>
          <w:color w:val="1A1A1A"/>
          <w:sz w:val="20"/>
          <w:szCs w:val="20"/>
        </w:rPr>
        <w:t xml:space="preserve">Every piece of AI-generated content in ActProve must be clearly labeled:</w:t>
      </w:r>
    </w:p>
    <w:p>
      <w:pPr>
        <w:pStyle w:val="ListParagraph"/>
        <w:numPr>
          <w:ilvl w:val="0"/>
          <w:numId w:val="2"/>
        </w:numPr>
        <w:spacing w:after="40" w:before="40"/>
      </w:pPr>
      <w:r>
        <w:rPr>
          <w:rFonts w:ascii="Arial" w:cs="Arial" w:eastAsia="Arial" w:hAnsi="Arial"/>
          <w:color w:val="1A1A1A"/>
          <w:sz w:val="20"/>
          <w:szCs w:val="20"/>
        </w:rPr>
        <w:t xml:space="preserve">All generated documents: banner at top: "This document was created with AI assistance and is provided for informational purposes only. It does not constitute legal advice. Please review with a qualified legal professional before relying on it for compliance purposes."</w:t>
      </w:r>
    </w:p>
    <w:p>
      <w:pPr>
        <w:pStyle w:val="ListParagraph"/>
        <w:numPr>
          <w:ilvl w:val="0"/>
          <w:numId w:val="2"/>
        </w:numPr>
        <w:spacing w:after="40" w:before="40"/>
      </w:pPr>
      <w:r>
        <w:rPr>
          <w:rFonts w:ascii="Arial" w:cs="Arial" w:eastAsia="Arial" w:hAnsi="Arial"/>
          <w:color w:val="1A1A1A"/>
          <w:sz w:val="20"/>
          <w:szCs w:val="20"/>
        </w:rPr>
        <w:t xml:space="preserve">Risk classifications: "This classification is based on available information and ActProve's interpretation of EU AI Act. It is an assessment tool, not a legal determination."</w:t>
      </w:r>
    </w:p>
    <w:p>
      <w:pPr>
        <w:pStyle w:val="ListParagraph"/>
        <w:numPr>
          <w:ilvl w:val="0"/>
          <w:numId w:val="2"/>
        </w:numPr>
        <w:spacing w:after="40" w:before="40"/>
      </w:pPr>
      <w:r>
        <w:rPr>
          <w:rFonts w:ascii="Arial" w:cs="Arial" w:eastAsia="Arial" w:hAnsi="Arial"/>
          <w:color w:val="1A1A1A"/>
          <w:sz w:val="20"/>
          <w:szCs w:val="20"/>
        </w:rPr>
        <w:t xml:space="preserve">Compliance scores: "ActProve's compliance score is an indicator of progress, not a guarantee of regulatory compliance."</w:t>
      </w:r>
    </w:p>
    <w:p>
      <w:pPr>
        <w:pStyle w:val="ListParagraph"/>
        <w:numPr>
          <w:ilvl w:val="0"/>
          <w:numId w:val="2"/>
        </w:numPr>
        <w:spacing w:after="40" w:before="40"/>
      </w:pPr>
      <w:r>
        <w:rPr>
          <w:rFonts w:ascii="Arial" w:cs="Arial" w:eastAsia="Arial" w:hAnsi="Arial"/>
          <w:color w:val="1A1A1A"/>
          <w:sz w:val="20"/>
          <w:szCs w:val="20"/>
        </w:rPr>
        <w:t xml:space="preserve">Terms of Service: explicit limitation of liability clause. ActProve is a software tool, not a compliance guarantor.</w:t>
      </w:r>
    </w:p>
    <w:p>
      <w:pPr>
        <w:spacing w:after="60" w:before="60"/>
      </w:pPr>
    </w:p>
    <w:p>
      <w:pPr>
        <w:pStyle w:val="Heading3"/>
        <w:spacing w:after="140" w:before="280"/>
      </w:pPr>
      <w:r>
        <w:rPr>
          <w:rFonts w:ascii="Arial" w:cs="Arial" w:eastAsia="Arial" w:hAnsi="Arial"/>
          <w:b/>
          <w:bCs/>
          <w:color w:val="1D8348"/>
          <w:sz w:val="24"/>
          <w:szCs w:val="24"/>
        </w:rPr>
        <w:t xml:space="preserve">15.2.2 EU VAT Compliance</w:t>
      </w:r>
    </w:p>
    <w:p>
      <w:pPr>
        <w:spacing w:after="80" w:before="80"/>
      </w:pPr>
      <w:r>
        <w:rPr>
          <w:rFonts w:ascii="Arial" w:cs="Arial" w:eastAsia="Arial" w:hAnsi="Arial"/>
          <w:color w:val="1A1A1A"/>
          <w:sz w:val="20"/>
          <w:szCs w:val="20"/>
        </w:rPr>
        <w:t xml:space="preserve">As a European-market SaaS:</w:t>
      </w:r>
    </w:p>
    <w:p>
      <w:pPr>
        <w:pStyle w:val="ListParagraph"/>
        <w:numPr>
          <w:ilvl w:val="0"/>
          <w:numId w:val="2"/>
        </w:numPr>
        <w:spacing w:after="40" w:before="40"/>
      </w:pPr>
      <w:r>
        <w:rPr>
          <w:rFonts w:ascii="Arial" w:cs="Arial" w:eastAsia="Arial" w:hAnsi="Arial"/>
          <w:color w:val="1A1A1A"/>
          <w:sz w:val="20"/>
          <w:szCs w:val="20"/>
        </w:rPr>
        <w:t xml:space="preserve">Register for OSS (One Stop Shop) VAT scheme for EU-wide sales</w:t>
      </w:r>
    </w:p>
    <w:p>
      <w:pPr>
        <w:pStyle w:val="ListParagraph"/>
        <w:numPr>
          <w:ilvl w:val="0"/>
          <w:numId w:val="2"/>
        </w:numPr>
        <w:spacing w:after="40" w:before="40"/>
      </w:pPr>
      <w:r>
        <w:rPr>
          <w:rFonts w:ascii="Arial" w:cs="Arial" w:eastAsia="Arial" w:hAnsi="Arial"/>
          <w:color w:val="1A1A1A"/>
          <w:sz w:val="20"/>
          <w:szCs w:val="20"/>
        </w:rPr>
        <w:t xml:space="preserve">Stripe Tax enabled: automatically calculates and collects correct VAT per customer country</w:t>
      </w:r>
    </w:p>
    <w:p>
      <w:pPr>
        <w:pStyle w:val="ListParagraph"/>
        <w:numPr>
          <w:ilvl w:val="0"/>
          <w:numId w:val="2"/>
        </w:numPr>
        <w:spacing w:after="40" w:before="40"/>
      </w:pPr>
      <w:r>
        <w:rPr>
          <w:rFonts w:ascii="Arial" w:cs="Arial" w:eastAsia="Arial" w:hAnsi="Arial"/>
          <w:color w:val="1A1A1A"/>
          <w:sz w:val="20"/>
          <w:szCs w:val="20"/>
        </w:rPr>
        <w:t xml:space="preserve">B2B customers: collect valid EU VAT number to apply reverse charge mechanism</w:t>
      </w:r>
    </w:p>
    <w:p>
      <w:pPr>
        <w:pStyle w:val="ListParagraph"/>
        <w:numPr>
          <w:ilvl w:val="0"/>
          <w:numId w:val="2"/>
        </w:numPr>
        <w:spacing w:after="40" w:before="40"/>
      </w:pPr>
      <w:r>
        <w:rPr>
          <w:rFonts w:ascii="Arial" w:cs="Arial" w:eastAsia="Arial" w:hAnsi="Arial"/>
          <w:color w:val="1A1A1A"/>
          <w:sz w:val="20"/>
          <w:szCs w:val="20"/>
        </w:rPr>
        <w:t xml:space="preserve">Invoices: must include ActProve's VAT number, customer VAT number (if applicable), correct tax treatment</w:t>
      </w:r>
    </w:p>
    <w:p>
      <w:pPr>
        <w:pStyle w:val="ListParagraph"/>
        <w:numPr>
          <w:ilvl w:val="0"/>
          <w:numId w:val="2"/>
        </w:numPr>
        <w:spacing w:after="40" w:before="40"/>
      </w:pPr>
      <w:r>
        <w:rPr>
          <w:rFonts w:ascii="Arial" w:cs="Arial" w:eastAsia="Arial" w:hAnsi="Arial"/>
          <w:color w:val="1A1A1A"/>
          <w:sz w:val="20"/>
          <w:szCs w:val="20"/>
        </w:rPr>
        <w:t xml:space="preserve">File quarterly OSS VAT returns via home country tax authority</w:t>
      </w:r>
    </w:p>
    <w:p>
      <w:pPr>
        <w:spacing w:after="60" w:before="60"/>
      </w:pPr>
    </w:p>
    <w:p>
      <w:r>
        <w:br/>
      </w:r>
    </w:p>
    <w:p>
      <w:pPr>
        <w:pStyle w:val="Heading1"/>
        <w:spacing w:after="240" w:before="480"/>
      </w:pPr>
      <w:r>
        <w:rPr>
          <w:rFonts w:ascii="Arial" w:cs="Arial" w:eastAsia="Arial" w:hAnsi="Arial"/>
          <w:b/>
          <w:bCs/>
          <w:color w:val="1B4F72"/>
          <w:sz w:val="40"/>
          <w:szCs w:val="40"/>
        </w:rPr>
        <w:t xml:space="preserve">16. Phase 2 Claude Code Master Build Prompt</w:t>
      </w:r>
    </w:p>
    <w:p>
      <w:pPr>
        <w:pBdr>
          <w:bottom w:val="single" w:color="1D8348"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5F5E3" w:val="clear"/>
            <w:tcMar>
              <w:top w:type="dxa" w:w="140"/>
              <w:left w:type="dxa" w:w="220"/>
              <w:bottom w:type="dxa" w:w="140"/>
              <w:right w:type="dxa" w:w="220"/>
            </w:tcMar>
          </w:tcPr>
          <w:p>
            <w:r>
              <w:rPr>
                <w:rFonts w:ascii="Arial" w:cs="Arial" w:eastAsia="Arial" w:hAnsi="Arial"/>
                <w:b/>
                <w:bCs/>
                <w:color w:val="1B4F72"/>
                <w:sz w:val="21"/>
                <w:szCs w:val="21"/>
              </w:rPr>
              <w:t xml:space="preserve">Instructions:</w:t>
            </w:r>
          </w:p>
          <w:p>
            <w:pPr>
              <w:spacing w:before="80"/>
            </w:pPr>
            <w:r>
              <w:rPr>
                <w:rFonts w:ascii="Arial" w:cs="Arial" w:eastAsia="Arial" w:hAnsi="Arial"/>
                <w:color w:val="1A1A1A"/>
                <w:sz w:val="19"/>
                <w:szCs w:val="19"/>
              </w:rPr>
              <w:t xml:space="preserve">This prompt builds on top of the Phase 1 codebase. Start each Claude Code session by providing this prompt along with relevant parts of the existing codebase as context. Build features in the order listed — each depends on the previous.</w:t>
            </w:r>
          </w:p>
        </w:tc>
      </w:tr>
    </w:tbl>
    <w:p>
      <w:pPr>
        <w:spacing w:after="60" w:before="60"/>
      </w:pPr>
    </w:p>
    <w:p>
      <w:pPr>
        <w:pStyle w:val="Heading2"/>
        <w:spacing w:after="180" w:before="360"/>
      </w:pPr>
      <w:r>
        <w:rPr>
          <w:rFonts w:ascii="Arial" w:cs="Arial" w:eastAsia="Arial" w:hAnsi="Arial"/>
          <w:b/>
          <w:bCs/>
          <w:color w:val="1B4F72"/>
          <w:sz w:val="30"/>
          <w:szCs w:val="30"/>
        </w:rPr>
        <w:t xml:space="preserve">16.1 Phase 2 Initialization Prompt</w:t>
      </w:r>
    </w:p>
    <w:p>
      <w:pPr>
        <w:spacing w:after="60" w:before="60"/>
      </w:pPr>
    </w:p>
    <w:p>
      <w:pPr>
        <w:shd w:fill="F0F0F0" w:val="clear"/>
        <w:spacing w:after="40" w:before="40"/>
      </w:pPr>
      <w:r>
        <w:rPr>
          <w:rFonts w:ascii="Courier New" w:cs="Courier New" w:eastAsia="Courier New" w:hAnsi="Courier New"/>
          <w:color w:val="333333"/>
          <w:sz w:val="18"/>
          <w:szCs w:val="18"/>
        </w:rPr>
        <w:t xml:space="preserve">## ACTPROVE — PHASE 2 BUILD PROMPT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You are continuing development of ActProve (actprove.com), an EU AI Act compliance</w:t>
      </w:r>
    </w:p>
    <w:p>
      <w:pPr>
        <w:shd w:fill="F0F0F0" w:val="clear"/>
        <w:spacing w:after="40" w:before="40"/>
      </w:pPr>
      <w:r>
        <w:rPr>
          <w:rFonts w:ascii="Courier New" w:cs="Courier New" w:eastAsia="Courier New" w:hAnsi="Courier New"/>
          <w:color w:val="333333"/>
          <w:sz w:val="18"/>
          <w:szCs w:val="18"/>
        </w:rPr>
        <w:t xml:space="preserve">operations platform. Phase 1 MVP is complete with:</w:t>
      </w:r>
    </w:p>
    <w:p>
      <w:pPr>
        <w:shd w:fill="F0F0F0" w:val="clear"/>
        <w:spacing w:after="40" w:before="40"/>
      </w:pPr>
      <w:r>
        <w:rPr>
          <w:rFonts w:ascii="Courier New" w:cs="Courier New" w:eastAsia="Courier New" w:hAnsi="Courier New"/>
          <w:color w:val="333333"/>
          <w:sz w:val="18"/>
          <w:szCs w:val="18"/>
        </w:rPr>
        <w:t xml:space="preserve">- Next.js 14 + TypeScript + Tailwind + shadcn/ui</w:t>
      </w:r>
    </w:p>
    <w:p>
      <w:pPr>
        <w:shd w:fill="F0F0F0" w:val="clear"/>
        <w:spacing w:after="40" w:before="40"/>
      </w:pPr>
      <w:r>
        <w:rPr>
          <w:rFonts w:ascii="Courier New" w:cs="Courier New" w:eastAsia="Courier New" w:hAnsi="Courier New"/>
          <w:color w:val="333333"/>
          <w:sz w:val="18"/>
          <w:szCs w:val="18"/>
        </w:rPr>
        <w:t xml:space="preserve">- Supabase (auth + PostgreSQL + storage)</w:t>
      </w:r>
    </w:p>
    <w:p>
      <w:pPr>
        <w:shd w:fill="F0F0F0" w:val="clear"/>
        <w:spacing w:after="40" w:before="40"/>
      </w:pPr>
      <w:r>
        <w:rPr>
          <w:rFonts w:ascii="Courier New" w:cs="Courier New" w:eastAsia="Courier New" w:hAnsi="Courier New"/>
          <w:color w:val="333333"/>
          <w:sz w:val="18"/>
          <w:szCs w:val="18"/>
        </w:rPr>
        <w:t xml:space="preserve">- tRPC + Zod</w:t>
      </w:r>
    </w:p>
    <w:p>
      <w:pPr>
        <w:shd w:fill="F0F0F0" w:val="clear"/>
        <w:spacing w:after="40" w:before="40"/>
      </w:pPr>
      <w:r>
        <w:rPr>
          <w:rFonts w:ascii="Courier New" w:cs="Courier New" w:eastAsia="Courier New" w:hAnsi="Courier New"/>
          <w:color w:val="333333"/>
          <w:sz w:val="18"/>
          <w:szCs w:val="18"/>
        </w:rPr>
        <w:t xml:space="preserve">- Stripe billing</w:t>
      </w:r>
    </w:p>
    <w:p>
      <w:pPr>
        <w:shd w:fill="F0F0F0" w:val="clear"/>
        <w:spacing w:after="40" w:before="40"/>
      </w:pPr>
      <w:r>
        <w:rPr>
          <w:rFonts w:ascii="Courier New" w:cs="Courier New" w:eastAsia="Courier New" w:hAnsi="Courier New"/>
          <w:color w:val="333333"/>
          <w:sz w:val="18"/>
          <w:szCs w:val="18"/>
        </w:rPr>
        <w:t xml:space="preserve">- Resend email</w:t>
      </w:r>
    </w:p>
    <w:p>
      <w:pPr>
        <w:shd w:fill="F0F0F0" w:val="clear"/>
        <w:spacing w:after="40" w:before="40"/>
      </w:pPr>
      <w:r>
        <w:rPr>
          <w:rFonts w:ascii="Courier New" w:cs="Courier New" w:eastAsia="Courier New" w:hAnsi="Courier New"/>
          <w:color w:val="333333"/>
          <w:sz w:val="18"/>
          <w:szCs w:val="18"/>
        </w:rPr>
        <w:t xml:space="preserve">- Claude API for risk classification and document generation</w:t>
      </w:r>
    </w:p>
    <w:p>
      <w:pPr>
        <w:shd w:fill="F0F0F0" w:val="clear"/>
        <w:spacing w:after="40" w:before="40"/>
      </w:pPr>
      <w:r>
        <w:rPr>
          <w:rFonts w:ascii="Courier New" w:cs="Courier New" w:eastAsia="Courier New" w:hAnsi="Courier New"/>
          <w:color w:val="333333"/>
          <w:sz w:val="18"/>
          <w:szCs w:val="18"/>
        </w:rPr>
        <w:t xml:space="preserve">- Core features: AI inventory, risk classification, living register,</w:t>
      </w:r>
    </w:p>
    <w:p>
      <w:pPr>
        <w:shd w:fill="F0F0F0" w:val="clear"/>
        <w:spacing w:after="40" w:before="40"/>
      </w:pPr>
      <w:r>
        <w:rPr>
          <w:rFonts w:ascii="Courier New" w:cs="Courier New" w:eastAsia="Courier New" w:hAnsi="Courier New"/>
          <w:color w:val="333333"/>
          <w:sz w:val="18"/>
          <w:szCs w:val="18"/>
        </w:rPr>
        <w:t xml:space="preserve">  document generator, Trust Page, regulation monitor</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PHASE 2 NEW DEPENDENCIES — INSTALL FIRST</w:t>
      </w:r>
    </w:p>
    <w:p>
      <w:pPr>
        <w:shd w:fill="F0F0F0" w:val="clear"/>
        <w:spacing w:after="40" w:before="40"/>
      </w:pPr>
      <w:r>
        <w:rPr>
          <w:rFonts w:ascii="Courier New" w:cs="Courier New" w:eastAsia="Courier New" w:hAnsi="Courier New"/>
          <w:color w:val="333333"/>
          <w:sz w:val="18"/>
          <w:szCs w:val="18"/>
        </w:rPr>
        <w:t xml:space="preserve">npm install inngest @upstash/redis @upstash/ratelimit</w:t>
      </w:r>
    </w:p>
    <w:p>
      <w:pPr>
        <w:shd w:fill="F0F0F0" w:val="clear"/>
        <w:spacing w:after="40" w:before="40"/>
      </w:pPr>
      <w:r>
        <w:rPr>
          <w:rFonts w:ascii="Courier New" w:cs="Courier New" w:eastAsia="Courier New" w:hAnsi="Courier New"/>
          <w:color w:val="333333"/>
          <w:sz w:val="18"/>
          <w:szCs w:val="18"/>
        </w:rPr>
        <w:t xml:space="preserve">          typesense typesense-instantsearch-adapter</w:t>
      </w:r>
    </w:p>
    <w:p>
      <w:pPr>
        <w:shd w:fill="F0F0F0" w:val="clear"/>
        <w:spacing w:after="40" w:before="40"/>
      </w:pPr>
      <w:r>
        <w:rPr>
          <w:rFonts w:ascii="Courier New" w:cs="Courier New" w:eastAsia="Courier New" w:hAnsi="Courier New"/>
          <w:color w:val="333333"/>
          <w:sz w:val="18"/>
          <w:szCs w:val="18"/>
        </w:rPr>
        <w:t xml:space="preserve">          @sentry/nextjs @sentry/node</w:t>
      </w:r>
    </w:p>
    <w:p>
      <w:pPr>
        <w:shd w:fill="F0F0F0" w:val="clear"/>
        <w:spacing w:after="40" w:before="40"/>
      </w:pPr>
      <w:r>
        <w:rPr>
          <w:rFonts w:ascii="Courier New" w:cs="Courier New" w:eastAsia="Courier New" w:hAnsi="Courier New"/>
          <w:color w:val="333333"/>
          <w:sz w:val="18"/>
          <w:szCs w:val="18"/>
        </w:rPr>
        <w:t xml:space="preserve">          next-intl</w:t>
      </w:r>
    </w:p>
    <w:p>
      <w:pPr>
        <w:shd w:fill="F0F0F0" w:val="clear"/>
        <w:spacing w:after="40" w:before="40"/>
      </w:pPr>
      <w:r>
        <w:rPr>
          <w:rFonts w:ascii="Courier New" w:cs="Courier New" w:eastAsia="Courier New" w:hAnsi="Courier New"/>
          <w:color w:val="333333"/>
          <w:sz w:val="18"/>
          <w:szCs w:val="18"/>
        </w:rPr>
        <w:t xml:space="preserve">          @axiomhq/pino pino</w:t>
      </w:r>
    </w:p>
    <w:p>
      <w:pPr>
        <w:shd w:fill="F0F0F0" w:val="clear"/>
        <w:spacing w:after="40" w:before="40"/>
      </w:pPr>
      <w:r>
        <w:rPr>
          <w:rFonts w:ascii="Courier New" w:cs="Courier New" w:eastAsia="Courier New" w:hAnsi="Courier New"/>
          <w:color w:val="333333"/>
          <w:sz w:val="18"/>
          <w:szCs w:val="18"/>
        </w:rPr>
        <w:t xml:space="preserve">          react-hot-toast  # If not already installed</w:t>
      </w:r>
    </w:p>
    <w:p>
      <w:pPr>
        <w:shd w:fill="F0F0F0" w:val="clear"/>
        <w:spacing w:after="40" w:before="40"/>
      </w:pPr>
      <w:r>
        <w:rPr>
          <w:rFonts w:ascii="Courier New" w:cs="Courier New" w:eastAsia="Courier New" w:hAnsi="Courier New"/>
          <w:color w:val="333333"/>
          <w:sz w:val="18"/>
          <w:szCs w:val="18"/>
        </w:rPr>
        <w:t xml:space="preserve">          @tanstack/react-table  # For advanced data tables</w:t>
      </w:r>
    </w:p>
    <w:p>
      <w:pPr>
        <w:shd w:fill="F0F0F0" w:val="clear"/>
        <w:spacing w:after="40" w:before="40"/>
      </w:pPr>
      <w:r>
        <w:rPr>
          <w:rFonts w:ascii="Courier New" w:cs="Courier New" w:eastAsia="Courier New" w:hAnsi="Courier New"/>
          <w:color w:val="333333"/>
          <w:sz w:val="18"/>
          <w:szCs w:val="18"/>
        </w:rPr>
        <w:t xml:space="preserve">          tiptap @tiptap/react @tiptap/starter-kit  # Rich text editor</w:t>
      </w:r>
    </w:p>
    <w:p>
      <w:pPr>
        <w:shd w:fill="F0F0F0" w:val="clear"/>
        <w:spacing w:after="40" w:before="40"/>
      </w:pPr>
      <w:r>
        <w:rPr>
          <w:rFonts w:ascii="Courier New" w:cs="Courier New" w:eastAsia="Courier New" w:hAnsi="Courier New"/>
          <w:color w:val="333333"/>
          <w:sz w:val="18"/>
          <w:szCs w:val="18"/>
        </w:rPr>
        <w:t xml:space="preserve">          recharts  # For compliance charts and graphs</w:t>
      </w:r>
    </w:p>
    <w:p>
      <w:pPr>
        <w:shd w:fill="F0F0F0" w:val="clear"/>
        <w:spacing w:after="40" w:before="40"/>
      </w:pPr>
      <w:r>
        <w:rPr>
          <w:rFonts w:ascii="Courier New" w:cs="Courier New" w:eastAsia="Courier New" w:hAnsi="Courier New"/>
          <w:color w:val="333333"/>
          <w:sz w:val="18"/>
          <w:szCs w:val="18"/>
        </w:rPr>
        <w:t xml:space="preserve">          date-fns  # Date manipulation</w:t>
      </w:r>
    </w:p>
    <w:p>
      <w:pPr>
        <w:shd w:fill="F0F0F0" w:val="clear"/>
        <w:spacing w:after="40" w:before="40"/>
      </w:pPr>
      <w:r>
        <w:rPr>
          <w:rFonts w:ascii="Courier New" w:cs="Courier New" w:eastAsia="Courier New" w:hAnsi="Courier New"/>
          <w:color w:val="333333"/>
          <w:sz w:val="18"/>
          <w:szCs w:val="18"/>
        </w:rPr>
        <w:t xml:space="preserve">          react-dropzone  # File upload UX</w:t>
      </w:r>
    </w:p>
    <w:p>
      <w:pPr>
        <w:shd w:fill="F0F0F0" w:val="clear"/>
        <w:spacing w:after="40" w:before="40"/>
      </w:pPr>
      <w:r>
        <w:rPr>
          <w:rFonts w:ascii="Courier New" w:cs="Courier New" w:eastAsia="Courier New" w:hAnsi="Courier New"/>
          <w:color w:val="333333"/>
          <w:sz w:val="18"/>
          <w:szCs w:val="18"/>
        </w:rPr>
        <w:t xml:space="preserve">          cmdk  # Command palette (Cmd+K)</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PHASE 2 NEW ENVIRONMENT VARIABLES</w:t>
      </w:r>
    </w:p>
    <w:p>
      <w:pPr>
        <w:shd w:fill="F0F0F0" w:val="clear"/>
        <w:spacing w:after="40" w:before="40"/>
      </w:pPr>
      <w:r>
        <w:rPr>
          <w:rFonts w:ascii="Courier New" w:cs="Courier New" w:eastAsia="Courier New" w:hAnsi="Courier New"/>
          <w:color w:val="333333"/>
          <w:sz w:val="18"/>
          <w:szCs w:val="18"/>
        </w:rPr>
        <w:t xml:space="preserve">INNGEST_EVENT_KEY=</w:t>
      </w:r>
    </w:p>
    <w:p>
      <w:pPr>
        <w:shd w:fill="F0F0F0" w:val="clear"/>
        <w:spacing w:after="40" w:before="40"/>
      </w:pPr>
      <w:r>
        <w:rPr>
          <w:rFonts w:ascii="Courier New" w:cs="Courier New" w:eastAsia="Courier New" w:hAnsi="Courier New"/>
          <w:color w:val="333333"/>
          <w:sz w:val="18"/>
          <w:szCs w:val="18"/>
        </w:rPr>
        <w:t xml:space="preserve">INNGEST_SIGNING_KEY=</w:t>
      </w:r>
    </w:p>
    <w:p>
      <w:pPr>
        <w:shd w:fill="F0F0F0" w:val="clear"/>
        <w:spacing w:after="40" w:before="40"/>
      </w:pPr>
      <w:r>
        <w:rPr>
          <w:rFonts w:ascii="Courier New" w:cs="Courier New" w:eastAsia="Courier New" w:hAnsi="Courier New"/>
          <w:color w:val="333333"/>
          <w:sz w:val="18"/>
          <w:szCs w:val="18"/>
        </w:rPr>
        <w:t xml:space="preserve">UPSTASH_REDIS_URL=</w:t>
      </w:r>
    </w:p>
    <w:p>
      <w:pPr>
        <w:shd w:fill="F0F0F0" w:val="clear"/>
        <w:spacing w:after="40" w:before="40"/>
      </w:pPr>
      <w:r>
        <w:rPr>
          <w:rFonts w:ascii="Courier New" w:cs="Courier New" w:eastAsia="Courier New" w:hAnsi="Courier New"/>
          <w:color w:val="333333"/>
          <w:sz w:val="18"/>
          <w:szCs w:val="18"/>
        </w:rPr>
        <w:t xml:space="preserve">UPSTASH_REDIS_TOKEN=</w:t>
      </w:r>
    </w:p>
    <w:p>
      <w:pPr>
        <w:shd w:fill="F0F0F0" w:val="clear"/>
        <w:spacing w:after="40" w:before="40"/>
      </w:pPr>
      <w:r>
        <w:rPr>
          <w:rFonts w:ascii="Courier New" w:cs="Courier New" w:eastAsia="Courier New" w:hAnsi="Courier New"/>
          <w:color w:val="333333"/>
          <w:sz w:val="18"/>
          <w:szCs w:val="18"/>
        </w:rPr>
        <w:t xml:space="preserve">SENTRY_DSN=</w:t>
      </w:r>
    </w:p>
    <w:p>
      <w:pPr>
        <w:shd w:fill="F0F0F0" w:val="clear"/>
        <w:spacing w:after="40" w:before="40"/>
      </w:pPr>
      <w:r>
        <w:rPr>
          <w:rFonts w:ascii="Courier New" w:cs="Courier New" w:eastAsia="Courier New" w:hAnsi="Courier New"/>
          <w:color w:val="333333"/>
          <w:sz w:val="18"/>
          <w:szCs w:val="18"/>
        </w:rPr>
        <w:t xml:space="preserve">SENTRY_AUTH_TOKEN=</w:t>
      </w:r>
    </w:p>
    <w:p>
      <w:pPr>
        <w:shd w:fill="F0F0F0" w:val="clear"/>
        <w:spacing w:after="40" w:before="40"/>
      </w:pPr>
      <w:r>
        <w:rPr>
          <w:rFonts w:ascii="Courier New" w:cs="Courier New" w:eastAsia="Courier New" w:hAnsi="Courier New"/>
          <w:color w:val="333333"/>
          <w:sz w:val="18"/>
          <w:szCs w:val="18"/>
        </w:rPr>
        <w:t xml:space="preserve">AXIOM_DATASET=</w:t>
      </w:r>
    </w:p>
    <w:p>
      <w:pPr>
        <w:shd w:fill="F0F0F0" w:val="clear"/>
        <w:spacing w:after="40" w:before="40"/>
      </w:pPr>
      <w:r>
        <w:rPr>
          <w:rFonts w:ascii="Courier New" w:cs="Courier New" w:eastAsia="Courier New" w:hAnsi="Courier New"/>
          <w:color w:val="333333"/>
          <w:sz w:val="18"/>
          <w:szCs w:val="18"/>
        </w:rPr>
        <w:t xml:space="preserve">AXIOM_TOKEN=</w:t>
      </w:r>
    </w:p>
    <w:p>
      <w:pPr>
        <w:shd w:fill="F0F0F0" w:val="clear"/>
        <w:spacing w:after="40" w:before="40"/>
      </w:pPr>
      <w:r>
        <w:rPr>
          <w:rFonts w:ascii="Courier New" w:cs="Courier New" w:eastAsia="Courier New" w:hAnsi="Courier New"/>
          <w:color w:val="333333"/>
          <w:sz w:val="18"/>
          <w:szCs w:val="18"/>
        </w:rPr>
        <w:t xml:space="preserve">TYPESENSE_HOST=</w:t>
      </w:r>
    </w:p>
    <w:p>
      <w:pPr>
        <w:shd w:fill="F0F0F0" w:val="clear"/>
        <w:spacing w:after="40" w:before="40"/>
      </w:pPr>
      <w:r>
        <w:rPr>
          <w:rFonts w:ascii="Courier New" w:cs="Courier New" w:eastAsia="Courier New" w:hAnsi="Courier New"/>
          <w:color w:val="333333"/>
          <w:sz w:val="18"/>
          <w:szCs w:val="18"/>
        </w:rPr>
        <w:t xml:space="preserve">TYPESENSE_API_KEY=</w:t>
      </w:r>
    </w:p>
    <w:p>
      <w:pPr>
        <w:shd w:fill="F0F0F0" w:val="clear"/>
        <w:spacing w:after="40" w:before="40"/>
      </w:pPr>
      <w:r>
        <w:rPr>
          <w:rFonts w:ascii="Courier New" w:cs="Courier New" w:eastAsia="Courier New" w:hAnsi="Courier New"/>
          <w:color w:val="333333"/>
          <w:sz w:val="18"/>
          <w:szCs w:val="18"/>
        </w:rPr>
        <w:t xml:space="preserve">SANITY_PROJECT_ID=</w:t>
      </w:r>
    </w:p>
    <w:p>
      <w:pPr>
        <w:shd w:fill="F0F0F0" w:val="clear"/>
        <w:spacing w:after="40" w:before="40"/>
      </w:pPr>
      <w:r>
        <w:rPr>
          <w:rFonts w:ascii="Courier New" w:cs="Courier New" w:eastAsia="Courier New" w:hAnsi="Courier New"/>
          <w:color w:val="333333"/>
          <w:sz w:val="18"/>
          <w:szCs w:val="18"/>
        </w:rPr>
        <w:t xml:space="preserve">SANITY_DATASET=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PHASE 2 BUILD ORDER</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1: Infrastructure Upgrades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1a. Install and configure Sentry:</w:t>
      </w:r>
    </w:p>
    <w:p>
      <w:pPr>
        <w:shd w:fill="F0F0F0" w:val="clear"/>
        <w:spacing w:after="40" w:before="40"/>
      </w:pPr>
      <w:r>
        <w:rPr>
          <w:rFonts w:ascii="Courier New" w:cs="Courier New" w:eastAsia="Courier New" w:hAnsi="Courier New"/>
          <w:color w:val="333333"/>
          <w:sz w:val="18"/>
          <w:szCs w:val="18"/>
        </w:rPr>
        <w:t xml:space="preserve">    - npx @sentry/wizard@latest -i nextjs</w:t>
      </w:r>
    </w:p>
    <w:p>
      <w:pPr>
        <w:shd w:fill="F0F0F0" w:val="clear"/>
        <w:spacing w:after="40" w:before="40"/>
      </w:pPr>
      <w:r>
        <w:rPr>
          <w:rFonts w:ascii="Courier New" w:cs="Courier New" w:eastAsia="Courier New" w:hAnsi="Courier New"/>
          <w:color w:val="333333"/>
          <w:sz w:val="18"/>
          <w:szCs w:val="18"/>
        </w:rPr>
        <w:t xml:space="preserve">    - Add custom error context: organization_id, user_id, plan</w:t>
      </w:r>
    </w:p>
    <w:p>
      <w:pPr>
        <w:shd w:fill="F0F0F0" w:val="clear"/>
        <w:spacing w:after="40" w:before="40"/>
      </w:pPr>
      <w:r>
        <w:rPr>
          <w:rFonts w:ascii="Courier New" w:cs="Courier New" w:eastAsia="Courier New" w:hAnsi="Courier New"/>
          <w:color w:val="333333"/>
          <w:sz w:val="18"/>
          <w:szCs w:val="18"/>
        </w:rPr>
        <w:t xml:space="preserve">    - Performance monitoring on all tRPC procedures</w:t>
      </w:r>
    </w:p>
    <w:p>
      <w:pPr>
        <w:shd w:fill="F0F0F0" w:val="clear"/>
        <w:spacing w:after="40" w:before="40"/>
      </w:pPr>
      <w:r>
        <w:rPr>
          <w:rFonts w:ascii="Courier New" w:cs="Courier New" w:eastAsia="Courier New" w:hAnsi="Courier New"/>
          <w:color w:val="333333"/>
          <w:sz w:val="18"/>
          <w:szCs w:val="18"/>
        </w:rPr>
        <w:t xml:space="preserve">    - Source maps upload in CI/CD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1b. Install and configure Inngest:</w:t>
      </w:r>
    </w:p>
    <w:p>
      <w:pPr>
        <w:shd w:fill="F0F0F0" w:val="clear"/>
        <w:spacing w:after="40" w:before="40"/>
      </w:pPr>
      <w:r>
        <w:rPr>
          <w:rFonts w:ascii="Courier New" w:cs="Courier New" w:eastAsia="Courier New" w:hAnsi="Courier New"/>
          <w:color w:val="333333"/>
          <w:sz w:val="18"/>
          <w:szCs w:val="18"/>
        </w:rPr>
        <w:t xml:space="preserve">    - Create /app/api/inngest/route.ts (serves Inngest functions)</w:t>
      </w:r>
    </w:p>
    <w:p>
      <w:pPr>
        <w:shd w:fill="F0F0F0" w:val="clear"/>
        <w:spacing w:after="40" w:before="40"/>
      </w:pPr>
      <w:r>
        <w:rPr>
          <w:rFonts w:ascii="Courier New" w:cs="Courier New" w:eastAsia="Courier New" w:hAnsi="Courier New"/>
          <w:color w:val="333333"/>
          <w:sz w:val="18"/>
          <w:szCs w:val="18"/>
        </w:rPr>
        <w:t xml:space="preserve">    - Migrate PDF generation to Inngest function (remove sync Puppeteer from API route)</w:t>
      </w:r>
    </w:p>
    <w:p>
      <w:pPr>
        <w:shd w:fill="F0F0F0" w:val="clear"/>
        <w:spacing w:after="40" w:before="40"/>
      </w:pPr>
      <w:r>
        <w:rPr>
          <w:rFonts w:ascii="Courier New" w:cs="Courier New" w:eastAsia="Courier New" w:hAnsi="Courier New"/>
          <w:color w:val="333333"/>
          <w:sz w:val="18"/>
          <w:szCs w:val="18"/>
        </w:rPr>
        <w:t xml:space="preserve">    - Migrate risk classification to Inngest (batch processing)</w:t>
      </w:r>
    </w:p>
    <w:p>
      <w:pPr>
        <w:shd w:fill="F0F0F0" w:val="clear"/>
        <w:spacing w:after="40" w:before="40"/>
      </w:pPr>
      <w:r>
        <w:rPr>
          <w:rFonts w:ascii="Courier New" w:cs="Courier New" w:eastAsia="Courier New" w:hAnsi="Courier New"/>
          <w:color w:val="333333"/>
          <w:sz w:val="18"/>
          <w:szCs w:val="18"/>
        </w:rPr>
        <w:t xml:space="preserve">    - Add daily regulation sync job (cron: '0 2 * * *')</w:t>
      </w:r>
    </w:p>
    <w:p>
      <w:pPr>
        <w:shd w:fill="F0F0F0" w:val="clear"/>
        <w:spacing w:after="40" w:before="40"/>
      </w:pPr>
      <w:r>
        <w:rPr>
          <w:rFonts w:ascii="Courier New" w:cs="Courier New" w:eastAsia="Courier New" w:hAnsi="Courier New"/>
          <w:color w:val="333333"/>
          <w:sz w:val="18"/>
          <w:szCs w:val="18"/>
        </w:rPr>
        <w:t xml:space="preserve">    - Add integration sync job (event-driven)</w:t>
      </w:r>
    </w:p>
    <w:p>
      <w:pPr>
        <w:shd w:fill="F0F0F0" w:val="clear"/>
        <w:spacing w:after="40" w:before="40"/>
      </w:pPr>
      <w:r>
        <w:rPr>
          <w:rFonts w:ascii="Courier New" w:cs="Courier New" w:eastAsia="Courier New" w:hAnsi="Courier New"/>
          <w:color w:val="333333"/>
          <w:sz w:val="18"/>
          <w:szCs w:val="18"/>
        </w:rPr>
        <w:t xml:space="preserve">    - Local dev: npx inngest-cli@latest dev</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1c. Set up Upstash Redis:</w:t>
      </w:r>
    </w:p>
    <w:p>
      <w:pPr>
        <w:shd w:fill="F0F0F0" w:val="clear"/>
        <w:spacing w:after="40" w:before="40"/>
      </w:pPr>
      <w:r>
        <w:rPr>
          <w:rFonts w:ascii="Courier New" w:cs="Courier New" w:eastAsia="Courier New" w:hAnsi="Courier New"/>
          <w:color w:val="333333"/>
          <w:sz w:val="18"/>
          <w:szCs w:val="18"/>
        </w:rPr>
        <w:t xml:space="preserve">    - Create /lib/redis.ts with cached() and invalidate() helpers</w:t>
      </w:r>
    </w:p>
    <w:p>
      <w:pPr>
        <w:shd w:fill="F0F0F0" w:val="clear"/>
        <w:spacing w:after="40" w:before="40"/>
      </w:pPr>
      <w:r>
        <w:rPr>
          <w:rFonts w:ascii="Courier New" w:cs="Courier New" w:eastAsia="Courier New" w:hAnsi="Courier New"/>
          <w:color w:val="333333"/>
          <w:sz w:val="18"/>
          <w:szCs w:val="18"/>
        </w:rPr>
        <w:t xml:space="preserve">    - Add rate limiting middleware for public API endpoints</w:t>
      </w:r>
    </w:p>
    <w:p>
      <w:pPr>
        <w:shd w:fill="F0F0F0" w:val="clear"/>
        <w:spacing w:after="40" w:before="40"/>
      </w:pPr>
      <w:r>
        <w:rPr>
          <w:rFonts w:ascii="Courier New" w:cs="Courier New" w:eastAsia="Courier New" w:hAnsi="Courier New"/>
          <w:color w:val="333333"/>
          <w:sz w:val="18"/>
          <w:szCs w:val="18"/>
        </w:rPr>
        <w:t xml:space="preserve">    - Cache compliance scores (TTL: 5min)</w:t>
      </w:r>
    </w:p>
    <w:p>
      <w:pPr>
        <w:shd w:fill="F0F0F0" w:val="clear"/>
        <w:spacing w:after="40" w:before="40"/>
      </w:pPr>
      <w:r>
        <w:rPr>
          <w:rFonts w:ascii="Courier New" w:cs="Courier New" w:eastAsia="Courier New" w:hAnsi="Courier New"/>
          <w:color w:val="333333"/>
          <w:sz w:val="18"/>
          <w:szCs w:val="18"/>
        </w:rPr>
        <w:t xml:space="preserve">    - Cache Trust Page data (TTL: 5min)</w:t>
      </w:r>
    </w:p>
    <w:p>
      <w:pPr>
        <w:shd w:fill="F0F0F0" w:val="clear"/>
        <w:spacing w:after="40" w:before="40"/>
      </w:pPr>
      <w:r>
        <w:rPr>
          <w:rFonts w:ascii="Courier New" w:cs="Courier New" w:eastAsia="Courier New" w:hAnsi="Courier New"/>
          <w:color w:val="333333"/>
          <w:sz w:val="18"/>
          <w:szCs w:val="18"/>
        </w:rPr>
        <w:t xml:space="preserve">    - Cache badge SVG output (TTL: 1hour)</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1d. Set up structured logging with Axiom:</w:t>
      </w:r>
    </w:p>
    <w:p>
      <w:pPr>
        <w:shd w:fill="F0F0F0" w:val="clear"/>
        <w:spacing w:after="40" w:before="40"/>
      </w:pPr>
      <w:r>
        <w:rPr>
          <w:rFonts w:ascii="Courier New" w:cs="Courier New" w:eastAsia="Courier New" w:hAnsi="Courier New"/>
          <w:color w:val="333333"/>
          <w:sz w:val="18"/>
          <w:szCs w:val="18"/>
        </w:rPr>
        <w:t xml:space="preserve">    - Replace console.log with structured logger</w:t>
      </w:r>
    </w:p>
    <w:p>
      <w:pPr>
        <w:shd w:fill="F0F0F0" w:val="clear"/>
        <w:spacing w:after="40" w:before="40"/>
      </w:pPr>
      <w:r>
        <w:rPr>
          <w:rFonts w:ascii="Courier New" w:cs="Courier New" w:eastAsia="Courier New" w:hAnsi="Courier New"/>
          <w:color w:val="333333"/>
          <w:sz w:val="18"/>
          <w:szCs w:val="18"/>
        </w:rPr>
        <w:t xml:space="preserve">    - Log format: { level, message, orgId, userId, action, duration, metadata }</w:t>
      </w:r>
    </w:p>
    <w:p>
      <w:pPr>
        <w:shd w:fill="F0F0F0" w:val="clear"/>
        <w:spacing w:after="40" w:before="40"/>
      </w:pPr>
      <w:r>
        <w:rPr>
          <w:rFonts w:ascii="Courier New" w:cs="Courier New" w:eastAsia="Courier New" w:hAnsi="Courier New"/>
          <w:color w:val="333333"/>
          <w:sz w:val="18"/>
          <w:szCs w:val="18"/>
        </w:rPr>
        <w:t xml:space="preserve">    - Instrument all tRPC mutations with timing</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1e. Add Typesense search:</w:t>
      </w:r>
    </w:p>
    <w:p>
      <w:pPr>
        <w:shd w:fill="F0F0F0" w:val="clear"/>
        <w:spacing w:after="40" w:before="40"/>
      </w:pPr>
      <w:r>
        <w:rPr>
          <w:rFonts w:ascii="Courier New" w:cs="Courier New" w:eastAsia="Courier New" w:hAnsi="Courier New"/>
          <w:color w:val="333333"/>
          <w:sz w:val="18"/>
          <w:szCs w:val="18"/>
        </w:rPr>
        <w:t xml:space="preserve">    - Collections: ai_systems, documents, regulations</w:t>
      </w:r>
    </w:p>
    <w:p>
      <w:pPr>
        <w:shd w:fill="F0F0F0" w:val="clear"/>
        <w:spacing w:after="40" w:before="40"/>
      </w:pPr>
      <w:r>
        <w:rPr>
          <w:rFonts w:ascii="Courier New" w:cs="Courier New" w:eastAsia="Courier New" w:hAnsi="Courier New"/>
          <w:color w:val="333333"/>
          <w:sz w:val="18"/>
          <w:szCs w:val="18"/>
        </w:rPr>
        <w:t xml:space="preserve">    - Sync on create/update/delete (via Inngest job triggered by DB webhook)</w:t>
      </w:r>
    </w:p>
    <w:p>
      <w:pPr>
        <w:shd w:fill="F0F0F0" w:val="clear"/>
        <w:spacing w:after="40" w:before="40"/>
      </w:pPr>
      <w:r>
        <w:rPr>
          <w:rFonts w:ascii="Courier New" w:cs="Courier New" w:eastAsia="Courier New" w:hAnsi="Courier New"/>
          <w:color w:val="333333"/>
          <w:sz w:val="18"/>
          <w:szCs w:val="18"/>
        </w:rPr>
        <w:t xml:space="preserve">    - Search component: /components/search/GlobalSearch.tsx</w:t>
      </w:r>
    </w:p>
    <w:p>
      <w:pPr>
        <w:shd w:fill="F0F0F0" w:val="clear"/>
        <w:spacing w:after="40" w:before="40"/>
      </w:pPr>
      <w:r>
        <w:rPr>
          <w:rFonts w:ascii="Courier New" w:cs="Courier New" w:eastAsia="Courier New" w:hAnsi="Courier New"/>
          <w:color w:val="333333"/>
          <w:sz w:val="18"/>
          <w:szCs w:val="18"/>
        </w:rPr>
        <w:t xml:space="preserve">    - Integrate into command palette (Cmd+K)</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2: Multi-Language Support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2a. Install and configure next-intl:</w:t>
      </w:r>
    </w:p>
    <w:p>
      <w:pPr>
        <w:shd w:fill="F0F0F0" w:val="clear"/>
        <w:spacing w:after="40" w:before="40"/>
      </w:pPr>
      <w:r>
        <w:rPr>
          <w:rFonts w:ascii="Courier New" w:cs="Courier New" w:eastAsia="Courier New" w:hAnsi="Courier New"/>
          <w:color w:val="333333"/>
          <w:sz w:val="18"/>
          <w:szCs w:val="18"/>
        </w:rPr>
        <w:t xml:space="preserve">    - Locales: en, de, pl, nl, fr (Phase 2 Tier 1)</w:t>
      </w:r>
    </w:p>
    <w:p>
      <w:pPr>
        <w:shd w:fill="F0F0F0" w:val="clear"/>
        <w:spacing w:after="40" w:before="40"/>
      </w:pPr>
      <w:r>
        <w:rPr>
          <w:rFonts w:ascii="Courier New" w:cs="Courier New" w:eastAsia="Courier New" w:hAnsi="Courier New"/>
          <w:color w:val="333333"/>
          <w:sz w:val="18"/>
          <w:szCs w:val="18"/>
        </w:rPr>
        <w:t xml:space="preserve">    - Route structure: /[locale]/dashboard etc.</w:t>
      </w:r>
    </w:p>
    <w:p>
      <w:pPr>
        <w:shd w:fill="F0F0F0" w:val="clear"/>
        <w:spacing w:after="40" w:before="40"/>
      </w:pPr>
      <w:r>
        <w:rPr>
          <w:rFonts w:ascii="Courier New" w:cs="Courier New" w:eastAsia="Courier New" w:hAnsi="Courier New"/>
          <w:color w:val="333333"/>
          <w:sz w:val="18"/>
          <w:szCs w:val="18"/>
        </w:rPr>
        <w:t xml:space="preserve">    - Translation files: /messages/[locale].json</w:t>
      </w:r>
    </w:p>
    <w:p>
      <w:pPr>
        <w:shd w:fill="F0F0F0" w:val="clear"/>
        <w:spacing w:after="40" w:before="40"/>
      </w:pPr>
      <w:r>
        <w:rPr>
          <w:rFonts w:ascii="Courier New" w:cs="Courier New" w:eastAsia="Courier New" w:hAnsi="Courier New"/>
          <w:color w:val="333333"/>
          <w:sz w:val="18"/>
          <w:szCs w:val="18"/>
        </w:rPr>
        <w:t xml:space="preserve">    - Middleware: language detection from browser + org preference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2b. Translate all UI strings (EN → DE, PL, NL first):</w:t>
      </w:r>
    </w:p>
    <w:p>
      <w:pPr>
        <w:shd w:fill="F0F0F0" w:val="clear"/>
        <w:spacing w:after="40" w:before="40"/>
      </w:pPr>
      <w:r>
        <w:rPr>
          <w:rFonts w:ascii="Courier New" w:cs="Courier New" w:eastAsia="Courier New" w:hAnsi="Courier New"/>
          <w:color w:val="333333"/>
          <w:sz w:val="18"/>
          <w:szCs w:val="18"/>
        </w:rPr>
        <w:t xml:space="preserve">    - Extract all hardcoded strings</w:t>
      </w:r>
    </w:p>
    <w:p>
      <w:pPr>
        <w:shd w:fill="F0F0F0" w:val="clear"/>
        <w:spacing w:after="40" w:before="40"/>
      </w:pPr>
      <w:r>
        <w:rPr>
          <w:rFonts w:ascii="Courier New" w:cs="Courier New" w:eastAsia="Courier New" w:hAnsi="Courier New"/>
          <w:color w:val="333333"/>
          <w:sz w:val="18"/>
          <w:szCs w:val="18"/>
        </w:rPr>
        <w:t xml:space="preserve">    - Create translation keys in messages/en.json</w:t>
      </w:r>
    </w:p>
    <w:p>
      <w:pPr>
        <w:shd w:fill="F0F0F0" w:val="clear"/>
        <w:spacing w:after="40" w:before="40"/>
      </w:pPr>
      <w:r>
        <w:rPr>
          <w:rFonts w:ascii="Courier New" w:cs="Courier New" w:eastAsia="Courier New" w:hAnsi="Courier New"/>
          <w:color w:val="333333"/>
          <w:sz w:val="18"/>
          <w:szCs w:val="18"/>
        </w:rPr>
        <w:t xml:space="preserve">    - Professional translation for DE, PL, NL</w:t>
      </w:r>
    </w:p>
    <w:p>
      <w:pPr>
        <w:shd w:fill="F0F0F0" w:val="clear"/>
        <w:spacing w:after="40" w:before="40"/>
      </w:pPr>
      <w:r>
        <w:rPr>
          <w:rFonts w:ascii="Courier New" w:cs="Courier New" w:eastAsia="Courier New" w:hAnsi="Courier New"/>
          <w:color w:val="333333"/>
          <w:sz w:val="18"/>
          <w:szCs w:val="18"/>
        </w:rPr>
        <w:t xml:space="preserve">    - Machine translation for FR (professional review Phase 2 Month 4)</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2c. Language-aware document generation:</w:t>
      </w:r>
    </w:p>
    <w:p>
      <w:pPr>
        <w:shd w:fill="F0F0F0" w:val="clear"/>
        <w:spacing w:after="40" w:before="40"/>
      </w:pPr>
      <w:r>
        <w:rPr>
          <w:rFonts w:ascii="Courier New" w:cs="Courier New" w:eastAsia="Courier New" w:hAnsi="Courier New"/>
          <w:color w:val="333333"/>
          <w:sz w:val="18"/>
          <w:szCs w:val="18"/>
        </w:rPr>
        <w:t xml:space="preserve">    - Add locale parameter to all document generation Claude prompts</w:t>
      </w:r>
    </w:p>
    <w:p>
      <w:pPr>
        <w:shd w:fill="F0F0F0" w:val="clear"/>
        <w:spacing w:after="40" w:before="40"/>
      </w:pPr>
      <w:r>
        <w:rPr>
          <w:rFonts w:ascii="Courier New" w:cs="Courier New" w:eastAsia="Courier New" w:hAnsi="Courier New"/>
          <w:color w:val="333333"/>
          <w:sz w:val="18"/>
          <w:szCs w:val="18"/>
        </w:rPr>
        <w:t xml:space="preserve">    - User sets preferred document language in /dashboard/settings/preferences</w:t>
      </w:r>
    </w:p>
    <w:p>
      <w:pPr>
        <w:shd w:fill="F0F0F0" w:val="clear"/>
        <w:spacing w:after="40" w:before="40"/>
      </w:pPr>
      <w:r>
        <w:rPr>
          <w:rFonts w:ascii="Courier New" w:cs="Courier New" w:eastAsia="Courier New" w:hAnsi="Courier New"/>
          <w:color w:val="333333"/>
          <w:sz w:val="18"/>
          <w:szCs w:val="18"/>
        </w:rPr>
        <w:t xml:space="preserve">    - Generated PDF language = user's document language preference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2d. Country-specific marketing pages:</w:t>
      </w:r>
    </w:p>
    <w:p>
      <w:pPr>
        <w:shd w:fill="F0F0F0" w:val="clear"/>
        <w:spacing w:after="40" w:before="40"/>
      </w:pPr>
      <w:r>
        <w:rPr>
          <w:rFonts w:ascii="Courier New" w:cs="Courier New" w:eastAsia="Courier New" w:hAnsi="Courier New"/>
          <w:color w:val="333333"/>
          <w:sz w:val="18"/>
          <w:szCs w:val="18"/>
        </w:rPr>
        <w:t xml:space="preserve">    - /[locale]/eu-ai-act — localized EU AI Act guide</w:t>
      </w:r>
    </w:p>
    <w:p>
      <w:pPr>
        <w:shd w:fill="F0F0F0" w:val="clear"/>
        <w:spacing w:after="40" w:before="40"/>
      </w:pPr>
      <w:r>
        <w:rPr>
          <w:rFonts w:ascii="Courier New" w:cs="Courier New" w:eastAsia="Courier New" w:hAnsi="Courier New"/>
          <w:color w:val="333333"/>
          <w:sz w:val="18"/>
          <w:szCs w:val="18"/>
        </w:rPr>
        <w:t xml:space="preserve">    - Dynamic OG images in correct language</w:t>
      </w:r>
    </w:p>
    <w:p>
      <w:pPr>
        <w:shd w:fill="F0F0F0" w:val="clear"/>
        <w:spacing w:after="40" w:before="40"/>
      </w:pPr>
      <w:r>
        <w:rPr>
          <w:rFonts w:ascii="Courier New" w:cs="Courier New" w:eastAsia="Courier New" w:hAnsi="Courier New"/>
          <w:color w:val="333333"/>
          <w:sz w:val="18"/>
          <w:szCs w:val="18"/>
        </w:rPr>
        <w:t xml:space="preserve">    - hreflang tags for all country variants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3: Integration Marketplace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3a. Integration data model (add to Prisma schema):</w:t>
      </w:r>
    </w:p>
    <w:p>
      <w:pPr>
        <w:shd w:fill="F0F0F0" w:val="clear"/>
        <w:spacing w:after="40" w:before="40"/>
      </w:pPr>
      <w:r>
        <w:rPr>
          <w:rFonts w:ascii="Courier New" w:cs="Courier New" w:eastAsia="Courier New" w:hAnsi="Courier New"/>
          <w:color w:val="333333"/>
          <w:sz w:val="18"/>
          <w:szCs w:val="18"/>
        </w:rPr>
        <w:t xml:space="preserve">    - Integration, IntegrationSyncLog tables</w:t>
      </w:r>
    </w:p>
    <w:p>
      <w:pPr>
        <w:shd w:fill="F0F0F0" w:val="clear"/>
        <w:spacing w:after="40" w:before="40"/>
      </w:pPr>
      <w:r>
        <w:rPr>
          <w:rFonts w:ascii="Courier New" w:cs="Courier New" w:eastAsia="Courier New" w:hAnsi="Courier New"/>
          <w:color w:val="333333"/>
          <w:sz w:val="18"/>
          <w:szCs w:val="18"/>
        </w:rPr>
        <w:t xml:space="preserve">    - Encrypted credential storage (use Supabase Vault)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3b. Integration interface and base class:</w:t>
      </w:r>
    </w:p>
    <w:p>
      <w:pPr>
        <w:shd w:fill="F0F0F0" w:val="clear"/>
        <w:spacing w:after="40" w:before="40"/>
      </w:pPr>
      <w:r>
        <w:rPr>
          <w:rFonts w:ascii="Courier New" w:cs="Courier New" w:eastAsia="Courier New" w:hAnsi="Courier New"/>
          <w:color w:val="333333"/>
          <w:sz w:val="18"/>
          <w:szCs w:val="18"/>
        </w:rPr>
        <w:t xml:space="preserve">    - /server/integrations/base.ts — abstract Integration class</w:t>
      </w:r>
    </w:p>
    <w:p>
      <w:pPr>
        <w:shd w:fill="F0F0F0" w:val="clear"/>
        <w:spacing w:after="40" w:before="40"/>
      </w:pPr>
      <w:r>
        <w:rPr>
          <w:rFonts w:ascii="Courier New" w:cs="Courier New" w:eastAsia="Courier New" w:hAnsi="Courier New"/>
          <w:color w:val="333333"/>
          <w:sz w:val="18"/>
          <w:szCs w:val="18"/>
        </w:rPr>
        <w:t xml:space="preserve">    - /server/integrations/catalog.ts — registry of all integrations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3c. Build integrations in this order:</w:t>
      </w:r>
    </w:p>
    <w:p>
      <w:pPr>
        <w:shd w:fill="F0F0F0" w:val="clear"/>
        <w:spacing w:after="40" w:before="40"/>
      </w:pPr>
      <w:r>
        <w:rPr>
          <w:rFonts w:ascii="Courier New" w:cs="Courier New" w:eastAsia="Courier New" w:hAnsi="Courier New"/>
          <w:color w:val="333333"/>
          <w:sz w:val="18"/>
          <w:szCs w:val="18"/>
        </w:rPr>
        <w:t xml:space="preserve">    Priority 1 (Month 1): Microsoft Azure, GitHub, Okta/Azure AD</w:t>
      </w:r>
    </w:p>
    <w:p>
      <w:pPr>
        <w:shd w:fill="F0F0F0" w:val="clear"/>
        <w:spacing w:after="40" w:before="40"/>
      </w:pPr>
      <w:r>
        <w:rPr>
          <w:rFonts w:ascii="Courier New" w:cs="Courier New" w:eastAsia="Courier New" w:hAnsi="Courier New"/>
          <w:color w:val="333333"/>
          <w:sz w:val="18"/>
          <w:szCs w:val="18"/>
        </w:rPr>
        <w:t xml:space="preserve">    Priority 2 (Month 2): AWS, Google Cloud, HubSpot, Salesforce</w:t>
      </w:r>
    </w:p>
    <w:p>
      <w:pPr>
        <w:shd w:fill="F0F0F0" w:val="clear"/>
        <w:spacing w:after="40" w:before="40"/>
      </w:pPr>
      <w:r>
        <w:rPr>
          <w:rFonts w:ascii="Courier New" w:cs="Courier New" w:eastAsia="Courier New" w:hAnsi="Courier New"/>
          <w:color w:val="333333"/>
          <w:sz w:val="18"/>
          <w:szCs w:val="18"/>
        </w:rPr>
        <w:t xml:space="preserve">    Priority 3 (Month 3): Slack, Jira, Zendesk</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For each integration:</w:t>
      </w:r>
    </w:p>
    <w:p>
      <w:pPr>
        <w:shd w:fill="F0F0F0" w:val="clear"/>
        <w:spacing w:after="40" w:before="40"/>
      </w:pPr>
      <w:r>
        <w:rPr>
          <w:rFonts w:ascii="Courier New" w:cs="Courier New" w:eastAsia="Courier New" w:hAnsi="Courier New"/>
          <w:color w:val="333333"/>
          <w:sz w:val="18"/>
          <w:szCs w:val="18"/>
        </w:rPr>
        <w:t xml:space="preserve">    - /server/integrations/[name]/index.ts — main class</w:t>
      </w:r>
    </w:p>
    <w:p>
      <w:pPr>
        <w:shd w:fill="F0F0F0" w:val="clear"/>
        <w:spacing w:after="40" w:before="40"/>
      </w:pPr>
      <w:r>
        <w:rPr>
          <w:rFonts w:ascii="Courier New" w:cs="Courier New" w:eastAsia="Courier New" w:hAnsi="Courier New"/>
          <w:color w:val="333333"/>
          <w:sz w:val="18"/>
          <w:szCs w:val="18"/>
        </w:rPr>
        <w:t xml:space="preserve">    - /server/integrations/[name]/oauth.ts — OAuth flow handlers</w:t>
      </w:r>
    </w:p>
    <w:p>
      <w:pPr>
        <w:shd w:fill="F0F0F0" w:val="clear"/>
        <w:spacing w:after="40" w:before="40"/>
      </w:pPr>
      <w:r>
        <w:rPr>
          <w:rFonts w:ascii="Courier New" w:cs="Courier New" w:eastAsia="Courier New" w:hAnsi="Courier New"/>
          <w:color w:val="333333"/>
          <w:sz w:val="18"/>
          <w:szCs w:val="18"/>
        </w:rPr>
        <w:t xml:space="preserve">    - /app/api/integrations/[name]/authorize/route.ts</w:t>
      </w:r>
    </w:p>
    <w:p>
      <w:pPr>
        <w:shd w:fill="F0F0F0" w:val="clear"/>
        <w:spacing w:after="40" w:before="40"/>
      </w:pPr>
      <w:r>
        <w:rPr>
          <w:rFonts w:ascii="Courier New" w:cs="Courier New" w:eastAsia="Courier New" w:hAnsi="Courier New"/>
          <w:color w:val="333333"/>
          <w:sz w:val="18"/>
          <w:szCs w:val="18"/>
        </w:rPr>
        <w:t xml:space="preserve">    - /app/api/integrations/[name]/callback/route.ts</w:t>
      </w:r>
    </w:p>
    <w:p>
      <w:pPr>
        <w:shd w:fill="F0F0F0" w:val="clear"/>
        <w:spacing w:after="40" w:before="40"/>
      </w:pPr>
      <w:r>
        <w:rPr>
          <w:rFonts w:ascii="Courier New" w:cs="Courier New" w:eastAsia="Courier New" w:hAnsi="Courier New"/>
          <w:color w:val="333333"/>
          <w:sz w:val="18"/>
          <w:szCs w:val="18"/>
        </w:rPr>
        <w:t xml:space="preserve">    - /server/integrations/[name]/discovery.ts — AI system finder</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3d. Integration dashboard:</w:t>
      </w:r>
    </w:p>
    <w:p>
      <w:pPr>
        <w:shd w:fill="F0F0F0" w:val="clear"/>
        <w:spacing w:after="40" w:before="40"/>
      </w:pPr>
      <w:r>
        <w:rPr>
          <w:rFonts w:ascii="Courier New" w:cs="Courier New" w:eastAsia="Courier New" w:hAnsi="Courier New"/>
          <w:color w:val="333333"/>
          <w:sz w:val="18"/>
          <w:szCs w:val="18"/>
        </w:rPr>
        <w:t xml:space="preserve">    - /app/dashboard/integrations/page.tsx — grid of all integrations</w:t>
      </w:r>
    </w:p>
    <w:p>
      <w:pPr>
        <w:shd w:fill="F0F0F0" w:val="clear"/>
        <w:spacing w:after="40" w:before="40"/>
      </w:pPr>
      <w:r>
        <w:rPr>
          <w:rFonts w:ascii="Courier New" w:cs="Courier New" w:eastAsia="Courier New" w:hAnsi="Courier New"/>
          <w:color w:val="333333"/>
          <w:sz w:val="18"/>
          <w:szCs w:val="18"/>
        </w:rPr>
        <w:t xml:space="preserve">    - Status indicators, last sync time, discovered count</w:t>
      </w:r>
    </w:p>
    <w:p>
      <w:pPr>
        <w:shd w:fill="F0F0F0" w:val="clear"/>
        <w:spacing w:after="40" w:before="40"/>
      </w:pPr>
      <w:r>
        <w:rPr>
          <w:rFonts w:ascii="Courier New" w:cs="Courier New" w:eastAsia="Courier New" w:hAnsi="Courier New"/>
          <w:color w:val="333333"/>
          <w:sz w:val="18"/>
          <w:szCs w:val="18"/>
        </w:rPr>
        <w:t xml:space="preserve">    - Manual sync trigger</w:t>
      </w:r>
    </w:p>
    <w:p>
      <w:pPr>
        <w:shd w:fill="F0F0F0" w:val="clear"/>
        <w:spacing w:after="40" w:before="40"/>
      </w:pPr>
      <w:r>
        <w:rPr>
          <w:rFonts w:ascii="Courier New" w:cs="Courier New" w:eastAsia="Courier New" w:hAnsi="Courier New"/>
          <w:color w:val="333333"/>
          <w:sz w:val="18"/>
          <w:szCs w:val="18"/>
        </w:rPr>
        <w:t xml:space="preserve">    - Configure per-integration settings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3e. Shadow IT Discovery flow:</w:t>
      </w:r>
    </w:p>
    <w:p>
      <w:pPr>
        <w:shd w:fill="F0F0F0" w:val="clear"/>
        <w:spacing w:after="40" w:before="40"/>
      </w:pPr>
      <w:r>
        <w:rPr>
          <w:rFonts w:ascii="Courier New" w:cs="Courier New" w:eastAsia="Courier New" w:hAnsi="Courier New"/>
          <w:color w:val="333333"/>
          <w:sz w:val="18"/>
          <w:szCs w:val="18"/>
        </w:rPr>
        <w:t xml:space="preserve">    - Candidate system inbox: /dashboard/inventory?view=candidates</w:t>
      </w:r>
    </w:p>
    <w:p>
      <w:pPr>
        <w:shd w:fill="F0F0F0" w:val="clear"/>
        <w:spacing w:after="40" w:before="40"/>
      </w:pPr>
      <w:r>
        <w:rPr>
          <w:rFonts w:ascii="Courier New" w:cs="Courier New" w:eastAsia="Courier New" w:hAnsi="Courier New"/>
          <w:color w:val="333333"/>
          <w:sz w:val="18"/>
          <w:szCs w:val="18"/>
        </w:rPr>
        <w:t xml:space="preserve">    - Review modal: confirm, dismiss, or investigate each candidate</w:t>
      </w:r>
    </w:p>
    <w:p>
      <w:pPr>
        <w:shd w:fill="F0F0F0" w:val="clear"/>
        <w:spacing w:after="40" w:before="40"/>
      </w:pPr>
      <w:r>
        <w:rPr>
          <w:rFonts w:ascii="Courier New" w:cs="Courier New" w:eastAsia="Courier New" w:hAnsi="Courier New"/>
          <w:color w:val="333333"/>
          <w:sz w:val="18"/>
          <w:szCs w:val="18"/>
        </w:rPr>
        <w:t xml:space="preserve">    - Notification when new candidates discovered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4: Multi-Regulation Framework</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4a. Framework data model:</w:t>
      </w:r>
    </w:p>
    <w:p>
      <w:pPr>
        <w:shd w:fill="F0F0F0" w:val="clear"/>
        <w:spacing w:after="40" w:before="40"/>
      </w:pPr>
      <w:r>
        <w:rPr>
          <w:rFonts w:ascii="Courier New" w:cs="Courier New" w:eastAsia="Courier New" w:hAnsi="Courier New"/>
          <w:color w:val="333333"/>
          <w:sz w:val="18"/>
          <w:szCs w:val="18"/>
        </w:rPr>
        <w:t xml:space="preserve">    - RegulationFramework, OrgFramework, FrameworkObligation,</w:t>
      </w:r>
    </w:p>
    <w:p>
      <w:pPr>
        <w:shd w:fill="F0F0F0" w:val="clear"/>
        <w:spacing w:after="40" w:before="40"/>
      </w:pPr>
      <w:r>
        <w:rPr>
          <w:rFonts w:ascii="Courier New" w:cs="Courier New" w:eastAsia="Courier New" w:hAnsi="Courier New"/>
          <w:color w:val="333333"/>
          <w:sz w:val="18"/>
          <w:szCs w:val="18"/>
        </w:rPr>
        <w:t xml:space="preserve">      OrgObligation tables in Prisma</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4b. Seed data for ISO 42001:</w:t>
      </w:r>
    </w:p>
    <w:p>
      <w:pPr>
        <w:shd w:fill="F0F0F0" w:val="clear"/>
        <w:spacing w:after="40" w:before="40"/>
      </w:pPr>
      <w:r>
        <w:rPr>
          <w:rFonts w:ascii="Courier New" w:cs="Courier New" w:eastAsia="Courier New" w:hAnsi="Courier New"/>
          <w:color w:val="333333"/>
          <w:sz w:val="18"/>
          <w:szCs w:val="18"/>
        </w:rPr>
        <w:t xml:space="preserve">    - All ISO 42001 clauses as FrameworkObligation records</w:t>
      </w:r>
    </w:p>
    <w:p>
      <w:pPr>
        <w:shd w:fill="F0F0F0" w:val="clear"/>
        <w:spacing w:after="40" w:before="40"/>
      </w:pPr>
      <w:r>
        <w:rPr>
          <w:rFonts w:ascii="Courier New" w:cs="Courier New" w:eastAsia="Courier New" w:hAnsi="Courier New"/>
          <w:color w:val="333333"/>
          <w:sz w:val="18"/>
          <w:szCs w:val="18"/>
        </w:rPr>
        <w:t xml:space="preserve">    - Mapping: which clauses are pre-filled from EU AI Act data</w:t>
      </w:r>
    </w:p>
    <w:p>
      <w:pPr>
        <w:shd w:fill="F0F0F0" w:val="clear"/>
        <w:spacing w:after="40" w:before="40"/>
      </w:pPr>
      <w:r>
        <w:rPr>
          <w:rFonts w:ascii="Courier New" w:cs="Courier New" w:eastAsia="Courier New" w:hAnsi="Courier New"/>
          <w:color w:val="333333"/>
          <w:sz w:val="18"/>
          <w:szCs w:val="18"/>
        </w:rPr>
        <w:t xml:space="preserve">    - Obligations with: title, description, evidence_required, estimated_hours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4c. Framework Activation Flow:</w:t>
      </w:r>
    </w:p>
    <w:p>
      <w:pPr>
        <w:shd w:fill="F0F0F0" w:val="clear"/>
        <w:spacing w:after="40" w:before="40"/>
      </w:pPr>
      <w:r>
        <w:rPr>
          <w:rFonts w:ascii="Courier New" w:cs="Courier New" w:eastAsia="Courier New" w:hAnsi="Courier New"/>
          <w:color w:val="333333"/>
          <w:sz w:val="18"/>
          <w:szCs w:val="18"/>
        </w:rPr>
        <w:t xml:space="preserve">    - /dashboard/frameworks — list of available frameworks</w:t>
      </w:r>
    </w:p>
    <w:p>
      <w:pPr>
        <w:shd w:fill="F0F0F0" w:val="clear"/>
        <w:spacing w:after="40" w:before="40"/>
      </w:pPr>
      <w:r>
        <w:rPr>
          <w:rFonts w:ascii="Courier New" w:cs="Courier New" w:eastAsia="Courier New" w:hAnsi="Courier New"/>
          <w:color w:val="333333"/>
          <w:sz w:val="18"/>
          <w:szCs w:val="18"/>
        </w:rPr>
        <w:t xml:space="preserve">    - Activation wizard: scope check → gap analysis → obligation plan</w:t>
      </w:r>
    </w:p>
    <w:p>
      <w:pPr>
        <w:shd w:fill="F0F0F0" w:val="clear"/>
        <w:spacing w:after="40" w:before="40"/>
      </w:pPr>
      <w:r>
        <w:rPr>
          <w:rFonts w:ascii="Courier New" w:cs="Courier New" w:eastAsia="Courier New" w:hAnsi="Courier New"/>
          <w:color w:val="333333"/>
          <w:sz w:val="18"/>
          <w:szCs w:val="18"/>
        </w:rPr>
        <w:t xml:space="preserve">    - Gap analysis uses Claude API to identify overlap with existing data</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4d. Unified Obligation Tracker:</w:t>
      </w:r>
    </w:p>
    <w:p>
      <w:pPr>
        <w:shd w:fill="F0F0F0" w:val="clear"/>
        <w:spacing w:after="40" w:before="40"/>
      </w:pPr>
      <w:r>
        <w:rPr>
          <w:rFonts w:ascii="Courier New" w:cs="Courier New" w:eastAsia="Courier New" w:hAnsi="Courier New"/>
          <w:color w:val="333333"/>
          <w:sz w:val="18"/>
          <w:szCs w:val="18"/>
        </w:rPr>
        <w:t xml:space="preserve">    - /dashboard/obligations — Kanban view across all frameworks</w:t>
      </w:r>
    </w:p>
    <w:p>
      <w:pPr>
        <w:shd w:fill="F0F0F0" w:val="clear"/>
        <w:spacing w:after="40" w:before="40"/>
      </w:pPr>
      <w:r>
        <w:rPr>
          <w:rFonts w:ascii="Courier New" w:cs="Courier New" w:eastAsia="Courier New" w:hAnsi="Courier New"/>
          <w:color w:val="333333"/>
          <w:sz w:val="18"/>
          <w:szCs w:val="18"/>
        </w:rPr>
        <w:t xml:space="preserve">    - Filter by framework, priority, assignee, due date</w:t>
      </w:r>
    </w:p>
    <w:p>
      <w:pPr>
        <w:shd w:fill="F0F0F0" w:val="clear"/>
        <w:spacing w:after="40" w:before="40"/>
      </w:pPr>
      <w:r>
        <w:rPr>
          <w:rFonts w:ascii="Courier New" w:cs="Courier New" w:eastAsia="Courier New" w:hAnsi="Courier New"/>
          <w:color w:val="333333"/>
          <w:sz w:val="18"/>
          <w:szCs w:val="18"/>
        </w:rPr>
        <w:t xml:space="preserve">    - Integration with Jira/Linear for obligation → issue sync</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4e. ISO 42001 specific features:</w:t>
      </w:r>
    </w:p>
    <w:p>
      <w:pPr>
        <w:shd w:fill="F0F0F0" w:val="clear"/>
        <w:spacing w:after="40" w:before="40"/>
      </w:pPr>
      <w:r>
        <w:rPr>
          <w:rFonts w:ascii="Courier New" w:cs="Courier New" w:eastAsia="Courier New" w:hAnsi="Courier New"/>
          <w:color w:val="333333"/>
          <w:sz w:val="18"/>
          <w:szCs w:val="18"/>
        </w:rPr>
        <w:t xml:space="preserve">    - Gap analysis report generator</w:t>
      </w:r>
    </w:p>
    <w:p>
      <w:pPr>
        <w:shd w:fill="F0F0F0" w:val="clear"/>
        <w:spacing w:after="40" w:before="40"/>
      </w:pPr>
      <w:r>
        <w:rPr>
          <w:rFonts w:ascii="Courier New" w:cs="Courier New" w:eastAsia="Courier New" w:hAnsi="Courier New"/>
          <w:color w:val="333333"/>
          <w:sz w:val="18"/>
          <w:szCs w:val="18"/>
        </w:rPr>
        <w:t xml:space="preserve">    - AIMS Policy document template</w:t>
      </w:r>
    </w:p>
    <w:p>
      <w:pPr>
        <w:shd w:fill="F0F0F0" w:val="clear"/>
        <w:spacing w:after="40" w:before="40"/>
      </w:pPr>
      <w:r>
        <w:rPr>
          <w:rFonts w:ascii="Courier New" w:cs="Courier New" w:eastAsia="Courier New" w:hAnsi="Courier New"/>
          <w:color w:val="333333"/>
          <w:sz w:val="18"/>
          <w:szCs w:val="18"/>
        </w:rPr>
        <w:t xml:space="preserve">    - Certification tracker (body, certificate number, expiry, next audit)</w:t>
      </w:r>
    </w:p>
    <w:p>
      <w:pPr>
        <w:shd w:fill="F0F0F0" w:val="clear"/>
        <w:spacing w:after="40" w:before="40"/>
      </w:pPr>
      <w:r>
        <w:rPr>
          <w:rFonts w:ascii="Courier New" w:cs="Courier New" w:eastAsia="Courier New" w:hAnsi="Courier New"/>
          <w:color w:val="333333"/>
          <w:sz w:val="18"/>
          <w:szCs w:val="18"/>
        </w:rPr>
        <w:t xml:space="preserve">    - ISO 42001 section on Trust Page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5: Public API</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5a. API key management:</w:t>
      </w:r>
    </w:p>
    <w:p>
      <w:pPr>
        <w:shd w:fill="F0F0F0" w:val="clear"/>
        <w:spacing w:after="40" w:before="40"/>
      </w:pPr>
      <w:r>
        <w:rPr>
          <w:rFonts w:ascii="Courier New" w:cs="Courier New" w:eastAsia="Courier New" w:hAnsi="Courier New"/>
          <w:color w:val="333333"/>
          <w:sz w:val="18"/>
          <w:szCs w:val="18"/>
        </w:rPr>
        <w:t xml:space="preserve">    - APIKey model in Prisma (hashed storage)</w:t>
      </w:r>
    </w:p>
    <w:p>
      <w:pPr>
        <w:shd w:fill="F0F0F0" w:val="clear"/>
        <w:spacing w:after="40" w:before="40"/>
      </w:pPr>
      <w:r>
        <w:rPr>
          <w:rFonts w:ascii="Courier New" w:cs="Courier New" w:eastAsia="Courier New" w:hAnsi="Courier New"/>
          <w:color w:val="333333"/>
          <w:sz w:val="18"/>
          <w:szCs w:val="18"/>
        </w:rPr>
        <w:t xml:space="preserve">    - /dashboard/settings/api page with create/revoke/list</w:t>
      </w:r>
    </w:p>
    <w:p>
      <w:pPr>
        <w:shd w:fill="F0F0F0" w:val="clear"/>
        <w:spacing w:after="40" w:before="40"/>
      </w:pPr>
      <w:r>
        <w:rPr>
          <w:rFonts w:ascii="Courier New" w:cs="Courier New" w:eastAsia="Courier New" w:hAnsi="Courier New"/>
          <w:color w:val="333333"/>
          <w:sz w:val="18"/>
          <w:szCs w:val="18"/>
        </w:rPr>
        <w:t xml:space="preserve">    - Key format: 'ap_live_' prefix + 32 random chars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5b. API middleware:</w:t>
      </w:r>
    </w:p>
    <w:p>
      <w:pPr>
        <w:shd w:fill="F0F0F0" w:val="clear"/>
        <w:spacing w:after="40" w:before="40"/>
      </w:pPr>
      <w:r>
        <w:rPr>
          <w:rFonts w:ascii="Courier New" w:cs="Courier New" w:eastAsia="Courier New" w:hAnsi="Courier New"/>
          <w:color w:val="333333"/>
          <w:sz w:val="18"/>
          <w:szCs w:val="18"/>
        </w:rPr>
        <w:t xml:space="preserve">    - /middleware/api-auth.ts — validates Bearer token API keys</w:t>
      </w:r>
    </w:p>
    <w:p>
      <w:pPr>
        <w:shd w:fill="F0F0F0" w:val="clear"/>
        <w:spacing w:after="40" w:before="40"/>
      </w:pPr>
      <w:r>
        <w:rPr>
          <w:rFonts w:ascii="Courier New" w:cs="Courier New" w:eastAsia="Courier New" w:hAnsi="Courier New"/>
          <w:color w:val="333333"/>
          <w:sz w:val="18"/>
          <w:szCs w:val="18"/>
        </w:rPr>
        <w:t xml:space="preserve">    - Rate limiting: Upstash rate limiter per API key</w:t>
      </w:r>
    </w:p>
    <w:p>
      <w:pPr>
        <w:shd w:fill="F0F0F0" w:val="clear"/>
        <w:spacing w:after="40" w:before="40"/>
      </w:pPr>
      <w:r>
        <w:rPr>
          <w:rFonts w:ascii="Courier New" w:cs="Courier New" w:eastAsia="Courier New" w:hAnsi="Courier New"/>
          <w:color w:val="333333"/>
          <w:sz w:val="18"/>
          <w:szCs w:val="18"/>
        </w:rPr>
        <w:t xml:space="preserve">    - Usage logging: every API call logged to api_usage_logs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5c. REST API routes (separate from tRPC):</w:t>
      </w:r>
    </w:p>
    <w:p>
      <w:pPr>
        <w:shd w:fill="F0F0F0" w:val="clear"/>
        <w:spacing w:after="40" w:before="40"/>
      </w:pPr>
      <w:r>
        <w:rPr>
          <w:rFonts w:ascii="Courier New" w:cs="Courier New" w:eastAsia="Courier New" w:hAnsi="Courier New"/>
          <w:color w:val="333333"/>
          <w:sz w:val="18"/>
          <w:szCs w:val="18"/>
        </w:rPr>
        <w:t xml:space="preserve">    - /app/api/v1/[...] — all public API routes</w:t>
      </w:r>
    </w:p>
    <w:p>
      <w:pPr>
        <w:shd w:fill="F0F0F0" w:val="clear"/>
        <w:spacing w:after="40" w:before="40"/>
      </w:pPr>
      <w:r>
        <w:rPr>
          <w:rFonts w:ascii="Courier New" w:cs="Courier New" w:eastAsia="Courier New" w:hAnsi="Courier New"/>
          <w:color w:val="333333"/>
          <w:sz w:val="18"/>
          <w:szCs w:val="18"/>
        </w:rPr>
        <w:t xml:space="preserve">    - OpenAPI spec: /api/v1/openapi.json (auto-generated from Zod schemas)</w:t>
      </w:r>
    </w:p>
    <w:p>
      <w:pPr>
        <w:shd w:fill="F0F0F0" w:val="clear"/>
        <w:spacing w:after="40" w:before="40"/>
      </w:pPr>
      <w:r>
        <w:rPr>
          <w:rFonts w:ascii="Courier New" w:cs="Courier New" w:eastAsia="Courier New" w:hAnsi="Courier New"/>
          <w:color w:val="333333"/>
          <w:sz w:val="18"/>
          <w:szCs w:val="18"/>
        </w:rPr>
        <w:t xml:space="preserve">    - API docs page: /developers (built with Scalar or Redoc)</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5d. Webhooks:</w:t>
      </w:r>
    </w:p>
    <w:p>
      <w:pPr>
        <w:shd w:fill="F0F0F0" w:val="clear"/>
        <w:spacing w:after="40" w:before="40"/>
      </w:pPr>
      <w:r>
        <w:rPr>
          <w:rFonts w:ascii="Courier New" w:cs="Courier New" w:eastAsia="Courier New" w:hAnsi="Courier New"/>
          <w:color w:val="333333"/>
          <w:sz w:val="18"/>
          <w:szCs w:val="18"/>
        </w:rPr>
        <w:t xml:space="preserve">    - WebhookEndpoint, WebhookDelivery models in Prisma</w:t>
      </w:r>
    </w:p>
    <w:p>
      <w:pPr>
        <w:shd w:fill="F0F0F0" w:val="clear"/>
        <w:spacing w:after="40" w:before="40"/>
      </w:pPr>
      <w:r>
        <w:rPr>
          <w:rFonts w:ascii="Courier New" w:cs="Courier New" w:eastAsia="Courier New" w:hAnsi="Courier New"/>
          <w:color w:val="333333"/>
          <w:sz w:val="18"/>
          <w:szCs w:val="18"/>
        </w:rPr>
        <w:t xml:space="preserve">    - /dashboard/settings/webhooks — manage endpoints</w:t>
      </w:r>
    </w:p>
    <w:p>
      <w:pPr>
        <w:shd w:fill="F0F0F0" w:val="clear"/>
        <w:spacing w:after="40" w:before="40"/>
      </w:pPr>
      <w:r>
        <w:rPr>
          <w:rFonts w:ascii="Courier New" w:cs="Courier New" w:eastAsia="Courier New" w:hAnsi="Courier New"/>
          <w:color w:val="333333"/>
          <w:sz w:val="18"/>
          <w:szCs w:val="18"/>
        </w:rPr>
        <w:t xml:space="preserve">    - Webhook sender: /server/services/webhooks.ts</w:t>
      </w:r>
    </w:p>
    <w:p>
      <w:pPr>
        <w:shd w:fill="F0F0F0" w:val="clear"/>
        <w:spacing w:after="40" w:before="40"/>
      </w:pPr>
      <w:r>
        <w:rPr>
          <w:rFonts w:ascii="Courier New" w:cs="Courier New" w:eastAsia="Courier New" w:hAnsi="Courier New"/>
          <w:color w:val="333333"/>
          <w:sz w:val="18"/>
          <w:szCs w:val="18"/>
        </w:rPr>
        <w:t xml:space="preserve">    - Events: system.created, system.risk_changed, obligation.completed,</w:t>
      </w:r>
    </w:p>
    <w:p>
      <w:pPr>
        <w:shd w:fill="F0F0F0" w:val="clear"/>
        <w:spacing w:after="40" w:before="40"/>
      </w:pPr>
      <w:r>
        <w:rPr>
          <w:rFonts w:ascii="Courier New" w:cs="Courier New" w:eastAsia="Courier New" w:hAnsi="Courier New"/>
          <w:color w:val="333333"/>
          <w:sz w:val="18"/>
          <w:szCs w:val="18"/>
        </w:rPr>
        <w:t xml:space="preserve">      compliance_score.changed, document.generated, regulation.updated</w:t>
      </w:r>
    </w:p>
    <w:p>
      <w:pPr>
        <w:shd w:fill="F0F0F0" w:val="clear"/>
        <w:spacing w:after="40" w:before="40"/>
      </w:pPr>
      <w:r>
        <w:rPr>
          <w:rFonts w:ascii="Courier New" w:cs="Courier New" w:eastAsia="Courier New" w:hAnsi="Courier New"/>
          <w:color w:val="333333"/>
          <w:sz w:val="18"/>
          <w:szCs w:val="18"/>
        </w:rPr>
        <w:t xml:space="preserve">    - Retry logic: 3 attempts with exponential backoff via Inngest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6: AI Compliance Advisor (Chat)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6a. Vector database setup:</w:t>
      </w:r>
    </w:p>
    <w:p>
      <w:pPr>
        <w:shd w:fill="F0F0F0" w:val="clear"/>
        <w:spacing w:after="40" w:before="40"/>
      </w:pPr>
      <w:r>
        <w:rPr>
          <w:rFonts w:ascii="Courier New" w:cs="Courier New" w:eastAsia="Courier New" w:hAnsi="Courier New"/>
          <w:color w:val="333333"/>
          <w:sz w:val="18"/>
          <w:szCs w:val="18"/>
        </w:rPr>
        <w:t xml:space="preserve">    - Enable pgvector extension in Supabase</w:t>
      </w:r>
    </w:p>
    <w:p>
      <w:pPr>
        <w:shd w:fill="F0F0F0" w:val="clear"/>
        <w:spacing w:after="40" w:before="40"/>
      </w:pPr>
      <w:r>
        <w:rPr>
          <w:rFonts w:ascii="Courier New" w:cs="Courier New" w:eastAsia="Courier New" w:hAnsi="Courier New"/>
          <w:color w:val="333333"/>
          <w:sz w:val="18"/>
          <w:szCs w:val="18"/>
        </w:rPr>
        <w:t xml:space="preserve">    - Create embeddings table: id, content, embedding, metadata</w:t>
      </w:r>
    </w:p>
    <w:p>
      <w:pPr>
        <w:shd w:fill="F0F0F0" w:val="clear"/>
        <w:spacing w:after="40" w:before="40"/>
      </w:pPr>
      <w:r>
        <w:rPr>
          <w:rFonts w:ascii="Courier New" w:cs="Courier New" w:eastAsia="Courier New" w:hAnsi="Courier New"/>
          <w:color w:val="333333"/>
          <w:sz w:val="18"/>
          <w:szCs w:val="18"/>
        </w:rPr>
        <w:t xml:space="preserve">    - Chunk and embed: EU AI Act full text, NIS2, ISO 42001 standard</w:t>
      </w:r>
    </w:p>
    <w:p>
      <w:pPr>
        <w:shd w:fill="F0F0F0" w:val="clear"/>
        <w:spacing w:after="40" w:before="40"/>
      </w:pPr>
      <w:r>
        <w:rPr>
          <w:rFonts w:ascii="Courier New" w:cs="Courier New" w:eastAsia="Courier New" w:hAnsi="Courier New"/>
          <w:color w:val="333333"/>
          <w:sz w:val="18"/>
          <w:szCs w:val="18"/>
        </w:rPr>
        <w:t xml:space="preserve">    - Embedding model: text-embedding-3-small (OpenAI) or Claude embeddings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6b. RAG pipeline:</w:t>
      </w:r>
    </w:p>
    <w:p>
      <w:pPr>
        <w:shd w:fill="F0F0F0" w:val="clear"/>
        <w:spacing w:after="40" w:before="40"/>
      </w:pPr>
      <w:r>
        <w:rPr>
          <w:rFonts w:ascii="Courier New" w:cs="Courier New" w:eastAsia="Courier New" w:hAnsi="Courier New"/>
          <w:color w:val="333333"/>
          <w:sz w:val="18"/>
          <w:szCs w:val="18"/>
        </w:rPr>
        <w:t xml:space="preserve">    - /server/services/rag.ts</w:t>
      </w:r>
    </w:p>
    <w:p>
      <w:pPr>
        <w:shd w:fill="F0F0F0" w:val="clear"/>
        <w:spacing w:after="40" w:before="40"/>
      </w:pPr>
      <w:r>
        <w:rPr>
          <w:rFonts w:ascii="Courier New" w:cs="Courier New" w:eastAsia="Courier New" w:hAnsi="Courier New"/>
          <w:color w:val="333333"/>
          <w:sz w:val="18"/>
          <w:szCs w:val="18"/>
        </w:rPr>
        <w:t xml:space="preserve">    - Query: embed user question → find nearest chunks → inject as context</w:t>
      </w:r>
    </w:p>
    <w:p>
      <w:pPr>
        <w:shd w:fill="F0F0F0" w:val="clear"/>
        <w:spacing w:after="40" w:before="40"/>
      </w:pPr>
      <w:r>
        <w:rPr>
          <w:rFonts w:ascii="Courier New" w:cs="Courier New" w:eastAsia="Courier New" w:hAnsi="Courier New"/>
          <w:color w:val="333333"/>
          <w:sz w:val="18"/>
          <w:szCs w:val="18"/>
        </w:rPr>
        <w:t xml:space="preserve">    - Context injection: org's AI systems + obligations + recent regulation updates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6c. Chat UI:</w:t>
      </w:r>
    </w:p>
    <w:p>
      <w:pPr>
        <w:shd w:fill="F0F0F0" w:val="clear"/>
        <w:spacing w:after="40" w:before="40"/>
      </w:pPr>
      <w:r>
        <w:rPr>
          <w:rFonts w:ascii="Courier New" w:cs="Courier New" w:eastAsia="Courier New" w:hAnsi="Courier New"/>
          <w:color w:val="333333"/>
          <w:sz w:val="18"/>
          <w:szCs w:val="18"/>
        </w:rPr>
        <w:t xml:space="preserve">    - /dashboard/advisor — full-page chat interface</w:t>
      </w:r>
    </w:p>
    <w:p>
      <w:pPr>
        <w:shd w:fill="F0F0F0" w:val="clear"/>
        <w:spacing w:after="40" w:before="40"/>
      </w:pPr>
      <w:r>
        <w:rPr>
          <w:rFonts w:ascii="Courier New" w:cs="Courier New" w:eastAsia="Courier New" w:hAnsi="Courier New"/>
          <w:color w:val="333333"/>
          <w:sz w:val="18"/>
          <w:szCs w:val="18"/>
        </w:rPr>
        <w:t xml:space="preserve">    - Streaming responses (Server-Sent Events or Vercel AI SDK useChat)</w:t>
      </w:r>
    </w:p>
    <w:p>
      <w:pPr>
        <w:shd w:fill="F0F0F0" w:val="clear"/>
        <w:spacing w:after="40" w:before="40"/>
      </w:pPr>
      <w:r>
        <w:rPr>
          <w:rFonts w:ascii="Courier New" w:cs="Courier New" w:eastAsia="Courier New" w:hAnsi="Courier New"/>
          <w:color w:val="333333"/>
          <w:sz w:val="18"/>
          <w:szCs w:val="18"/>
        </w:rPr>
        <w:t xml:space="preserve">    - Source citations displayed below each response</w:t>
      </w:r>
    </w:p>
    <w:p>
      <w:pPr>
        <w:shd w:fill="F0F0F0" w:val="clear"/>
        <w:spacing w:after="40" w:before="40"/>
      </w:pPr>
      <w:r>
        <w:rPr>
          <w:rFonts w:ascii="Courier New" w:cs="Courier New" w:eastAsia="Courier New" w:hAnsi="Courier New"/>
          <w:color w:val="333333"/>
          <w:sz w:val="18"/>
          <w:szCs w:val="18"/>
        </w:rPr>
        <w:t xml:space="preserve">    - Chat history per user (stored in DB, searchable)</w:t>
      </w:r>
    </w:p>
    <w:p>
      <w:pPr>
        <w:shd w:fill="F0F0F0" w:val="clear"/>
        <w:spacing w:after="40" w:before="40"/>
      </w:pPr>
      <w:r>
        <w:rPr>
          <w:rFonts w:ascii="Courier New" w:cs="Courier New" w:eastAsia="Courier New" w:hAnsi="Courier New"/>
          <w:color w:val="333333"/>
          <w:sz w:val="18"/>
          <w:szCs w:val="18"/>
        </w:rPr>
        <w:t xml:space="preserve">    - Suggested questions shown on empty state</w:t>
      </w:r>
    </w:p>
    <w:p>
      <w:pPr>
        <w:shd w:fill="F0F0F0" w:val="clear"/>
        <w:spacing w:after="40" w:before="40"/>
      </w:pPr>
      <w:r>
        <w:rPr>
          <w:rFonts w:ascii="Courier New" w:cs="Courier New" w:eastAsia="Courier New" w:hAnsi="Courier New"/>
          <w:color w:val="333333"/>
          <w:sz w:val="18"/>
          <w:szCs w:val="18"/>
        </w:rPr>
        <w:t xml:space="preserve">    - 'Escalate to human expert' button — links to partner DPO network</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7: Command Palette + Advanced UX</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7a. Command palette (Cmd+K):</w:t>
      </w:r>
    </w:p>
    <w:p>
      <w:pPr>
        <w:shd w:fill="F0F0F0" w:val="clear"/>
        <w:spacing w:after="40" w:before="40"/>
      </w:pPr>
      <w:r>
        <w:rPr>
          <w:rFonts w:ascii="Courier New" w:cs="Courier New" w:eastAsia="Courier New" w:hAnsi="Courier New"/>
          <w:color w:val="333333"/>
          <w:sz w:val="18"/>
          <w:szCs w:val="18"/>
        </w:rPr>
        <w:t xml:space="preserve">    - Use cmdk library</w:t>
      </w:r>
    </w:p>
    <w:p>
      <w:pPr>
        <w:shd w:fill="F0F0F0" w:val="clear"/>
        <w:spacing w:after="40" w:before="40"/>
      </w:pPr>
      <w:r>
        <w:rPr>
          <w:rFonts w:ascii="Courier New" w:cs="Courier New" w:eastAsia="Courier New" w:hAnsi="Courier New"/>
          <w:color w:val="333333"/>
          <w:sz w:val="18"/>
          <w:szCs w:val="18"/>
        </w:rPr>
        <w:t xml:space="preserve">    - /components/ui/CommandPalette.tsx</w:t>
      </w:r>
    </w:p>
    <w:p>
      <w:pPr>
        <w:shd w:fill="F0F0F0" w:val="clear"/>
        <w:spacing w:after="40" w:before="40"/>
      </w:pPr>
      <w:r>
        <w:rPr>
          <w:rFonts w:ascii="Courier New" w:cs="Courier New" w:eastAsia="Courier New" w:hAnsi="Courier New"/>
          <w:color w:val="333333"/>
          <w:sz w:val="18"/>
          <w:szCs w:val="18"/>
        </w:rPr>
        <w:t xml:space="preserve">    - Available in all authenticated routes</w:t>
      </w:r>
    </w:p>
    <w:p>
      <w:pPr>
        <w:shd w:fill="F0F0F0" w:val="clear"/>
        <w:spacing w:after="40" w:before="40"/>
      </w:pPr>
      <w:r>
        <w:rPr>
          <w:rFonts w:ascii="Courier New" w:cs="Courier New" w:eastAsia="Courier New" w:hAnsi="Courier New"/>
          <w:color w:val="333333"/>
          <w:sz w:val="18"/>
          <w:szCs w:val="18"/>
        </w:rPr>
        <w:t xml:space="preserve">    - Commands: navigate, search, quick-add, generate document</w:t>
      </w:r>
    </w:p>
    <w:p>
      <w:pPr>
        <w:shd w:fill="F0F0F0" w:val="clear"/>
        <w:spacing w:after="40" w:before="40"/>
      </w:pPr>
      <w:r>
        <w:rPr>
          <w:rFonts w:ascii="Courier New" w:cs="Courier New" w:eastAsia="Courier New" w:hAnsi="Courier New"/>
          <w:color w:val="333333"/>
          <w:sz w:val="18"/>
          <w:szCs w:val="18"/>
        </w:rPr>
        <w:t xml:space="preserve">    - Keyboard shortcut registered globally via useEffect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7b. Compliance Calendar:</w:t>
      </w:r>
    </w:p>
    <w:p>
      <w:pPr>
        <w:shd w:fill="F0F0F0" w:val="clear"/>
        <w:spacing w:after="40" w:before="40"/>
      </w:pPr>
      <w:r>
        <w:rPr>
          <w:rFonts w:ascii="Courier New" w:cs="Courier New" w:eastAsia="Courier New" w:hAnsi="Courier New"/>
          <w:color w:val="333333"/>
          <w:sz w:val="18"/>
          <w:szCs w:val="18"/>
        </w:rPr>
        <w:t xml:space="preserve">    - /dashboard/calendar — monthly/weekly obligation calendar</w:t>
      </w:r>
    </w:p>
    <w:p>
      <w:pPr>
        <w:shd w:fill="F0F0F0" w:val="clear"/>
        <w:spacing w:after="40" w:before="40"/>
      </w:pPr>
      <w:r>
        <w:rPr>
          <w:rFonts w:ascii="Courier New" w:cs="Courier New" w:eastAsia="Courier New" w:hAnsi="Courier New"/>
          <w:color w:val="333333"/>
          <w:sz w:val="18"/>
          <w:szCs w:val="18"/>
        </w:rPr>
        <w:t xml:space="preserve">    - iCal export endpoint: /api/calendar/[orgId].ics</w:t>
      </w:r>
    </w:p>
    <w:p>
      <w:pPr>
        <w:shd w:fill="F0F0F0" w:val="clear"/>
        <w:spacing w:after="40" w:before="40"/>
      </w:pPr>
      <w:r>
        <w:rPr>
          <w:rFonts w:ascii="Courier New" w:cs="Courier New" w:eastAsia="Courier New" w:hAnsi="Courier New"/>
          <w:color w:val="333333"/>
          <w:sz w:val="18"/>
          <w:szCs w:val="18"/>
        </w:rPr>
        <w:t xml:space="preserve">    - iCal authentication: signed URL (no OAuth needed)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7c. Obligation Kanban:</w:t>
      </w:r>
    </w:p>
    <w:p>
      <w:pPr>
        <w:shd w:fill="F0F0F0" w:val="clear"/>
        <w:spacing w:after="40" w:before="40"/>
      </w:pPr>
      <w:r>
        <w:rPr>
          <w:rFonts w:ascii="Courier New" w:cs="Courier New" w:eastAsia="Courier New" w:hAnsi="Courier New"/>
          <w:color w:val="333333"/>
          <w:sz w:val="18"/>
          <w:szCs w:val="18"/>
        </w:rPr>
        <w:t xml:space="preserve">    - /dashboard/obligations?view=kanban</w:t>
      </w:r>
    </w:p>
    <w:p>
      <w:pPr>
        <w:shd w:fill="F0F0F0" w:val="clear"/>
        <w:spacing w:after="40" w:before="40"/>
      </w:pPr>
      <w:r>
        <w:rPr>
          <w:rFonts w:ascii="Courier New" w:cs="Courier New" w:eastAsia="Courier New" w:hAnsi="Courier New"/>
          <w:color w:val="333333"/>
          <w:sz w:val="18"/>
          <w:szCs w:val="18"/>
        </w:rPr>
        <w:t xml:space="preserve">    - Use @dnd-kit/core for drag and drop</w:t>
      </w:r>
    </w:p>
    <w:p>
      <w:pPr>
        <w:shd w:fill="F0F0F0" w:val="clear"/>
        <w:spacing w:after="40" w:before="40"/>
      </w:pPr>
      <w:r>
        <w:rPr>
          <w:rFonts w:ascii="Courier New" w:cs="Courier New" w:eastAsia="Courier New" w:hAnsi="Courier New"/>
          <w:color w:val="333333"/>
          <w:sz w:val="18"/>
          <w:szCs w:val="18"/>
        </w:rPr>
        <w:t xml:space="preserve">    - Column state stored in DB (org_obligations.status)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7d. Gamification elements:</w:t>
      </w:r>
    </w:p>
    <w:p>
      <w:pPr>
        <w:shd w:fill="F0F0F0" w:val="clear"/>
        <w:spacing w:after="40" w:before="40"/>
      </w:pPr>
      <w:r>
        <w:rPr>
          <w:rFonts w:ascii="Courier New" w:cs="Courier New" w:eastAsia="Courier New" w:hAnsi="Courier New"/>
          <w:color w:val="333333"/>
          <w:sz w:val="18"/>
          <w:szCs w:val="18"/>
        </w:rPr>
        <w:t xml:space="preserve">    - Progress checklist on dashboard (dismiss when all complete)</w:t>
      </w:r>
    </w:p>
    <w:p>
      <w:pPr>
        <w:shd w:fill="F0F0F0" w:val="clear"/>
        <w:spacing w:after="40" w:before="40"/>
      </w:pPr>
      <w:r>
        <w:rPr>
          <w:rFonts w:ascii="Courier New" w:cs="Courier New" w:eastAsia="Courier New" w:hAnsi="Courier New"/>
          <w:color w:val="333333"/>
          <w:sz w:val="18"/>
          <w:szCs w:val="18"/>
        </w:rPr>
        <w:t xml:space="preserve">    - Compliance journey steps with completion tracking</w:t>
      </w:r>
    </w:p>
    <w:p>
      <w:pPr>
        <w:shd w:fill="F0F0F0" w:val="clear"/>
        <w:spacing w:after="40" w:before="40"/>
      </w:pPr>
      <w:r>
        <w:rPr>
          <w:rFonts w:ascii="Courier New" w:cs="Courier New" w:eastAsia="Courier New" w:hAnsi="Courier New"/>
          <w:color w:val="333333"/>
          <w:sz w:val="18"/>
          <w:szCs w:val="18"/>
        </w:rPr>
        <w:t xml:space="preserve">    - 'You're X% more compliant than last month' insight card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8: Partner Portal</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8a. Partner data model:</w:t>
      </w:r>
    </w:p>
    <w:p>
      <w:pPr>
        <w:shd w:fill="F0F0F0" w:val="clear"/>
        <w:spacing w:after="40" w:before="40"/>
      </w:pPr>
      <w:r>
        <w:rPr>
          <w:rFonts w:ascii="Courier New" w:cs="Courier New" w:eastAsia="Courier New" w:hAnsi="Courier New"/>
          <w:color w:val="333333"/>
          <w:sz w:val="18"/>
          <w:szCs w:val="18"/>
        </w:rPr>
        <w:t xml:space="preserve">    - PartnerAccount, PartnerReferral tables</w:t>
      </w:r>
    </w:p>
    <w:p>
      <w:pPr>
        <w:shd w:fill="F0F0F0" w:val="clear"/>
        <w:spacing w:after="40" w:before="40"/>
      </w:pPr>
      <w:r>
        <w:rPr>
          <w:rFonts w:ascii="Courier New" w:cs="Courier New" w:eastAsia="Courier New" w:hAnsi="Courier New"/>
          <w:color w:val="333333"/>
          <w:sz w:val="18"/>
          <w:szCs w:val="18"/>
        </w:rPr>
        <w:t xml:space="preserve">    - Referral tracking via URL param: ?ref=PARTNER_CODE</w:t>
      </w:r>
    </w:p>
    <w:p>
      <w:pPr>
        <w:shd w:fill="F0F0F0" w:val="clear"/>
        <w:spacing w:after="40" w:before="40"/>
      </w:pPr>
      <w:r>
        <w:rPr>
          <w:rFonts w:ascii="Courier New" w:cs="Courier New" w:eastAsia="Courier New" w:hAnsi="Courier New"/>
          <w:color w:val="333333"/>
          <w:sz w:val="18"/>
          <w:szCs w:val="18"/>
        </w:rPr>
        <w:t xml:space="preserve">    - Cookie-based attribution: 30-day window</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8b. Partner registration:</w:t>
      </w:r>
    </w:p>
    <w:p>
      <w:pPr>
        <w:shd w:fill="F0F0F0" w:val="clear"/>
        <w:spacing w:after="40" w:before="40"/>
      </w:pPr>
      <w:r>
        <w:rPr>
          <w:rFonts w:ascii="Courier New" w:cs="Courier New" w:eastAsia="Courier New" w:hAnsi="Courier New"/>
          <w:color w:val="333333"/>
          <w:sz w:val="18"/>
          <w:szCs w:val="18"/>
        </w:rPr>
        <w:t xml:space="preserve">    - /partners — public partner landing page</w:t>
      </w:r>
    </w:p>
    <w:p>
      <w:pPr>
        <w:shd w:fill="F0F0F0" w:val="clear"/>
        <w:spacing w:after="40" w:before="40"/>
      </w:pPr>
      <w:r>
        <w:rPr>
          <w:rFonts w:ascii="Courier New" w:cs="Courier New" w:eastAsia="Courier New" w:hAnsi="Courier New"/>
          <w:color w:val="333333"/>
          <w:sz w:val="18"/>
          <w:szCs w:val="18"/>
        </w:rPr>
        <w:t xml:space="preserve">    - /partners/apply — application form</w:t>
      </w:r>
    </w:p>
    <w:p>
      <w:pPr>
        <w:shd w:fill="F0F0F0" w:val="clear"/>
        <w:spacing w:after="40" w:before="40"/>
      </w:pPr>
      <w:r>
        <w:rPr>
          <w:rFonts w:ascii="Courier New" w:cs="Courier New" w:eastAsia="Courier New" w:hAnsi="Courier New"/>
          <w:color w:val="333333"/>
          <w:sz w:val="18"/>
          <w:szCs w:val="18"/>
        </w:rPr>
        <w:t xml:space="preserve">    - Manual approval workflow (email notification to founder)</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8c. Partner dashboard:</w:t>
      </w:r>
    </w:p>
    <w:p>
      <w:pPr>
        <w:shd w:fill="F0F0F0" w:val="clear"/>
        <w:spacing w:after="40" w:before="40"/>
      </w:pPr>
      <w:r>
        <w:rPr>
          <w:rFonts w:ascii="Courier New" w:cs="Courier New" w:eastAsia="Courier New" w:hAnsi="Courier New"/>
          <w:color w:val="333333"/>
          <w:sz w:val="18"/>
          <w:szCs w:val="18"/>
        </w:rPr>
        <w:t xml:space="preserve">    - /partners/dashboard — separate from main app</w:t>
      </w:r>
    </w:p>
    <w:p>
      <w:pPr>
        <w:shd w:fill="F0F0F0" w:val="clear"/>
        <w:spacing w:after="40" w:before="40"/>
      </w:pPr>
      <w:r>
        <w:rPr>
          <w:rFonts w:ascii="Courier New" w:cs="Courier New" w:eastAsia="Courier New" w:hAnsi="Courier New"/>
          <w:color w:val="333333"/>
          <w:sz w:val="18"/>
          <w:szCs w:val="18"/>
        </w:rPr>
        <w:t xml:space="preserve">    - MRR overview, commission tracker, referral list</w:t>
      </w:r>
    </w:p>
    <w:p>
      <w:pPr>
        <w:shd w:fill="F0F0F0" w:val="clear"/>
        <w:spacing w:after="40" w:before="40"/>
      </w:pPr>
      <w:r>
        <w:rPr>
          <w:rFonts w:ascii="Courier New" w:cs="Courier New" w:eastAsia="Courier New" w:hAnsi="Courier New"/>
          <w:color w:val="333333"/>
          <w:sz w:val="18"/>
          <w:szCs w:val="18"/>
        </w:rPr>
        <w:t xml:space="preserve">    - Co-branded report generator</w:t>
      </w:r>
    </w:p>
    <w:p>
      <w:pPr>
        <w:shd w:fill="F0F0F0" w:val="clear"/>
        <w:spacing w:after="40" w:before="40"/>
      </w:pPr>
      <w:r>
        <w:rPr>
          <w:rFonts w:ascii="Courier New" w:cs="Courier New" w:eastAsia="Courier New" w:hAnsi="Courier New"/>
          <w:color w:val="333333"/>
          <w:sz w:val="18"/>
          <w:szCs w:val="18"/>
        </w:rPr>
        <w:t xml:space="preserve">    - Marketing materials download</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8d. Commission tracking:</w:t>
      </w:r>
    </w:p>
    <w:p>
      <w:pPr>
        <w:shd w:fill="F0F0F0" w:val="clear"/>
        <w:spacing w:after="40" w:before="40"/>
      </w:pPr>
      <w:r>
        <w:rPr>
          <w:rFonts w:ascii="Courier New" w:cs="Courier New" w:eastAsia="Courier New" w:hAnsi="Courier New"/>
          <w:color w:val="333333"/>
          <w:sz w:val="18"/>
          <w:szCs w:val="18"/>
        </w:rPr>
        <w:t xml:space="preserve">    - Stripe webhooks attribute revenue to partner</w:t>
      </w:r>
    </w:p>
    <w:p>
      <w:pPr>
        <w:shd w:fill="F0F0F0" w:val="clear"/>
        <w:spacing w:after="40" w:before="40"/>
      </w:pPr>
      <w:r>
        <w:rPr>
          <w:rFonts w:ascii="Courier New" w:cs="Courier New" w:eastAsia="Courier New" w:hAnsi="Courier New"/>
          <w:color w:val="333333"/>
          <w:sz w:val="18"/>
          <w:szCs w:val="18"/>
        </w:rPr>
        <w:t xml:space="preserve">    - Monthly commission calculation job (Inngest cron)</w:t>
      </w:r>
    </w:p>
    <w:p>
      <w:pPr>
        <w:shd w:fill="F0F0F0" w:val="clear"/>
        <w:spacing w:after="40" w:before="40"/>
      </w:pPr>
      <w:r>
        <w:rPr>
          <w:rFonts w:ascii="Courier New" w:cs="Courier New" w:eastAsia="Courier New" w:hAnsi="Courier New"/>
          <w:color w:val="333333"/>
          <w:sz w:val="18"/>
          <w:szCs w:val="18"/>
        </w:rPr>
        <w:t xml:space="preserve">    - Payout via Stripe Connect (partner receives directly)</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9: Enterprise Features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9a. Group/multi-subsidiary:</w:t>
      </w:r>
    </w:p>
    <w:p>
      <w:pPr>
        <w:shd w:fill="F0F0F0" w:val="clear"/>
        <w:spacing w:after="40" w:before="40"/>
      </w:pPr>
      <w:r>
        <w:rPr>
          <w:rFonts w:ascii="Courier New" w:cs="Courier New" w:eastAsia="Courier New" w:hAnsi="Courier New"/>
          <w:color w:val="333333"/>
          <w:sz w:val="18"/>
          <w:szCs w:val="18"/>
        </w:rPr>
        <w:t xml:space="preserve">    - Organization.parent_org_id (self-referential FK)</w:t>
      </w:r>
    </w:p>
    <w:p>
      <w:pPr>
        <w:shd w:fill="F0F0F0" w:val="clear"/>
        <w:spacing w:after="40" w:before="40"/>
      </w:pPr>
      <w:r>
        <w:rPr>
          <w:rFonts w:ascii="Courier New" w:cs="Courier New" w:eastAsia="Courier New" w:hAnsi="Courier New"/>
          <w:color w:val="333333"/>
          <w:sz w:val="18"/>
          <w:szCs w:val="18"/>
        </w:rPr>
        <w:t xml:space="preserve">    - Group dashboard: /dashboard/group</w:t>
      </w:r>
    </w:p>
    <w:p>
      <w:pPr>
        <w:shd w:fill="F0F0F0" w:val="clear"/>
        <w:spacing w:after="40" w:before="40"/>
      </w:pPr>
      <w:r>
        <w:rPr>
          <w:rFonts w:ascii="Courier New" w:cs="Courier New" w:eastAsia="Courier New" w:hAnsi="Courier New"/>
          <w:color w:val="333333"/>
          <w:sz w:val="18"/>
          <w:szCs w:val="18"/>
        </w:rPr>
        <w:t xml:space="preserve">    - Shared systems library: ai_systems with scope='group'</w:t>
      </w:r>
    </w:p>
    <w:p>
      <w:pPr>
        <w:shd w:fill="F0F0F0" w:val="clear"/>
        <w:spacing w:after="40" w:before="40"/>
      </w:pPr>
      <w:r>
        <w:rPr>
          <w:rFonts w:ascii="Courier New" w:cs="Courier New" w:eastAsia="Courier New" w:hAnsi="Courier New"/>
          <w:color w:val="333333"/>
          <w:sz w:val="18"/>
          <w:szCs w:val="18"/>
        </w:rPr>
        <w:t xml:space="preserve">    - Consolidated reporting: PDF across all subsidiaries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9b. Audit Mode:</w:t>
      </w:r>
    </w:p>
    <w:p>
      <w:pPr>
        <w:shd w:fill="F0F0F0" w:val="clear"/>
        <w:spacing w:after="40" w:before="40"/>
      </w:pPr>
      <w:r>
        <w:rPr>
          <w:rFonts w:ascii="Courier New" w:cs="Courier New" w:eastAsia="Courier New" w:hAnsi="Courier New"/>
          <w:color w:val="333333"/>
          <w:sz w:val="18"/>
          <w:szCs w:val="18"/>
        </w:rPr>
        <w:t xml:space="preserve">    - AuditSession table (start/end date, auditor email, access token)</w:t>
      </w:r>
    </w:p>
    <w:p>
      <w:pPr>
        <w:shd w:fill="F0F0F0" w:val="clear"/>
        <w:spacing w:after="40" w:before="40"/>
      </w:pPr>
      <w:r>
        <w:rPr>
          <w:rFonts w:ascii="Courier New" w:cs="Courier New" w:eastAsia="Courier New" w:hAnsi="Courier New"/>
          <w:color w:val="333333"/>
          <w:sz w:val="18"/>
          <w:szCs w:val="18"/>
        </w:rPr>
        <w:t xml:space="preserve">    - Read-only auditor portal: /audit/[token]</w:t>
      </w:r>
    </w:p>
    <w:p>
      <w:pPr>
        <w:shd w:fill="F0F0F0" w:val="clear"/>
        <w:spacing w:after="40" w:before="40"/>
      </w:pPr>
      <w:r>
        <w:rPr>
          <w:rFonts w:ascii="Courier New" w:cs="Courier New" w:eastAsia="Courier New" w:hAnsi="Courier New"/>
          <w:color w:val="333333"/>
          <w:sz w:val="18"/>
          <w:szCs w:val="18"/>
        </w:rPr>
        <w:t xml:space="preserve">    - Audit package generation (ZIP of all evidence)</w:t>
      </w:r>
    </w:p>
    <w:p>
      <w:pPr>
        <w:shd w:fill="F0F0F0" w:val="clear"/>
        <w:spacing w:after="40" w:before="40"/>
      </w:pPr>
      <w:r>
        <w:rPr>
          <w:rFonts w:ascii="Courier New" w:cs="Courier New" w:eastAsia="Courier New" w:hAnsi="Courier New"/>
          <w:color w:val="333333"/>
          <w:sz w:val="18"/>
          <w:szCs w:val="18"/>
        </w:rPr>
        <w:t xml:space="preserve">    - Tamper-evident audit log (append-only DB trigger)</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9c. SCIM 2.0 provisioning:</w:t>
      </w:r>
    </w:p>
    <w:p>
      <w:pPr>
        <w:shd w:fill="F0F0F0" w:val="clear"/>
        <w:spacing w:after="40" w:before="40"/>
      </w:pPr>
      <w:r>
        <w:rPr>
          <w:rFonts w:ascii="Courier New" w:cs="Courier New" w:eastAsia="Courier New" w:hAnsi="Courier New"/>
          <w:color w:val="333333"/>
          <w:sz w:val="18"/>
          <w:szCs w:val="18"/>
        </w:rPr>
        <w:t xml:space="preserve">    - /api/scim/v2/ — SCIM endpoints (Users, Groups)</w:t>
      </w:r>
    </w:p>
    <w:p>
      <w:pPr>
        <w:shd w:fill="F0F0F0" w:val="clear"/>
        <w:spacing w:after="40" w:before="40"/>
      </w:pPr>
      <w:r>
        <w:rPr>
          <w:rFonts w:ascii="Courier New" w:cs="Courier New" w:eastAsia="Courier New" w:hAnsi="Courier New"/>
          <w:color w:val="333333"/>
          <w:sz w:val="18"/>
          <w:szCs w:val="18"/>
        </w:rPr>
        <w:t xml:space="preserve">    - Okta and Azure AD SCIM configuration instructions</w:t>
      </w:r>
    </w:p>
    <w:p>
      <w:pPr>
        <w:shd w:fill="F0F0F0" w:val="clear"/>
        <w:spacing w:after="40" w:before="40"/>
      </w:pPr>
      <w:r>
        <w:rPr>
          <w:rFonts w:ascii="Courier New" w:cs="Courier New" w:eastAsia="Courier New" w:hAnsi="Courier New"/>
          <w:color w:val="333333"/>
          <w:sz w:val="18"/>
          <w:szCs w:val="18"/>
        </w:rPr>
        <w:t xml:space="preserve">    - Test with Okta SCIM integration in staging</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9d. White-label reporting:</w:t>
      </w:r>
    </w:p>
    <w:p>
      <w:pPr>
        <w:shd w:fill="F0F0F0" w:val="clear"/>
        <w:spacing w:after="40" w:before="40"/>
      </w:pPr>
      <w:r>
        <w:rPr>
          <w:rFonts w:ascii="Courier New" w:cs="Courier New" w:eastAsia="Courier New" w:hAnsi="Courier New"/>
          <w:color w:val="333333"/>
          <w:sz w:val="18"/>
          <w:szCs w:val="18"/>
        </w:rPr>
        <w:t xml:space="preserve">    - Org settings: custom logo for PDFs, custom primary color</w:t>
      </w:r>
    </w:p>
    <w:p>
      <w:pPr>
        <w:shd w:fill="F0F0F0" w:val="clear"/>
        <w:spacing w:after="40" w:before="40"/>
      </w:pPr>
      <w:r>
        <w:rPr>
          <w:rFonts w:ascii="Courier New" w:cs="Courier New" w:eastAsia="Courier New" w:hAnsi="Courier New"/>
          <w:color w:val="333333"/>
          <w:sz w:val="18"/>
          <w:szCs w:val="18"/>
        </w:rPr>
        <w:t xml:space="preserve">    - PDF template reads org branding settings</w:t>
      </w:r>
    </w:p>
    <w:p>
      <w:pPr>
        <w:shd w:fill="F0F0F0" w:val="clear"/>
        <w:spacing w:after="40" w:before="40"/>
      </w:pPr>
      <w:r>
        <w:rPr>
          <w:rFonts w:ascii="Courier New" w:cs="Courier New" w:eastAsia="Courier New" w:hAnsi="Courier New"/>
          <w:color w:val="333333"/>
          <w:sz w:val="18"/>
          <w:szCs w:val="18"/>
        </w:rPr>
        <w:t xml:space="preserve">    - Trust Page: 'Remove ActProve branding' toggle (Enterprise only)</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P2-STEP 10: Testing, Performance, Launch</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10a. Write test suite:</w:t>
      </w:r>
    </w:p>
    <w:p>
      <w:pPr>
        <w:shd w:fill="F0F0F0" w:val="clear"/>
        <w:spacing w:after="40" w:before="40"/>
      </w:pPr>
      <w:r>
        <w:rPr>
          <w:rFonts w:ascii="Courier New" w:cs="Courier New" w:eastAsia="Courier New" w:hAnsi="Courier New"/>
          <w:color w:val="333333"/>
          <w:sz w:val="18"/>
          <w:szCs w:val="18"/>
        </w:rPr>
        <w:t xml:space="preserve">    - Unit: risk classifier, obligation checker, compliance score, all utils</w:t>
      </w:r>
    </w:p>
    <w:p>
      <w:pPr>
        <w:shd w:fill="F0F0F0" w:val="clear"/>
        <w:spacing w:after="40" w:before="40"/>
      </w:pPr>
      <w:r>
        <w:rPr>
          <w:rFonts w:ascii="Courier New" w:cs="Courier New" w:eastAsia="Courier New" w:hAnsi="Courier New"/>
          <w:color w:val="333333"/>
          <w:sz w:val="18"/>
          <w:szCs w:val="18"/>
        </w:rPr>
        <w:t xml:space="preserve">    - Integration: all tRPC procedures, Stripe webhooks, RLS policies</w:t>
      </w:r>
    </w:p>
    <w:p>
      <w:pPr>
        <w:shd w:fill="F0F0F0" w:val="clear"/>
        <w:spacing w:after="40" w:before="40"/>
      </w:pPr>
      <w:r>
        <w:rPr>
          <w:rFonts w:ascii="Courier New" w:cs="Courier New" w:eastAsia="Courier New" w:hAnsi="Courier New"/>
          <w:color w:val="333333"/>
          <w:sz w:val="18"/>
          <w:szCs w:val="18"/>
        </w:rPr>
        <w:t xml:space="preserve">    - E2E: 15 critical paths with Playwright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10b. Performance optimization:</w:t>
      </w:r>
    </w:p>
    <w:p>
      <w:pPr>
        <w:shd w:fill="F0F0F0" w:val="clear"/>
        <w:spacing w:after="40" w:before="40"/>
      </w:pPr>
      <w:r>
        <w:rPr>
          <w:rFonts w:ascii="Courier New" w:cs="Courier New" w:eastAsia="Courier New" w:hAnsi="Courier New"/>
          <w:color w:val="333333"/>
          <w:sz w:val="18"/>
          <w:szCs w:val="18"/>
        </w:rPr>
        <w:t xml:space="preserve">    - Run Lighthouse on all main pages (target &gt; 90)</w:t>
      </w:r>
    </w:p>
    <w:p>
      <w:pPr>
        <w:shd w:fill="F0F0F0" w:val="clear"/>
        <w:spacing w:after="40" w:before="40"/>
      </w:pPr>
      <w:r>
        <w:rPr>
          <w:rFonts w:ascii="Courier New" w:cs="Courier New" w:eastAsia="Courier New" w:hAnsi="Courier New"/>
          <w:color w:val="333333"/>
          <w:sz w:val="18"/>
          <w:szCs w:val="18"/>
        </w:rPr>
        <w:t xml:space="preserve">    - Database query analysis (EXPLAIN ANALYZE on slow queries)</w:t>
      </w:r>
    </w:p>
    <w:p>
      <w:pPr>
        <w:shd w:fill="F0F0F0" w:val="clear"/>
        <w:spacing w:after="40" w:before="40"/>
      </w:pPr>
      <w:r>
        <w:rPr>
          <w:rFonts w:ascii="Courier New" w:cs="Courier New" w:eastAsia="Courier New" w:hAnsi="Courier New"/>
          <w:color w:val="333333"/>
          <w:sz w:val="18"/>
          <w:szCs w:val="18"/>
        </w:rPr>
        <w:t xml:space="preserve">    - Add missing indexes revealed by analysis</w:t>
      </w:r>
    </w:p>
    <w:p>
      <w:pPr>
        <w:shd w:fill="F0F0F0" w:val="clear"/>
        <w:spacing w:after="40" w:before="40"/>
      </w:pPr>
      <w:r>
        <w:rPr>
          <w:rFonts w:ascii="Courier New" w:cs="Courier New" w:eastAsia="Courier New" w:hAnsi="Courier New"/>
          <w:color w:val="333333"/>
          <w:sz w:val="18"/>
          <w:szCs w:val="18"/>
        </w:rPr>
        <w:t xml:space="preserve">    - Enable Vercel Analytics for Core Web Vitals monitoring</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10c. Security hardening:</w:t>
      </w:r>
    </w:p>
    <w:p>
      <w:pPr>
        <w:shd w:fill="F0F0F0" w:val="clear"/>
        <w:spacing w:after="40" w:before="40"/>
      </w:pPr>
      <w:r>
        <w:rPr>
          <w:rFonts w:ascii="Courier New" w:cs="Courier New" w:eastAsia="Courier New" w:hAnsi="Courier New"/>
          <w:color w:val="333333"/>
          <w:sz w:val="18"/>
          <w:szCs w:val="18"/>
        </w:rPr>
        <w:t xml:space="preserve">    - Run OWASP ZAP scan</w:t>
      </w:r>
    </w:p>
    <w:p>
      <w:pPr>
        <w:shd w:fill="F0F0F0" w:val="clear"/>
        <w:spacing w:after="40" w:before="40"/>
      </w:pPr>
      <w:r>
        <w:rPr>
          <w:rFonts w:ascii="Courier New" w:cs="Courier New" w:eastAsia="Courier New" w:hAnsi="Courier New"/>
          <w:color w:val="333333"/>
          <w:sz w:val="18"/>
          <w:szCs w:val="18"/>
        </w:rPr>
        <w:t xml:space="preserve">    - Review all RLS policies with Supabase security advisor</w:t>
      </w:r>
    </w:p>
    <w:p>
      <w:pPr>
        <w:shd w:fill="F0F0F0" w:val="clear"/>
        <w:spacing w:after="40" w:before="40"/>
      </w:pPr>
      <w:r>
        <w:rPr>
          <w:rFonts w:ascii="Courier New" w:cs="Courier New" w:eastAsia="Courier New" w:hAnsi="Courier New"/>
          <w:color w:val="333333"/>
          <w:sz w:val="18"/>
          <w:szCs w:val="18"/>
        </w:rPr>
        <w:t xml:space="preserve">    - Add Content Security Policy headers</w:t>
      </w:r>
    </w:p>
    <w:p>
      <w:pPr>
        <w:shd w:fill="F0F0F0" w:val="clear"/>
        <w:spacing w:after="40" w:before="40"/>
      </w:pPr>
      <w:r>
        <w:rPr>
          <w:rFonts w:ascii="Courier New" w:cs="Courier New" w:eastAsia="Courier New" w:hAnsi="Courier New"/>
          <w:color w:val="333333"/>
          <w:sz w:val="18"/>
          <w:szCs w:val="18"/>
        </w:rPr>
        <w:t xml:space="preserve">    - Set up Dependabot for dependency security updates</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10d. Localization QA:</w:t>
      </w:r>
    </w:p>
    <w:p>
      <w:pPr>
        <w:shd w:fill="F0F0F0" w:val="clear"/>
        <w:spacing w:after="40" w:before="40"/>
      </w:pPr>
      <w:r>
        <w:rPr>
          <w:rFonts w:ascii="Courier New" w:cs="Courier New" w:eastAsia="Courier New" w:hAnsi="Courier New"/>
          <w:color w:val="333333"/>
          <w:sz w:val="18"/>
          <w:szCs w:val="18"/>
        </w:rPr>
        <w:t xml:space="preserve">    - Test all 5 languages in UI</w:t>
      </w:r>
    </w:p>
    <w:p>
      <w:pPr>
        <w:shd w:fill="F0F0F0" w:val="clear"/>
        <w:spacing w:after="40" w:before="40"/>
      </w:pPr>
      <w:r>
        <w:rPr>
          <w:rFonts w:ascii="Courier New" w:cs="Courier New" w:eastAsia="Courier New" w:hAnsi="Courier New"/>
          <w:color w:val="333333"/>
          <w:sz w:val="18"/>
          <w:szCs w:val="18"/>
        </w:rPr>
        <w:t xml:space="preserve">    - Test generated documents in German and Polish</w:t>
      </w:r>
    </w:p>
    <w:p>
      <w:pPr>
        <w:shd w:fill="F0F0F0" w:val="clear"/>
        <w:spacing w:after="40" w:before="40"/>
      </w:pPr>
      <w:r>
        <w:rPr>
          <w:rFonts w:ascii="Courier New" w:cs="Courier New" w:eastAsia="Courier New" w:hAnsi="Courier New"/>
          <w:color w:val="333333"/>
          <w:sz w:val="18"/>
          <w:szCs w:val="18"/>
        </w:rPr>
        <w:t xml:space="preserve">    - Check date/number formatting per locale</w:t>
      </w:r>
    </w:p>
    <w:p>
      <w:pPr>
        <w:shd w:fill="F0F0F0" w:val="clear"/>
        <w:spacing w:after="40" w:before="40"/>
      </w:pPr>
      <w:r>
        <w:rPr>
          <w:rFonts w:ascii="Courier New" w:cs="Courier New" w:eastAsia="Courier New" w:hAnsi="Courier New"/>
          <w:color w:val="333333"/>
          <w:sz w:val="18"/>
          <w:szCs w:val="18"/>
        </w:rPr>
        <w:t xml:space="preserve">    - Check right-to-left text handling (not needed for Phase 2 languages but prepare)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QUALITY REQUIREMENTS (same as Phase 1 + these additions)</w:t>
      </w:r>
    </w:p>
    <w:p>
      <w:pPr>
        <w:shd w:fill="F0F0F0" w:val="clear"/>
        <w:spacing w:after="40" w:before="40"/>
      </w:pPr>
      <w:r>
        <w:rPr>
          <w:rFonts w:ascii="Courier New" w:cs="Courier New" w:eastAsia="Courier New" w:hAnsi="Courier New"/>
          <w:color w:val="333333"/>
          <w:sz w:val="18"/>
          <w:szCs w:val="18"/>
        </w:rPr>
        <w:t xml:space="preserve">- All new background jobs are idempotent (safe to retry)</w:t>
      </w:r>
    </w:p>
    <w:p>
      <w:pPr>
        <w:shd w:fill="F0F0F0" w:val="clear"/>
        <w:spacing w:after="40" w:before="40"/>
      </w:pPr>
      <w:r>
        <w:rPr>
          <w:rFonts w:ascii="Courier New" w:cs="Courier New" w:eastAsia="Courier New" w:hAnsi="Courier New"/>
          <w:color w:val="333333"/>
          <w:sz w:val="18"/>
          <w:szCs w:val="18"/>
        </w:rPr>
        <w:t xml:space="preserve">- All integrations handle token refresh gracefully (no expired token errors)</w:t>
      </w:r>
    </w:p>
    <w:p>
      <w:pPr>
        <w:shd w:fill="F0F0F0" w:val="clear"/>
        <w:spacing w:after="40" w:before="40"/>
      </w:pPr>
      <w:r>
        <w:rPr>
          <w:rFonts w:ascii="Courier New" w:cs="Courier New" w:eastAsia="Courier New" w:hAnsi="Courier New"/>
          <w:color w:val="333333"/>
          <w:sz w:val="18"/>
          <w:szCs w:val="18"/>
        </w:rPr>
        <w:t xml:space="preserve">- All API endpoints return consistent error format: { error: string, code: string }</w:t>
      </w:r>
    </w:p>
    <w:p>
      <w:pPr>
        <w:shd w:fill="F0F0F0" w:val="clear"/>
        <w:spacing w:after="40" w:before="40"/>
      </w:pPr>
      <w:r>
        <w:rPr>
          <w:rFonts w:ascii="Courier New" w:cs="Courier New" w:eastAsia="Courier New" w:hAnsi="Courier New"/>
          <w:color w:val="333333"/>
          <w:sz w:val="18"/>
          <w:szCs w:val="18"/>
        </w:rPr>
        <w:t xml:space="preserve">- All webhook deliveries implement exponential backoff retry</w:t>
      </w:r>
    </w:p>
    <w:p>
      <w:pPr>
        <w:shd w:fill="F0F0F0" w:val="clear"/>
        <w:spacing w:after="40" w:before="40"/>
      </w:pPr>
      <w:r>
        <w:rPr>
          <w:rFonts w:ascii="Courier New" w:cs="Courier New" w:eastAsia="Courier New" w:hAnsi="Courier New"/>
          <w:color w:val="333333"/>
          <w:sz w:val="18"/>
          <w:szCs w:val="18"/>
        </w:rPr>
        <w:t xml:space="preserve">- All cache invalidation is atomic with the mutation that triggers it</w:t>
      </w:r>
    </w:p>
    <w:p>
      <w:pPr>
        <w:shd w:fill="F0F0F0" w:val="clear"/>
        <w:spacing w:after="40" w:before="40"/>
      </w:pPr>
      <w:r>
        <w:rPr>
          <w:rFonts w:ascii="Courier New" w:cs="Courier New" w:eastAsia="Courier New" w:hAnsi="Courier New"/>
          <w:color w:val="333333"/>
          <w:sz w:val="18"/>
          <w:szCs w:val="18"/>
        </w:rPr>
        <w:t xml:space="preserve">- Multi-tenancy: EVERY query in new features must filter by organization_id</w:t>
      </w:r>
    </w:p>
    <w:p>
      <w:pPr>
        <w:shd w:fill="F0F0F0" w:val="clear"/>
        <w:spacing w:after="40" w:before="40"/>
      </w:pPr>
      <w:r>
        <w:rPr>
          <w:rFonts w:ascii="Courier New" w:cs="Courier New" w:eastAsia="Courier New" w:hAnsi="Courier New"/>
          <w:color w:val="333333"/>
          <w:sz w:val="18"/>
          <w:szCs w:val="18"/>
        </w:rPr>
        <w:t xml:space="preserve">- Performance: new pages must load in &lt; 2s on Vercel edge network</w:t>
      </w:r>
    </w:p>
    <w:p>
      <w:pPr>
        <w:shd w:fill="F0F0F0" w:val="clear"/>
        <w:spacing w:after="40" w:before="40"/>
      </w:pPr>
      <w:r>
        <w:rPr>
          <w:rFonts w:ascii="Courier New" w:cs="Courier New" w:eastAsia="Courier New" w:hAnsi="Courier New"/>
          <w:color w:val="333333"/>
          <w:sz w:val="18"/>
          <w:szCs w:val="18"/>
        </w:rPr>
        <w:t xml:space="preserve">- Accessibility: all new UI components pass WCAG 2.1 AA (axe-core scan)</w:t>
      </w:r>
    </w:p>
    <w:p>
      <w:pPr>
        <w:shd w:fill="F0F0F0" w:val="clear"/>
        <w:spacing w:after="40" w:before="40"/>
      </w:pPr>
      <w:r>
        <w:rPr>
          <w:rFonts w:ascii="Courier New" w:cs="Courier New" w:eastAsia="Courier New" w:hAnsi="Courier New"/>
          <w:color w:val="333333"/>
          <w:sz w:val="18"/>
          <w:szCs w:val="18"/>
        </w:rPr>
        <w:t xml:space="preserve">- i18n: no hardcoded strings — everything through next-intl</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 START COMMAND FOR PHASE 2</w:t>
      </w:r>
    </w:p>
    <w:p>
      <w:pPr>
        <w:shd w:fill="F0F0F0" w:val="clear"/>
        <w:spacing w:after="40" w:before="40"/>
      </w:pPr>
      <w:r>
        <w:rPr>
          <w:rFonts w:ascii="Courier New" w:cs="Courier New" w:eastAsia="Courier New" w:hAnsi="Courier New"/>
          <w:color w:val="333333"/>
          <w:sz w:val="18"/>
          <w:szCs w:val="18"/>
        </w:rPr>
        <w:t xml:space="preserve">Begin with P2-STEP 1 (Infrastructure Upgrades).</w:t>
      </w:r>
    </w:p>
    <w:p>
      <w:pPr>
        <w:shd w:fill="F0F0F0" w:val="clear"/>
        <w:spacing w:after="40" w:before="40"/>
      </w:pPr>
      <w:r>
        <w:rPr>
          <w:rFonts w:ascii="Courier New" w:cs="Courier New" w:eastAsia="Courier New" w:hAnsi="Courier New"/>
          <w:color w:val="333333"/>
          <w:sz w:val="18"/>
          <w:szCs w:val="18"/>
        </w:rPr>
        <w:t xml:space="preserve">Install Inngest, Upstash Redis, Sentry in one terminal session.</w:t>
      </w:r>
    </w:p>
    <w:p>
      <w:pPr>
        <w:shd w:fill="F0F0F0" w:val="clear"/>
        <w:spacing w:after="40" w:before="40"/>
      </w:pPr>
      <w:r>
        <w:rPr>
          <w:rFonts w:ascii="Courier New" w:cs="Courier New" w:eastAsia="Courier New" w:hAnsi="Courier New"/>
          <w:color w:val="333333"/>
          <w:sz w:val="18"/>
          <w:szCs w:val="18"/>
        </w:rPr>
        <w:t xml:space="preserve">Create the Inngest API route and migrate PDF generation first.</w:t>
      </w:r>
    </w:p>
    <w:p>
      <w:pPr>
        <w:shd w:fill="F0F0F0" w:val="clear"/>
        <w:spacing w:after="40" w:before="40"/>
      </w:pPr>
      <w:r>
        <w:rPr>
          <w:rFonts w:ascii="Courier New" w:cs="Courier New" w:eastAsia="Courier New" w:hAnsi="Courier New"/>
          <w:color w:val="333333"/>
          <w:sz w:val="18"/>
          <w:szCs w:val="18"/>
        </w:rPr>
        <w:t xml:space="preserve">Test PDF generation via Inngest before proceeding to Step 2.</w:t>
      </w:r>
    </w:p>
    <w:p>
      <w:pPr>
        <w:spacing w:after="60" w:before="60"/>
      </w:pPr>
    </w:p>
    <w:p>
      <w:r>
        <w:br/>
      </w:r>
    </w:p>
    <w:p>
      <w:pPr>
        <w:pStyle w:val="Heading1"/>
        <w:spacing w:after="240" w:before="480"/>
      </w:pPr>
      <w:r>
        <w:rPr>
          <w:rFonts w:ascii="Arial" w:cs="Arial" w:eastAsia="Arial" w:hAnsi="Arial"/>
          <w:b/>
          <w:bCs/>
          <w:color w:val="1B4F72"/>
          <w:sz w:val="40"/>
          <w:szCs w:val="40"/>
        </w:rPr>
        <w:t xml:space="preserve">17. Full UI Screen Specifications</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17.1 Screen Inventory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200"/>
        <w:gridCol w:w="27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New in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Home (marketing)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Update with Phase 2 features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Guide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/eu-ai-act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Expand with sector guides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Country pages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/eu-ai-act/[country]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 9 country pages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Free Tools hub</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/tools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Risk Classifier Tool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/tools/risk-classifier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Compliance Score Tool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/tools/compliance-score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Developer docs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/developers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landing page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Partner application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/partners/apply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dashboard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/partners/dashboard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Update with Business/Enterprise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Blog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/blog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Update with more categories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Login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change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Signup</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/signup</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Add language selector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Onboarding wizard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/onboarding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Update with integration discovery step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Main Dashboard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Add AI advisor widget, calendar snippet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Inventory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/dashboard/inventory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candidate systems tab, bulk actions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System Detail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/dashboard/inventory/[id]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Add evidence files section,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Living Register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major change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Documents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/dashboard/documents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Add version history, outdated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 Editor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/dashboard/documents/[id]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Tiptap rich text editor, AI suggestions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Compliance Advisor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/dashboard/advisor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 — chat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Regulations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/dashboard/regulations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personalized impact analysis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Compliance Calendar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/dashboard/calendar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Obligations Tracker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/dashboard/obligations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 Kanban view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Integrations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/dashboard/integrations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Integration Detail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/dashboard/integrations/[id]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 settings + sync log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Frameworks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/dashboard/frameworks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 — regulation expansion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Framework Activation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/dashboard/frameworks/[id]/activate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 wizard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Literacy Tracker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/dashboard/literacy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 major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Evidence Vault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/dashboard/vault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bulk upload, folders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Questionnaires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/dashboard/questionnaires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 major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Page Settings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/dashboard/trust-page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ISO 42001 section, more controls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Team Settings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/dashboard/settings/team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Add SCIM config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Billing Settings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/dashboard/settings/billing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plan comparison, usage stats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API Settings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/dashboard/settings/api</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 — API keys + webhooks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Preferences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/dashboard/settings/preferences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 language, notifications, date format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Group Dashboard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/dashboard/group</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 (Enterprise)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 — multi-subsidiary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 Trust 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/trust/[slug]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ISO 42001 section, more metrics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Auditor Portal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/audit/[token]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Token auth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NEW — read-only compliance view</w:t>
            </w:r>
          </w:p>
        </w:tc>
      </w:tr>
    </w:tbl>
    <w:p>
      <w:pPr>
        <w:spacing w:after="60" w:before="60"/>
      </w:pPr>
    </w:p>
    <w:p>
      <w:pPr>
        <w:pStyle w:val="Heading2"/>
        <w:spacing w:after="180" w:before="360"/>
      </w:pPr>
      <w:r>
        <w:rPr>
          <w:rFonts w:ascii="Arial" w:cs="Arial" w:eastAsia="Arial" w:hAnsi="Arial"/>
          <w:b/>
          <w:bCs/>
          <w:color w:val="1B4F72"/>
          <w:sz w:val="30"/>
          <w:szCs w:val="30"/>
        </w:rPr>
        <w:t xml:space="preserve">17.2 New Screen: AI Compliance Advisor</w:t>
      </w:r>
    </w:p>
    <w:p>
      <w:pPr>
        <w:pStyle w:val="Heading3"/>
        <w:spacing w:after="140" w:before="280"/>
      </w:pPr>
      <w:r>
        <w:rPr>
          <w:rFonts w:ascii="Arial" w:cs="Arial" w:eastAsia="Arial" w:hAnsi="Arial"/>
          <w:b/>
          <w:bCs/>
          <w:color w:val="1D8348"/>
          <w:sz w:val="24"/>
          <w:szCs w:val="24"/>
        </w:rPr>
        <w:t xml:space="preserve">17.2.1 Layout</w:t>
      </w:r>
    </w:p>
    <w:p>
      <w:pPr>
        <w:pStyle w:val="ListParagraph"/>
        <w:numPr>
          <w:ilvl w:val="0"/>
          <w:numId w:val="2"/>
        </w:numPr>
        <w:spacing w:after="40" w:before="40"/>
      </w:pPr>
      <w:r>
        <w:rPr>
          <w:rFonts w:ascii="Arial" w:cs="Arial" w:eastAsia="Arial" w:hAnsi="Arial"/>
          <w:color w:val="1A1A1A"/>
          <w:sz w:val="20"/>
          <w:szCs w:val="20"/>
        </w:rPr>
        <w:t xml:space="preserve">Full-height split layout: sidebar (20%) | chat (80%)</w:t>
      </w:r>
    </w:p>
    <w:p>
      <w:pPr>
        <w:pStyle w:val="ListParagraph"/>
        <w:numPr>
          <w:ilvl w:val="0"/>
          <w:numId w:val="2"/>
        </w:numPr>
        <w:spacing w:after="40" w:before="40"/>
      </w:pPr>
      <w:r>
        <w:rPr>
          <w:rFonts w:ascii="Arial" w:cs="Arial" w:eastAsia="Arial" w:hAnsi="Arial"/>
          <w:color w:val="1A1A1A"/>
          <w:sz w:val="20"/>
          <w:szCs w:val="20"/>
        </w:rPr>
        <w:t xml:space="preserve">Sidebar: conversation history list, new chat button, suggested topics</w:t>
      </w:r>
    </w:p>
    <w:p>
      <w:pPr>
        <w:pStyle w:val="ListParagraph"/>
        <w:numPr>
          <w:ilvl w:val="0"/>
          <w:numId w:val="2"/>
        </w:numPr>
        <w:spacing w:after="40" w:before="40"/>
      </w:pPr>
      <w:r>
        <w:rPr>
          <w:rFonts w:ascii="Arial" w:cs="Arial" w:eastAsia="Arial" w:hAnsi="Arial"/>
          <w:color w:val="1A1A1A"/>
          <w:sz w:val="20"/>
          <w:szCs w:val="20"/>
        </w:rPr>
        <w:t xml:space="preserve">Chat area: messages thread, streaming text, citation pills below each AI message</w:t>
      </w:r>
    </w:p>
    <w:p>
      <w:pPr>
        <w:pStyle w:val="ListParagraph"/>
        <w:numPr>
          <w:ilvl w:val="0"/>
          <w:numId w:val="2"/>
        </w:numPr>
        <w:spacing w:after="40" w:before="40"/>
      </w:pPr>
      <w:r>
        <w:rPr>
          <w:rFonts w:ascii="Arial" w:cs="Arial" w:eastAsia="Arial" w:hAnsi="Arial"/>
          <w:color w:val="1A1A1A"/>
          <w:sz w:val="20"/>
          <w:szCs w:val="20"/>
        </w:rPr>
        <w:t xml:space="preserve">Input area: textarea (grows with content), send button, attach file button</w:t>
      </w:r>
    </w:p>
    <w:p>
      <w:pPr>
        <w:pStyle w:val="ListParagraph"/>
        <w:numPr>
          <w:ilvl w:val="0"/>
          <w:numId w:val="2"/>
        </w:numPr>
        <w:spacing w:after="40" w:before="40"/>
      </w:pPr>
      <w:r>
        <w:rPr>
          <w:rFonts w:ascii="Arial" w:cs="Arial" w:eastAsia="Arial" w:hAnsi="Arial"/>
          <w:color w:val="1A1A1A"/>
          <w:sz w:val="20"/>
          <w:szCs w:val="20"/>
        </w:rPr>
        <w:t xml:space="preserve">Top bar: 'AI Compliance Advisor' title + 'Export conversation' + 'Clear chat'</w:t>
      </w:r>
    </w:p>
    <w:p>
      <w:pPr>
        <w:spacing w:after="60" w:before="60"/>
      </w:pPr>
    </w:p>
    <w:p>
      <w:pPr>
        <w:pStyle w:val="Heading3"/>
        <w:spacing w:after="140" w:before="280"/>
      </w:pPr>
      <w:r>
        <w:rPr>
          <w:rFonts w:ascii="Arial" w:cs="Arial" w:eastAsia="Arial" w:hAnsi="Arial"/>
          <w:b/>
          <w:bCs/>
          <w:color w:val="1D8348"/>
          <w:sz w:val="24"/>
          <w:szCs w:val="24"/>
        </w:rPr>
        <w:t xml:space="preserve">17.2.2 Message Types</w:t>
      </w:r>
    </w:p>
    <w:p>
      <w:pPr>
        <w:pStyle w:val="ListParagraph"/>
        <w:numPr>
          <w:ilvl w:val="0"/>
          <w:numId w:val="2"/>
        </w:numPr>
        <w:spacing w:after="40" w:before="40"/>
      </w:pPr>
      <w:r>
        <w:rPr>
          <w:rFonts w:ascii="Arial" w:cs="Arial" w:eastAsia="Arial" w:hAnsi="Arial"/>
          <w:color w:val="1A1A1A"/>
          <w:sz w:val="20"/>
          <w:szCs w:val="20"/>
        </w:rPr>
        <w:t xml:space="preserve">User message: right-aligned, blue bubble</w:t>
      </w:r>
    </w:p>
    <w:p>
      <w:pPr>
        <w:pStyle w:val="ListParagraph"/>
        <w:numPr>
          <w:ilvl w:val="0"/>
          <w:numId w:val="2"/>
        </w:numPr>
        <w:spacing w:after="40" w:before="40"/>
      </w:pPr>
      <w:r>
        <w:rPr>
          <w:rFonts w:ascii="Arial" w:cs="Arial" w:eastAsia="Arial" w:hAnsi="Arial"/>
          <w:color w:val="1A1A1A"/>
          <w:sz w:val="20"/>
          <w:szCs w:val="20"/>
        </w:rPr>
        <w:t xml:space="preserve">AI message: left-aligned, white card with border, ActProve logo avatar</w:t>
      </w:r>
    </w:p>
    <w:p>
      <w:pPr>
        <w:pStyle w:val="ListParagraph"/>
        <w:numPr>
          <w:ilvl w:val="0"/>
          <w:numId w:val="2"/>
        </w:numPr>
        <w:spacing w:after="40" w:before="40"/>
      </w:pPr>
      <w:r>
        <w:rPr>
          <w:rFonts w:ascii="Arial" w:cs="Arial" w:eastAsia="Arial" w:hAnsi="Arial"/>
          <w:color w:val="1A1A1A"/>
          <w:sz w:val="20"/>
          <w:szCs w:val="20"/>
        </w:rPr>
        <w:t xml:space="preserve">System message: centered gray text (e.g., 'New conversation started')</w:t>
      </w:r>
    </w:p>
    <w:p>
      <w:pPr>
        <w:pStyle w:val="ListParagraph"/>
        <w:numPr>
          <w:ilvl w:val="0"/>
          <w:numId w:val="2"/>
        </w:numPr>
        <w:spacing w:after="40" w:before="40"/>
      </w:pPr>
      <w:r>
        <w:rPr>
          <w:rFonts w:ascii="Arial" w:cs="Arial" w:eastAsia="Arial" w:hAnsi="Arial"/>
          <w:color w:val="1A1A1A"/>
          <w:sz w:val="20"/>
          <w:szCs w:val="20"/>
        </w:rPr>
        <w:t xml:space="preserve">Citation card: below AI message, shows: article number + title + short quote + link to full text</w:t>
      </w:r>
    </w:p>
    <w:p>
      <w:pPr>
        <w:pStyle w:val="ListParagraph"/>
        <w:numPr>
          <w:ilvl w:val="0"/>
          <w:numId w:val="2"/>
        </w:numPr>
        <w:spacing w:after="40" w:before="40"/>
      </w:pPr>
      <w:r>
        <w:rPr>
          <w:rFonts w:ascii="Arial" w:cs="Arial" w:eastAsia="Arial" w:hAnsi="Arial"/>
          <w:color w:val="1A1A1A"/>
          <w:sz w:val="20"/>
          <w:szCs w:val="20"/>
        </w:rPr>
        <w:t xml:space="preserve">Action card: AI suggests a specific action: 'Generate transparency notice for [System]' button inline</w:t>
      </w:r>
    </w:p>
    <w:p>
      <w:pPr>
        <w:pStyle w:val="ListParagraph"/>
        <w:numPr>
          <w:ilvl w:val="0"/>
          <w:numId w:val="2"/>
        </w:numPr>
        <w:spacing w:after="40" w:before="40"/>
      </w:pPr>
      <w:r>
        <w:rPr>
          <w:rFonts w:ascii="Arial" w:cs="Arial" w:eastAsia="Arial" w:hAnsi="Arial"/>
          <w:color w:val="1A1A1A"/>
          <w:sz w:val="20"/>
          <w:szCs w:val="20"/>
        </w:rPr>
        <w:t xml:space="preserve">Loading state: animated typing indicator (3 dots)</w:t>
      </w:r>
    </w:p>
    <w:p>
      <w:pPr>
        <w:spacing w:after="60" w:before="60"/>
      </w:pPr>
    </w:p>
    <w:p>
      <w:pPr>
        <w:pStyle w:val="Heading2"/>
        <w:spacing w:after="180" w:before="360"/>
      </w:pPr>
      <w:r>
        <w:rPr>
          <w:rFonts w:ascii="Arial" w:cs="Arial" w:eastAsia="Arial" w:hAnsi="Arial"/>
          <w:b/>
          <w:bCs/>
          <w:color w:val="1B4F72"/>
          <w:sz w:val="30"/>
          <w:szCs w:val="30"/>
        </w:rPr>
        <w:t xml:space="preserve">17.3 New Screen: Integration Detail</w:t>
      </w:r>
    </w:p>
    <w:p>
      <w:pPr>
        <w:pStyle w:val="Heading3"/>
        <w:spacing w:after="140" w:before="280"/>
      </w:pPr>
      <w:r>
        <w:rPr>
          <w:rFonts w:ascii="Arial" w:cs="Arial" w:eastAsia="Arial" w:hAnsi="Arial"/>
          <w:b/>
          <w:bCs/>
          <w:color w:val="1D8348"/>
          <w:sz w:val="24"/>
          <w:szCs w:val="24"/>
        </w:rPr>
        <w:t xml:space="preserve">17.3.1 Layout</w:t>
      </w:r>
    </w:p>
    <w:p>
      <w:pPr>
        <w:pStyle w:val="ListParagraph"/>
        <w:numPr>
          <w:ilvl w:val="0"/>
          <w:numId w:val="2"/>
        </w:numPr>
        <w:spacing w:after="40" w:before="40"/>
      </w:pPr>
      <w:r>
        <w:rPr>
          <w:rFonts w:ascii="Arial" w:cs="Arial" w:eastAsia="Arial" w:hAnsi="Arial"/>
          <w:color w:val="1A1A1A"/>
          <w:sz w:val="20"/>
          <w:szCs w:val="20"/>
        </w:rPr>
        <w:t xml:space="preserve">Top: integration logo (large), name, connection status badge, 'Sync Now' button</w:t>
      </w:r>
    </w:p>
    <w:p>
      <w:pPr>
        <w:pStyle w:val="ListParagraph"/>
        <w:numPr>
          <w:ilvl w:val="0"/>
          <w:numId w:val="2"/>
        </w:numPr>
        <w:spacing w:after="40" w:before="40"/>
      </w:pPr>
      <w:r>
        <w:rPr>
          <w:rFonts w:ascii="Arial" w:cs="Arial" w:eastAsia="Arial" w:hAnsi="Arial"/>
          <w:color w:val="1A1A1A"/>
          <w:sz w:val="20"/>
          <w:szCs w:val="20"/>
        </w:rPr>
        <w:t xml:space="preserve">Tabs: Overview | Discovered Systems | Sync History | Settings</w:t>
      </w:r>
    </w:p>
    <w:p>
      <w:pPr>
        <w:pStyle w:val="ListParagraph"/>
        <w:numPr>
          <w:ilvl w:val="0"/>
          <w:numId w:val="2"/>
        </w:numPr>
        <w:spacing w:after="40" w:before="40"/>
      </w:pPr>
      <w:r>
        <w:rPr>
          <w:rFonts w:ascii="Arial" w:cs="Arial" w:eastAsia="Arial" w:hAnsi="Arial"/>
          <w:color w:val="1A1A1A"/>
          <w:sz w:val="20"/>
          <w:szCs w:val="20"/>
        </w:rPr>
        <w:t xml:space="preserve">Overview: connected account info, last sync time, counts (X systems discovered, Y new this month)</w:t>
      </w:r>
    </w:p>
    <w:p>
      <w:pPr>
        <w:pStyle w:val="ListParagraph"/>
        <w:numPr>
          <w:ilvl w:val="0"/>
          <w:numId w:val="2"/>
        </w:numPr>
        <w:spacing w:after="40" w:before="40"/>
      </w:pPr>
      <w:r>
        <w:rPr>
          <w:rFonts w:ascii="Arial" w:cs="Arial" w:eastAsia="Arial" w:hAnsi="Arial"/>
          <w:color w:val="1A1A1A"/>
          <w:sz w:val="20"/>
          <w:szCs w:val="20"/>
        </w:rPr>
        <w:t xml:space="preserve">Discovered Systems: filterable table of all AI systems found via this integration with status badges</w:t>
      </w:r>
    </w:p>
    <w:p>
      <w:pPr>
        <w:pStyle w:val="ListParagraph"/>
        <w:numPr>
          <w:ilvl w:val="0"/>
          <w:numId w:val="2"/>
        </w:numPr>
        <w:spacing w:after="40" w:before="40"/>
      </w:pPr>
      <w:r>
        <w:rPr>
          <w:rFonts w:ascii="Arial" w:cs="Arial" w:eastAsia="Arial" w:hAnsi="Arial"/>
          <w:color w:val="1A1A1A"/>
          <w:sz w:val="20"/>
          <w:szCs w:val="20"/>
        </w:rPr>
        <w:t xml:space="preserve">Sync History: chronological list of sync runs with: start time, duration, records found, errors</w:t>
      </w:r>
    </w:p>
    <w:p>
      <w:pPr>
        <w:pStyle w:val="ListParagraph"/>
        <w:numPr>
          <w:ilvl w:val="0"/>
          <w:numId w:val="2"/>
        </w:numPr>
        <w:spacing w:after="40" w:before="40"/>
      </w:pPr>
      <w:r>
        <w:rPr>
          <w:rFonts w:ascii="Arial" w:cs="Arial" w:eastAsia="Arial" w:hAnsi="Arial"/>
          <w:color w:val="1A1A1A"/>
          <w:sz w:val="20"/>
          <w:szCs w:val="20"/>
        </w:rPr>
        <w:t xml:space="preserve">Settings: sync frequency, resource filters, auto-confirm toggle, notification preferences, disconnect button</w:t>
      </w:r>
    </w:p>
    <w:p>
      <w:pPr>
        <w:spacing w:after="60" w:before="60"/>
      </w:pPr>
    </w:p>
    <w:p>
      <w:pPr>
        <w:pStyle w:val="Heading2"/>
        <w:spacing w:after="180" w:before="360"/>
      </w:pPr>
      <w:r>
        <w:rPr>
          <w:rFonts w:ascii="Arial" w:cs="Arial" w:eastAsia="Arial" w:hAnsi="Arial"/>
          <w:b/>
          <w:bCs/>
          <w:color w:val="1B4F72"/>
          <w:sz w:val="30"/>
          <w:szCs w:val="30"/>
        </w:rPr>
        <w:t xml:space="preserve">17.4 New Screen: Framework Activation Wizard</w:t>
      </w:r>
    </w:p>
    <w:p>
      <w:pPr>
        <w:pStyle w:val="Heading3"/>
        <w:spacing w:after="140" w:before="280"/>
      </w:pPr>
      <w:r>
        <w:rPr>
          <w:rFonts w:ascii="Arial" w:cs="Arial" w:eastAsia="Arial" w:hAnsi="Arial"/>
          <w:b/>
          <w:bCs/>
          <w:color w:val="1D8348"/>
          <w:sz w:val="24"/>
          <w:szCs w:val="24"/>
        </w:rPr>
        <w:t xml:space="preserve">17.4.1 Wizard Steps</w:t>
      </w:r>
    </w:p>
    <w:p>
      <w:pPr>
        <w:pStyle w:val="ListParagraph"/>
        <w:numPr>
          <w:ilvl w:val="0"/>
          <w:numId w:val="2"/>
        </w:numPr>
        <w:spacing w:after="40" w:before="40"/>
      </w:pPr>
      <w:r>
        <w:rPr>
          <w:rFonts w:ascii="Arial" w:cs="Arial" w:eastAsia="Arial" w:hAnsi="Arial"/>
          <w:color w:val="1A1A1A"/>
          <w:sz w:val="20"/>
          <w:szCs w:val="20"/>
        </w:rPr>
        <w:t xml:space="preserve">Step 1 — Framework Overview: what it covers, who must comply, key obligations, estimated work</w:t>
      </w:r>
    </w:p>
    <w:p>
      <w:pPr>
        <w:pStyle w:val="ListParagraph"/>
        <w:numPr>
          <w:ilvl w:val="0"/>
          <w:numId w:val="2"/>
        </w:numPr>
        <w:spacing w:after="40" w:before="40"/>
      </w:pPr>
      <w:r>
        <w:rPr>
          <w:rFonts w:ascii="Arial" w:cs="Arial" w:eastAsia="Arial" w:hAnsi="Arial"/>
          <w:color w:val="1A1A1A"/>
          <w:sz w:val="20"/>
          <w:szCs w:val="20"/>
        </w:rPr>
        <w:t xml:space="preserve">Step 2 — Scope Assessment: 5–8 questions to confirm applicability (skip if clearly applicable)</w:t>
      </w:r>
    </w:p>
    <w:p>
      <w:pPr>
        <w:pStyle w:val="ListParagraph"/>
        <w:numPr>
          <w:ilvl w:val="0"/>
          <w:numId w:val="2"/>
        </w:numPr>
        <w:spacing w:after="40" w:before="40"/>
      </w:pPr>
      <w:r>
        <w:rPr>
          <w:rFonts w:ascii="Arial" w:cs="Arial" w:eastAsia="Arial" w:hAnsi="Arial"/>
          <w:color w:val="1A1A1A"/>
          <w:sz w:val="20"/>
          <w:szCs w:val="20"/>
        </w:rPr>
        <w:t xml:space="preserve">Step 3 — Data Gap Analysis: loading state while Claude analyzes → results showing reuse % and new requirements</w:t>
      </w:r>
    </w:p>
    <w:p>
      <w:pPr>
        <w:pStyle w:val="ListParagraph"/>
        <w:numPr>
          <w:ilvl w:val="0"/>
          <w:numId w:val="2"/>
        </w:numPr>
        <w:spacing w:after="40" w:before="40"/>
      </w:pPr>
      <w:r>
        <w:rPr>
          <w:rFonts w:ascii="Arial" w:cs="Arial" w:eastAsia="Arial" w:hAnsi="Arial"/>
          <w:color w:val="1A1A1A"/>
          <w:sz w:val="20"/>
          <w:szCs w:val="20"/>
        </w:rPr>
        <w:t xml:space="preserve">Step 4 — Obligation Import: preview of all obligations being added, organized by priority</w:t>
      </w:r>
    </w:p>
    <w:p>
      <w:pPr>
        <w:pStyle w:val="ListParagraph"/>
        <w:numPr>
          <w:ilvl w:val="0"/>
          <w:numId w:val="2"/>
        </w:numPr>
        <w:spacing w:after="40" w:before="40"/>
      </w:pPr>
      <w:r>
        <w:rPr>
          <w:rFonts w:ascii="Arial" w:cs="Arial" w:eastAsia="Arial" w:hAnsi="Arial"/>
          <w:color w:val="1A1A1A"/>
          <w:sz w:val="20"/>
          <w:szCs w:val="20"/>
        </w:rPr>
        <w:t xml:space="preserve">Step 5 — First Action: one specific action to complete now (momentum builder)</w:t>
      </w:r>
    </w:p>
    <w:p>
      <w:pPr>
        <w:pStyle w:val="ListParagraph"/>
        <w:numPr>
          <w:ilvl w:val="0"/>
          <w:numId w:val="2"/>
        </w:numPr>
        <w:spacing w:after="40" w:before="40"/>
      </w:pPr>
      <w:r>
        <w:rPr>
          <w:rFonts w:ascii="Arial" w:cs="Arial" w:eastAsia="Arial" w:hAnsi="Arial"/>
          <w:color w:val="1A1A1A"/>
          <w:sz w:val="20"/>
          <w:szCs w:val="20"/>
        </w:rPr>
        <w:t xml:space="preserve">Completion: confetti animation, new framework badge on dashboard</w:t>
      </w:r>
    </w:p>
    <w:p>
      <w:pPr>
        <w:spacing w:after="60" w:before="60"/>
      </w:pPr>
    </w:p>
    <w:p>
      <w:r>
        <w:br/>
      </w:r>
    </w:p>
    <w:p>
      <w:pPr>
        <w:pStyle w:val="Heading1"/>
        <w:spacing w:after="240" w:before="480"/>
      </w:pPr>
      <w:r>
        <w:rPr>
          <w:rFonts w:ascii="Arial" w:cs="Arial" w:eastAsia="Arial" w:hAnsi="Arial"/>
          <w:b/>
          <w:bCs/>
          <w:color w:val="1B4F72"/>
          <w:sz w:val="40"/>
          <w:szCs w:val="40"/>
        </w:rPr>
        <w:t xml:space="preserve">18. Product Roadmap &amp; Prioritized Backlog</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18.1 Phase 2 Quarterly Roadmap</w:t>
      </w:r>
    </w:p>
    <w:p>
      <w:pPr>
        <w:pStyle w:val="Heading3"/>
        <w:spacing w:after="140" w:before="280"/>
      </w:pPr>
      <w:r>
        <w:rPr>
          <w:rFonts w:ascii="Arial" w:cs="Arial" w:eastAsia="Arial" w:hAnsi="Arial"/>
          <w:b/>
          <w:bCs/>
          <w:color w:val="1D8348"/>
          <w:sz w:val="24"/>
          <w:szCs w:val="24"/>
        </w:rPr>
        <w:t xml:space="preserve">Q3 2026 (Months 1–3):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000"/>
        <w:gridCol w:w="50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Expected Impact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Inngest background jobs (PDF, classification)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Reliability — eliminates timeout failures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Upstash Redis caching</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 week</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Performance — Trust Page &lt; 500ms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Sentry error monitoring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days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Visibility — know before customers complain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German + Polish + Dutch localization</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 weeks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Unlock 3 major EU markets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Microsoft Azure 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of target customers use Azure AI</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GitHub integration</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 week</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Discovers GitHub Copilot for all tech companies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ISO 42001 framework module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Adds recurring compliance value, reduces churn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Command palette (Cmd+K)</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 week</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UX upgrade — power users love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Obligation Kanban board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Better compliance workflow management</w:t>
            </w:r>
          </w:p>
        </w:tc>
      </w:tr>
    </w:tbl>
    <w:p>
      <w:pPr>
        <w:spacing w:after="60" w:before="60"/>
      </w:pPr>
    </w:p>
    <w:p>
      <w:pPr>
        <w:pStyle w:val="Heading3"/>
        <w:spacing w:after="140" w:before="280"/>
      </w:pPr>
      <w:r>
        <w:rPr>
          <w:rFonts w:ascii="Arial" w:cs="Arial" w:eastAsia="Arial" w:hAnsi="Arial"/>
          <w:b/>
          <w:bCs/>
          <w:color w:val="1D8348"/>
          <w:sz w:val="24"/>
          <w:szCs w:val="24"/>
        </w:rPr>
        <w:t xml:space="preserve">Q4 2026 (Months 4–6):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000"/>
        <w:gridCol w:w="50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Expected Impact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AWS + GCP integrations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Cover the big 3 cloud providers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HubSpot + Salesforce integrations</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Detect CRM AI — very common SMB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NIS2 framework module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Expand to 18 new sectors, significant TAM</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portal (MVP)</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 weeks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Unlock partner channel — 35% of MRR target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Public API v1 (read-only)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Enterprise requirement — integration capability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Compliance Advisor (chat)</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3 weeks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Differentiation + engagement increase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risk classifier tool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 week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SEO lead magnet — high volume keyword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French + Spanish localization</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Open major markets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Group/multi-subsidiary support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Enterprise deal unlocker</w:t>
            </w:r>
          </w:p>
        </w:tc>
      </w:tr>
    </w:tbl>
    <w:p>
      <w:pPr>
        <w:spacing w:after="60" w:before="60"/>
      </w:pPr>
    </w:p>
    <w:p>
      <w:pPr>
        <w:pStyle w:val="Heading3"/>
        <w:spacing w:after="140" w:before="280"/>
      </w:pPr>
      <w:r>
        <w:rPr>
          <w:rFonts w:ascii="Arial" w:cs="Arial" w:eastAsia="Arial" w:hAnsi="Arial"/>
          <w:b/>
          <w:bCs/>
          <w:color w:val="1D8348"/>
          <w:sz w:val="24"/>
          <w:szCs w:val="24"/>
        </w:rPr>
        <w:t xml:space="preserve">Q1 2027 (Months 7–9):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Expected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Webhooks (outbound)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Integration stickiness — enterprise requirement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DORA framework module</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Fintech market unlock — high WTP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Sector-specific modules (healthcare, finance, HR)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Personalization — reduces churn, increases ARPC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Audit Mode</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Enterprise requirement for due diligence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SCIM provisioning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Enterprise requirement for large companies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White-label reports</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1.5 weeks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and Enterprise plan value-add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Mobile companion app (Expo)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Nice-to-have — improves engagement metrics</w:t>
            </w:r>
          </w:p>
        </w:tc>
      </w:tr>
    </w:tbl>
    <w:p>
      <w:pPr>
        <w:spacing w:after="60" w:before="60"/>
      </w:pPr>
    </w:p>
    <w:p>
      <w:pPr>
        <w:pStyle w:val="Heading3"/>
        <w:spacing w:after="140" w:before="280"/>
      </w:pPr>
      <w:r>
        <w:rPr>
          <w:rFonts w:ascii="Arial" w:cs="Arial" w:eastAsia="Arial" w:hAnsi="Arial"/>
          <w:b/>
          <w:bCs/>
          <w:color w:val="1D8348"/>
          <w:sz w:val="24"/>
          <w:szCs w:val="24"/>
        </w:rPr>
        <w:t xml:space="preserve">Q2 2027 (Months 10–12):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Expected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UK AI Act module (as framework solidifies)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UK market opportunity post-Brexit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Supplier/vendor assessment module</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Deep Art. 26 compliance for deployers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Benchmark intelligence dashboard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 network effect — increases stickiness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ISO 27001 framework module</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Bundle with ISO 42001 — increases deal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Custom risk rules engine (Team+)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Enterprise differentiation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CRA (Cyber Resilience Act) prep</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P3</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 weeks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Forward-looking for December 2027 deadline</w:t>
            </w:r>
          </w:p>
        </w:tc>
      </w:tr>
    </w:tbl>
    <w:p>
      <w:pPr>
        <w:spacing w:after="60" w:before="60"/>
      </w:pPr>
    </w:p>
    <w:p>
      <w:pPr>
        <w:pStyle w:val="Heading2"/>
        <w:spacing w:after="180" w:before="360"/>
      </w:pPr>
      <w:r>
        <w:rPr>
          <w:rFonts w:ascii="Arial" w:cs="Arial" w:eastAsia="Arial" w:hAnsi="Arial"/>
          <w:b/>
          <w:bCs/>
          <w:color w:val="1B4F72"/>
          <w:sz w:val="30"/>
          <w:szCs w:val="30"/>
        </w:rPr>
        <w:t xml:space="preserve">18.2 Intentional Deprioritizations</w:t>
      </w:r>
    </w:p>
    <w:p>
      <w:pPr>
        <w:spacing w:after="80" w:before="80"/>
      </w:pPr>
      <w:r>
        <w:rPr>
          <w:rFonts w:ascii="Arial" w:cs="Arial" w:eastAsia="Arial" w:hAnsi="Arial"/>
          <w:color w:val="1A1A1A"/>
          <w:sz w:val="20"/>
          <w:szCs w:val="20"/>
        </w:rPr>
        <w:t xml:space="preserve">Features deliberately NOT building in Phase 2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 Not Building 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Native mobile app (full featured)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Companion app is sufficient. Full native app takes 3–4 months. Web is good enough for compliance workflows.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model training on customer data</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Massive privacy risk, regulatory complexity, not necessary for product quality. Claude API is sufficient.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Blockchain-based evidence immutability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Engineering complexity without meaningful compliance benefit. Supabase audit log is sufficient for regulators.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Community/forum feature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Not our moat. Partner network serves the community function better. Distraction from core product.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chatbot for marketing/support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 Intercom or similar. Not our core competency. Focus engineering on product.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Compliance consulting services</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Services don't scale. Partner network earns revenue from consulting. Stay software-only.</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19. Metrics, Analytics &amp; Experimentation Framework</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19.1 Measurement Philosophy</w:t>
      </w:r>
    </w:p>
    <w:p>
      <w:pPr>
        <w:spacing w:after="80" w:before="80"/>
      </w:pPr>
      <w:r>
        <w:rPr>
          <w:rFonts w:ascii="Arial" w:cs="Arial" w:eastAsia="Arial" w:hAnsi="Arial"/>
          <w:color w:val="1A1A1A"/>
          <w:sz w:val="20"/>
          <w:szCs w:val="20"/>
        </w:rPr>
        <w:t xml:space="preserve">ActProve tracks metrics at three levels: business health (MRR, churn, NPS), product engagement (usage, adoption, activation), and leading indicators (signals that predict future performance before it shows in revenue).</w:t>
      </w:r>
    </w:p>
    <w:p>
      <w:pPr>
        <w:spacing w:after="60" w:before="60"/>
      </w:pPr>
    </w:p>
    <w:p>
      <w:pPr>
        <w:pStyle w:val="Heading2"/>
        <w:spacing w:after="180" w:before="360"/>
      </w:pPr>
      <w:r>
        <w:rPr>
          <w:rFonts w:ascii="Arial" w:cs="Arial" w:eastAsia="Arial" w:hAnsi="Arial"/>
          <w:b/>
          <w:bCs/>
          <w:color w:val="1B4F72"/>
          <w:sz w:val="30"/>
          <w:szCs w:val="30"/>
        </w:rPr>
        <w:t xml:space="preserve">19.2 Business Metrics Dashboard (Founder-Facing)</w:t>
      </w:r>
    </w:p>
    <w:p>
      <w:pPr>
        <w:spacing w:after="80" w:before="80"/>
      </w:pPr>
      <w:r>
        <w:rPr>
          <w:rFonts w:ascii="Arial" w:cs="Arial" w:eastAsia="Arial" w:hAnsi="Arial"/>
          <w:color w:val="1A1A1A"/>
          <w:sz w:val="20"/>
          <w:szCs w:val="20"/>
        </w:rPr>
        <w:t xml:space="preserve">Weekly review ritual — 15-minute check every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800"/>
        <w:gridCol w:w="36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Alert 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trials started (week)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by Month 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5/week for 2 consecutive weeks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Trial → Paid conversion rate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Stripe + Supabase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&gt; 25%</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15% for 2 consecutive cohorts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New MRR added (week)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Growing week-over-week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Negative for 2 consecutive weeks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MRR Churned (week)</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Stripe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$300/week at $30K MRR</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&gt; $600/week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Net MRR change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Positive every week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Negative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Support tickets (week)</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Email/Intercom</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 2 per 10 customers</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&gt; 5 per 10 customers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NPS score (rolling 90-day)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In-app survey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&gt; 40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&lt; 20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referrals (month)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Partner portal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 by Month 9</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0 for 2 consecutive months</w:t>
            </w:r>
          </w:p>
        </w:tc>
      </w:tr>
    </w:tbl>
    <w:p>
      <w:pPr>
        <w:spacing w:after="60" w:before="60"/>
      </w:pPr>
    </w:p>
    <w:p>
      <w:pPr>
        <w:pStyle w:val="Heading2"/>
        <w:spacing w:after="180" w:before="360"/>
      </w:pPr>
      <w:r>
        <w:rPr>
          <w:rFonts w:ascii="Arial" w:cs="Arial" w:eastAsia="Arial" w:hAnsi="Arial"/>
          <w:b/>
          <w:bCs/>
          <w:color w:val="1B4F72"/>
          <w:sz w:val="30"/>
          <w:szCs w:val="30"/>
        </w:rPr>
        <w:t xml:space="preserve">19.3 Product Engagement Metrics (PostHog)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It Measures</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 Activation 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ai_system_created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User adds first AI 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 of signups within Day 1</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risk_classified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Classification runs for 1+ system</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65% within Day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document_generated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First document generated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 within Day 7</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trust_page_enabled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Trust Page made public</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40% within Day 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integration_connected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First integration connected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 within Day 30</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team_member_invited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User invites a colleague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25% within Day 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obligation_completed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First obligation marked done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60% within Day 14</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session_7d_retained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User returns after 7 days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&gt; 50% of activated users</w:t>
            </w:r>
          </w:p>
        </w:tc>
      </w:tr>
    </w:tbl>
    <w:p>
      <w:pPr>
        <w:spacing w:after="60" w:before="60"/>
      </w:pPr>
    </w:p>
    <w:p>
      <w:pPr>
        <w:pStyle w:val="Heading2"/>
        <w:spacing w:after="180" w:before="360"/>
      </w:pPr>
      <w:r>
        <w:rPr>
          <w:rFonts w:ascii="Arial" w:cs="Arial" w:eastAsia="Arial" w:hAnsi="Arial"/>
          <w:b/>
          <w:bCs/>
          <w:color w:val="1B4F72"/>
          <w:sz w:val="30"/>
          <w:szCs w:val="30"/>
        </w:rPr>
        <w:t xml:space="preserve">19.4 Leading Indicators (Weekly Review)</w:t>
      </w:r>
    </w:p>
    <w:p>
      <w:pPr>
        <w:pStyle w:val="ListParagraph"/>
        <w:numPr>
          <w:ilvl w:val="0"/>
          <w:numId w:val="2"/>
        </w:numPr>
        <w:spacing w:after="40" w:before="40"/>
      </w:pPr>
      <w:r>
        <w:rPr>
          <w:rFonts w:ascii="Arial" w:cs="Arial" w:eastAsia="Arial" w:hAnsi="Arial"/>
          <w:color w:val="1A1A1A"/>
          <w:sz w:val="20"/>
          <w:szCs w:val="20"/>
        </w:rPr>
        <w:t xml:space="preserve">Trust Page views: number of unique viewers of Trust Pages across all customers → predicts viral growth</w:t>
      </w:r>
    </w:p>
    <w:p>
      <w:pPr>
        <w:pStyle w:val="ListParagraph"/>
        <w:numPr>
          <w:ilvl w:val="0"/>
          <w:numId w:val="2"/>
        </w:numPr>
        <w:spacing w:after="40" w:before="40"/>
      </w:pPr>
      <w:r>
        <w:rPr>
          <w:rFonts w:ascii="Arial" w:cs="Arial" w:eastAsia="Arial" w:hAnsi="Arial"/>
          <w:color w:val="1A1A1A"/>
          <w:sz w:val="20"/>
          <w:szCs w:val="20"/>
        </w:rPr>
        <w:t xml:space="preserve">Document download rate: how often generated PDFs are actually downloaded → predicts perceived value</w:t>
      </w:r>
    </w:p>
    <w:p>
      <w:pPr>
        <w:pStyle w:val="ListParagraph"/>
        <w:numPr>
          <w:ilvl w:val="0"/>
          <w:numId w:val="2"/>
        </w:numPr>
        <w:spacing w:after="40" w:before="40"/>
      </w:pPr>
      <w:r>
        <w:rPr>
          <w:rFonts w:ascii="Arial" w:cs="Arial" w:eastAsia="Arial" w:hAnsi="Arial"/>
          <w:color w:val="1A1A1A"/>
          <w:sz w:val="20"/>
          <w:szCs w:val="20"/>
        </w:rPr>
        <w:t xml:space="preserve">Integration-to-system ratio: customers with integrations have 3x lower churn — track this actively</w:t>
      </w:r>
    </w:p>
    <w:p>
      <w:pPr>
        <w:pStyle w:val="ListParagraph"/>
        <w:numPr>
          <w:ilvl w:val="0"/>
          <w:numId w:val="2"/>
        </w:numPr>
        <w:spacing w:after="40" w:before="40"/>
      </w:pPr>
      <w:r>
        <w:rPr>
          <w:rFonts w:ascii="Arial" w:cs="Arial" w:eastAsia="Arial" w:hAnsi="Arial"/>
          <w:color w:val="1A1A1A"/>
          <w:sz w:val="20"/>
          <w:szCs w:val="20"/>
        </w:rPr>
        <w:t xml:space="preserve">Regulation update email open rate: &gt; 40% open rate means customers trust ActProve as their compliance news source</w:t>
      </w:r>
    </w:p>
    <w:p>
      <w:pPr>
        <w:pStyle w:val="ListParagraph"/>
        <w:numPr>
          <w:ilvl w:val="0"/>
          <w:numId w:val="2"/>
        </w:numPr>
        <w:spacing w:after="40" w:before="40"/>
      </w:pPr>
      <w:r>
        <w:rPr>
          <w:rFonts w:ascii="Arial" w:cs="Arial" w:eastAsia="Arial" w:hAnsi="Arial"/>
          <w:color w:val="1A1A1A"/>
          <w:sz w:val="20"/>
          <w:szCs w:val="20"/>
        </w:rPr>
        <w:t xml:space="preserve">Command palette usage: how often Cmd+K used → proxy for power user development</w:t>
      </w:r>
    </w:p>
    <w:p>
      <w:pPr>
        <w:pStyle w:val="ListParagraph"/>
        <w:numPr>
          <w:ilvl w:val="0"/>
          <w:numId w:val="2"/>
        </w:numPr>
        <w:spacing w:after="40" w:before="40"/>
      </w:pPr>
      <w:r>
        <w:rPr>
          <w:rFonts w:ascii="Arial" w:cs="Arial" w:eastAsia="Arial" w:hAnsi="Arial"/>
          <w:color w:val="1A1A1A"/>
          <w:sz w:val="20"/>
          <w:szCs w:val="20"/>
        </w:rPr>
        <w:t xml:space="preserve">Organic search ranking: track top 20 target keywords weekly in Google Search Console</w:t>
      </w:r>
    </w:p>
    <w:p>
      <w:pPr>
        <w:spacing w:after="60" w:before="60"/>
      </w:pPr>
    </w:p>
    <w:p>
      <w:pPr>
        <w:pStyle w:val="Heading2"/>
        <w:spacing w:after="180" w:before="360"/>
      </w:pPr>
      <w:r>
        <w:rPr>
          <w:rFonts w:ascii="Arial" w:cs="Arial" w:eastAsia="Arial" w:hAnsi="Arial"/>
          <w:b/>
          <w:bCs/>
          <w:color w:val="1B4F72"/>
          <w:sz w:val="30"/>
          <w:szCs w:val="30"/>
        </w:rPr>
        <w:t xml:space="preserve">19.5 Experimentation Framework</w:t>
      </w:r>
    </w:p>
    <w:p>
      <w:pPr>
        <w:pStyle w:val="Heading3"/>
        <w:spacing w:after="140" w:before="280"/>
      </w:pPr>
      <w:r>
        <w:rPr>
          <w:rFonts w:ascii="Arial" w:cs="Arial" w:eastAsia="Arial" w:hAnsi="Arial"/>
          <w:b/>
          <w:bCs/>
          <w:color w:val="1D8348"/>
          <w:sz w:val="24"/>
          <w:szCs w:val="24"/>
        </w:rPr>
        <w:t xml:space="preserve">19.5.1 A/B Testing with PostHog Experiments</w:t>
      </w:r>
    </w:p>
    <w:p>
      <w:pPr>
        <w:spacing w:after="80" w:before="80"/>
      </w:pPr>
      <w:r>
        <w:rPr>
          <w:rFonts w:ascii="Arial" w:cs="Arial" w:eastAsia="Arial" w:hAnsi="Arial"/>
          <w:color w:val="1A1A1A"/>
          <w:sz w:val="20"/>
          <w:szCs w:val="20"/>
        </w:rPr>
        <w:t xml:space="preserve">Phase 2 runs 2–3 concurrent A/B experiments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1400"/>
        <w:gridCol w:w="17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Experiment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Hypothesis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Expected Winner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Onboarding: AI scan first vs manual first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Leading with catalog scan (quick win) increases D7 retention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D7 retention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scan first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Pricing page: monthly default vs annual default</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Annual default increases LTV and reduces trial-only signups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Revenue per trial</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Annual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Page CTA: 'Powered by' vs 'Verified by'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'Verified by' implies more authority and increases click-through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Trust Page CTR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Verified by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Trial length: 14 days vs 21 days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Longer trial gives more time to reach activation — improves conversion</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Trial → paid rate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Unclear — test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day 1: feature tour vs compliance checklist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Compliance checklist drives specific action vs feature tour drives exploration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D7 activation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Compliance checklist</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20. ActProve's Own Compliance Posture</w:t>
      </w:r>
    </w:p>
    <w:p>
      <w:pPr>
        <w:pBdr>
          <w:bottom w:val="single" w:color="1D8348"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D5F5E3" w:val="clear"/>
            <w:tcMar>
              <w:top w:type="dxa" w:w="140"/>
              <w:left w:type="dxa" w:w="220"/>
              <w:bottom w:type="dxa" w:w="140"/>
              <w:right w:type="dxa" w:w="220"/>
            </w:tcMar>
          </w:tcPr>
          <w:p>
            <w:r>
              <w:rPr>
                <w:rFonts w:ascii="Arial" w:cs="Arial" w:eastAsia="Arial" w:hAnsi="Arial"/>
                <w:b/>
                <w:bCs/>
                <w:color w:val="1B4F72"/>
                <w:sz w:val="21"/>
                <w:szCs w:val="21"/>
              </w:rPr>
              <w:t xml:space="preserve">Practice What You Preach:</w:t>
            </w:r>
          </w:p>
          <w:p>
            <w:pPr>
              <w:spacing w:before="80"/>
            </w:pPr>
            <w:r>
              <w:rPr>
                <w:rFonts w:ascii="Arial" w:cs="Arial" w:eastAsia="Arial" w:hAnsi="Arial"/>
                <w:color w:val="1A1A1A"/>
                <w:sz w:val="19"/>
                <w:szCs w:val="19"/>
              </w:rPr>
              <w:t xml:space="preserve">ActProve is a compliance product. Our own compliance must be impeccable. We must use our own product (dogfooding), maintain our own Trust Page, and be a living example of what good EU AI Act compliance looks like.</w:t>
            </w:r>
          </w:p>
        </w:tc>
      </w:tr>
    </w:tbl>
    <w:p>
      <w:pPr>
        <w:spacing w:after="60" w:before="60"/>
      </w:pPr>
    </w:p>
    <w:p>
      <w:pPr>
        <w:pStyle w:val="Heading2"/>
        <w:spacing w:after="180" w:before="360"/>
      </w:pPr>
      <w:r>
        <w:rPr>
          <w:rFonts w:ascii="Arial" w:cs="Arial" w:eastAsia="Arial" w:hAnsi="Arial"/>
          <w:b/>
          <w:bCs/>
          <w:color w:val="1B4F72"/>
          <w:sz w:val="30"/>
          <w:szCs w:val="30"/>
        </w:rPr>
        <w:t xml:space="preserve">20.1 ActProve's AI Systems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000"/>
        <w:gridCol w:w="23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System</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Vendor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EU AI Act Risk Tier</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Obligations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Risk Classification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Anthropic (Claude)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Classify AI systems by EU AI Act risk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Limited Risk — AI assists human process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Transparency notice, human review available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Document Generator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Anthropic (Claude)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Generate compliance document drafts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Minimal Risk — drafts for human review</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Label as AI-generated, human must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Compliance Advisor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Anthropic (Claude)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Answer compliance questions in 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Limited Risk — conversational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Transparency: user knows they're chatting with AI</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Regulation Personalizer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Anthropic (Claude)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Summarize regulation updates per org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Minimal Risk — informational only</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None mandatory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Questionnaire Auto-Fill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Anthropic (Claude)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Generate answers for security questionnaires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Minimal Risk — draft for human review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Label outputs as AI-generated</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PostHog Analytics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PostHog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Product analytics and user behavior tracking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Minimal Risk — aggregate analytics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GDPR-compliant data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Resend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Resend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Transactional and marketing email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Minimal Risk — email routing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GDPR-compliant, unsubscribe links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Sentry Error Tracking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Sentry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Error monitoring and performance tracking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Minimal Risk — technical monitoring</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Data minimization — no PII in error context</w:t>
            </w:r>
          </w:p>
        </w:tc>
      </w:tr>
    </w:tbl>
    <w:p>
      <w:pPr>
        <w:spacing w:after="60" w:before="60"/>
      </w:pPr>
    </w:p>
    <w:p>
      <w:pPr>
        <w:pStyle w:val="Heading2"/>
        <w:spacing w:after="180" w:before="360"/>
      </w:pPr>
      <w:r>
        <w:rPr>
          <w:rFonts w:ascii="Arial" w:cs="Arial" w:eastAsia="Arial" w:hAnsi="Arial"/>
          <w:b/>
          <w:bCs/>
          <w:color w:val="1B4F72"/>
          <w:sz w:val="30"/>
          <w:szCs w:val="30"/>
        </w:rPr>
        <w:t xml:space="preserve">20.2 ActProve's Own Compliance Actions</w:t>
      </w:r>
    </w:p>
    <w:p>
      <w:pPr>
        <w:pStyle w:val="ListParagraph"/>
        <w:numPr>
          <w:ilvl w:val="0"/>
          <w:numId w:val="2"/>
        </w:numPr>
        <w:spacing w:after="40" w:before="40"/>
      </w:pPr>
      <w:r>
        <w:rPr>
          <w:rFonts w:ascii="Arial" w:cs="Arial" w:eastAsia="Arial" w:hAnsi="Arial"/>
          <w:color w:val="1A1A1A"/>
          <w:sz w:val="20"/>
          <w:szCs w:val="20"/>
        </w:rPr>
        <w:t xml:space="preserve">AI Literacy: all team members trained on AI tools used, limitations, and accountability — documented in ActProve itself</w:t>
      </w:r>
    </w:p>
    <w:p>
      <w:pPr>
        <w:pStyle w:val="ListParagraph"/>
        <w:numPr>
          <w:ilvl w:val="0"/>
          <w:numId w:val="2"/>
        </w:numPr>
        <w:spacing w:after="40" w:before="40"/>
      </w:pPr>
      <w:r>
        <w:rPr>
          <w:rFonts w:ascii="Arial" w:cs="Arial" w:eastAsia="Arial" w:hAnsi="Arial"/>
          <w:color w:val="1A1A1A"/>
          <w:sz w:val="20"/>
          <w:szCs w:val="20"/>
        </w:rPr>
        <w:t xml:space="preserve">Transparency notices: deployed on actprove.com for all AI-powered features</w:t>
      </w:r>
    </w:p>
    <w:p>
      <w:pPr>
        <w:pStyle w:val="ListParagraph"/>
        <w:numPr>
          <w:ilvl w:val="0"/>
          <w:numId w:val="2"/>
        </w:numPr>
        <w:spacing w:after="40" w:before="40"/>
      </w:pPr>
      <w:r>
        <w:rPr>
          <w:rFonts w:ascii="Arial" w:cs="Arial" w:eastAsia="Arial" w:hAnsi="Arial"/>
          <w:color w:val="1A1A1A"/>
          <w:sz w:val="20"/>
          <w:szCs w:val="20"/>
        </w:rPr>
        <w:t xml:space="preserve">GDPR compliance: DPA with Anthropic, privacy policy updated, Supabase EU region data residency</w:t>
      </w:r>
    </w:p>
    <w:p>
      <w:pPr>
        <w:pStyle w:val="ListParagraph"/>
        <w:numPr>
          <w:ilvl w:val="0"/>
          <w:numId w:val="2"/>
        </w:numPr>
        <w:spacing w:after="40" w:before="40"/>
      </w:pPr>
      <w:r>
        <w:rPr>
          <w:rFonts w:ascii="Arial" w:cs="Arial" w:eastAsia="Arial" w:hAnsi="Arial"/>
          <w:color w:val="1A1A1A"/>
          <w:sz w:val="20"/>
          <w:szCs w:val="20"/>
        </w:rPr>
        <w:t xml:space="preserve">Public Trust Page: actprove.com/trust/actprove — our own compliance posture visible to all customers</w:t>
      </w:r>
    </w:p>
    <w:p>
      <w:pPr>
        <w:pStyle w:val="ListParagraph"/>
        <w:numPr>
          <w:ilvl w:val="0"/>
          <w:numId w:val="2"/>
        </w:numPr>
        <w:spacing w:after="40" w:before="40"/>
      </w:pPr>
      <w:r>
        <w:rPr>
          <w:rFonts w:ascii="Arial" w:cs="Arial" w:eastAsia="Arial" w:hAnsi="Arial"/>
          <w:color w:val="1A1A1A"/>
          <w:sz w:val="20"/>
          <w:szCs w:val="20"/>
        </w:rPr>
        <w:t xml:space="preserve">Ongoing monitoring: regulation updates applied to our own posture first before customers see them</w:t>
      </w:r>
    </w:p>
    <w:p>
      <w:pPr>
        <w:pStyle w:val="ListParagraph"/>
        <w:numPr>
          <w:ilvl w:val="0"/>
          <w:numId w:val="2"/>
        </w:numPr>
        <w:spacing w:after="40" w:before="40"/>
      </w:pPr>
      <w:r>
        <w:rPr>
          <w:rFonts w:ascii="Arial" w:cs="Arial" w:eastAsia="Arial" w:hAnsi="Arial"/>
          <w:color w:val="1A1A1A"/>
          <w:sz w:val="20"/>
          <w:szCs w:val="20"/>
        </w:rPr>
        <w:t xml:space="preserve">Annual audit: independent compliance review by a DPO advisory firm annually</w:t>
      </w:r>
    </w:p>
    <w:p>
      <w:pPr>
        <w:spacing w:after="60" w:before="60"/>
      </w:pPr>
    </w:p>
    <w:p>
      <w:pPr>
        <w:pStyle w:val="Heading2"/>
        <w:spacing w:after="180" w:before="360"/>
      </w:pPr>
      <w:r>
        <w:rPr>
          <w:rFonts w:ascii="Arial" w:cs="Arial" w:eastAsia="Arial" w:hAnsi="Arial"/>
          <w:b/>
          <w:bCs/>
          <w:color w:val="1B4F72"/>
          <w:sz w:val="30"/>
          <w:szCs w:val="30"/>
        </w:rPr>
        <w:t xml:space="preserve">20.3 GDPR Compliance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Data Processing Activity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Legal Basis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Retention</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Processor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User account data (email,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Contract 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Duration of account + 60 days after deletion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Supabase (EU region)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system inventory data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Contract performance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Duration of account + 60 days after deletion</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Supabase (EU 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Usage analytics (PostHog)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Legitimate interest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months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PostHog (EU region self-hosted option)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Marketing emails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Consent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Until unsubscribe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Resend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Payment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Contract 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 years (tax obligation)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Stripe (DPA in place)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Claude API inputs (for AI features)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Contract performance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Not stored — API-only, no training on data</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Anthropic (DPA in 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Error/log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Legitimate interest —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90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Axiom or Sentry (EU region)</w:t>
            </w:r>
          </w:p>
        </w:tc>
      </w:tr>
    </w:tbl>
    <w:p>
      <w:pPr>
        <w:spacing w:after="60" w:before="60"/>
      </w:pPr>
    </w:p>
    <w:p>
      <w:r>
        <w:br/>
      </w:r>
    </w:p>
    <w:p>
      <w:pPr>
        <w:pStyle w:val="Heading1"/>
        <w:spacing w:after="240" w:before="480"/>
      </w:pPr>
      <w:r>
        <w:rPr>
          <w:rFonts w:ascii="Arial" w:cs="Arial" w:eastAsia="Arial" w:hAnsi="Arial"/>
          <w:b/>
          <w:bCs/>
          <w:color w:val="1B4F72"/>
          <w:sz w:val="40"/>
          <w:szCs w:val="40"/>
        </w:rPr>
        <w:t xml:space="preserve">21. Appendix</w:t>
      </w:r>
    </w:p>
    <w:p>
      <w:pPr>
        <w:pBdr>
          <w:bottom w:val="single" w:color="1D8348" w:sz="8" w:space="1"/>
        </w:pBdr>
        <w:spacing w:after="240" w:before="240"/>
      </w:pPr>
    </w:p>
    <w:p>
      <w:pPr>
        <w:pStyle w:val="Heading2"/>
        <w:spacing w:after="180" w:before="360"/>
      </w:pPr>
      <w:r>
        <w:rPr>
          <w:rFonts w:ascii="Arial" w:cs="Arial" w:eastAsia="Arial" w:hAnsi="Arial"/>
          <w:b/>
          <w:bCs/>
          <w:color w:val="1B4F72"/>
          <w:sz w:val="30"/>
          <w:szCs w:val="30"/>
        </w:rPr>
        <w:t xml:space="preserve">21.1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 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machine-based system designed to operate with varying levels of autonomy that infers how to generate outputs such as predictions, recommendations, decisions, or content (EU AI Act, Article 3(1))</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Provider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 natural or legal person that develops an AI system and places it on the market under its own name or trademark (Article 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Deployer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natural or legal person that uses an AI system under its authority except for personal non-professional activity (Article 3(4)) — most SMBs are deployers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High-Risk AI System</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An AI system referred to in Article 6 — systems listed in Annex III or embedded in regulated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GPAI (General Purpose AI)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 AI model trained on large amounts of data, designed for generally applicable tasks — includes foundation models like Claude, GPT-4</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Transparency Notice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disclosure under Article 50 that users are interacting with AI (chatbots) or that content was AI-generated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FRIA (Fundamental Rights Impact Assessment)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Assessment required for certain high-risk AI deployers to evaluate impact on fundamental rights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AIMS (AI Management System)</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Organizational framework for managing AI risks — ISO 42001 provides the international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RLS (Row-Level Security)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Database-level access control that restricts which rows a user can see — used for multi-tenant isolation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MRR (Monthly Recurring Revenue)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The predictable monthly revenue from all active subscriptions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CAC (Customer Acquisition Cost)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Total cost to acquire one paying customer (marketing + sales spend / new customers)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LTV (Lifetime Value)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Expected total revenue from one customer over their lifetime (ARPC / churn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NRR (Net Revenue Retention)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Revenue retained from existing customers including expansion — &gt; 100% means growth from existing base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NPS (Net Promoter Score)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Survey metric measuring customer loyalty: % promoters - % detractors (-100 to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PKCE (Proof Key for Code Exchange)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Security extension for OAuth flows in public clients — prevents authorization code interception attacks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RAG (Retrieval Augmented Generation)</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AI technique: retrieve relevant knowledge → inject as context → generate more accurate, grounded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SCIM (System for Cross-domain Identity Management)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standard for automating user provisioning between identity providers and applications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DPO (Data Protection Officer)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Required role in some organizations under GDPR — responsible for data protection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ICP (Ideal Customer 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Detailed description of the perfect customer most likely to buy and retain your product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ARPC (Average Revenue Per Customer)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Total MRR divided by total number of paying customers</w:t>
            </w:r>
          </w:p>
        </w:tc>
      </w:tr>
    </w:tbl>
    <w:p>
      <w:pPr>
        <w:spacing w:after="60" w:before="60"/>
      </w:pPr>
    </w:p>
    <w:p>
      <w:pPr>
        <w:pStyle w:val="Heading2"/>
        <w:spacing w:after="180" w:before="360"/>
      </w:pPr>
      <w:r>
        <w:rPr>
          <w:rFonts w:ascii="Arial" w:cs="Arial" w:eastAsia="Arial" w:hAnsi="Arial"/>
          <w:b/>
          <w:bCs/>
          <w:color w:val="1B4F72"/>
          <w:sz w:val="30"/>
          <w:szCs w:val="30"/>
        </w:rPr>
        <w:t xml:space="preserve">21.2 Technology Decision Log</w:t>
      </w:r>
    </w:p>
    <w:p>
      <w:pPr>
        <w:spacing w:after="80" w:before="80"/>
      </w:pPr>
      <w:r>
        <w:rPr>
          <w:rFonts w:ascii="Arial" w:cs="Arial" w:eastAsia="Arial" w:hAnsi="Arial"/>
          <w:color w:val="1A1A1A"/>
          <w:sz w:val="20"/>
          <w:szCs w:val="20"/>
        </w:rPr>
        <w:t xml:space="preserve">Key architectural decisions and the rationale behind them — for future reference and team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Alternatives Considered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 We Chose This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When to Revisit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Supabase over custom Postgres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AWS RDS, PlanetScale, Neon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Built-in auth, storage, realtime, RLS. 10x faster to build with. Vendor risk mitigated by Postgres compatibility.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 $5M ARR if multi-region latency becomes issue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Inngest over SQS/BullMQ</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AWS SQS, Redis BullMQ, Trigger.dev</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Local development experience, durable execution, beautiful UI for debugging jobs. No Redis needed for jobs.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If cost becomes prohibitive at very high volume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Claude API over OpenAI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GPT-4, Gemini, open-source 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Best-in-class compliance reasoning, clear privacy policy (no training on API data), EU-friendly data handling.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If pricing changes significantly or new models outperform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tRPC over REST + GraphQL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REST API, GraphQL with Apollo</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Type safety end-to-end, no API layer to maintain, excellent Next.js integration, faster development.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If public API grows to need GraphQL flexibility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Puppeteer for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@react-pdf/renderer, wkhtmltopdf, PDFKit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Browser rendering = pixel-perfect output matching preview. HTML/CSS once for UI and PDF.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If latency becomes unacceptable — consider serverless Chrome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Vercel over AWS/GCP</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AWS App Runner, Google Cloud Run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Zero-config Next.js, edge functions, preview deployments, team familiarity.</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At enterprise scale if cost becomes issue or multi-region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Bootstrap-first (no VC)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Raise seed immediately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Maintains full ownership, forces customer-first decisions, proves demand before dilution.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If strategic partner or distribution opportunity requires capital quickly</w:t>
            </w:r>
          </w:p>
        </w:tc>
      </w:tr>
    </w:tbl>
    <w:p>
      <w:pPr>
        <w:spacing w:after="60" w:before="60"/>
      </w:pPr>
    </w:p>
    <w:p>
      <w:pPr>
        <w:pStyle w:val="Heading2"/>
        <w:spacing w:after="180" w:before="360"/>
      </w:pPr>
      <w:r>
        <w:rPr>
          <w:rFonts w:ascii="Arial" w:cs="Arial" w:eastAsia="Arial" w:hAnsi="Arial"/>
          <w:b/>
          <w:bCs/>
          <w:color w:val="1B4F72"/>
          <w:sz w:val="30"/>
          <w:szCs w:val="30"/>
        </w:rPr>
        <w:t xml:space="preserve">21.3 Competitor Intelligence — Ongoing</w:t>
      </w:r>
    </w:p>
    <w:p>
      <w:pPr>
        <w:spacing w:after="80" w:before="80"/>
      </w:pPr>
      <w:r>
        <w:rPr>
          <w:rFonts w:ascii="Arial" w:cs="Arial" w:eastAsia="Arial" w:hAnsi="Arial"/>
          <w:color w:val="1A1A1A"/>
          <w:sz w:val="20"/>
          <w:szCs w:val="20"/>
        </w:rPr>
        <w:t xml:space="preserve">Update this table monthly. Check competitors' pricing pages, changelogs, and job postings for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000"/>
        <w:gridCol w:w="29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Latest Pricing</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EU AI Act Offering</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Strengths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Weaknesses vs ActProve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OneTrust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$50K+/year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module in Privacy suite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Brand, enterprise trust, full GRC platform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Too expensive for SMB. Complex. UI from 2015. Sales-heavy.</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Vanta</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$7,000+/year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mentioned, not primary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SOC 2 dominant, developer-friendly, $1.6B valuation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is checkbox, not primary product. US-centric.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Sprinto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$5,000+/year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Good UX, startup-friendly pricing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 EU-focused. EU AI Act is one of many frameworks.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Probo</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$200+/month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primary focus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Similar space, earlier to market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Smaller feature set, less regulatory depth, limited integrations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AiActCheck / AiCompliBot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EU AI Act only, checklist/quiz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Free — no friction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ongoing value. Not a real product.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Big 4 Consulting (Deloitte, PwC, EY)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$50K+ one-time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EU AI Act audits and advisory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Authority, relationships, enterprise trust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1A"/>
                <w:sz w:val="19"/>
                <w:szCs w:val="19"/>
              </w:rPr>
              <w:t xml:space="preserve">Not software. No ongoing value. Expensive.</w:t>
            </w:r>
          </w:p>
        </w:tc>
      </w:tr>
    </w:tbl>
    <w:p>
      <w:pPr>
        <w:spacing w:after="60" w:before="60"/>
      </w:pPr>
    </w:p>
    <w:p>
      <w:pPr>
        <w:pStyle w:val="Heading2"/>
        <w:spacing w:after="180" w:before="360"/>
      </w:pPr>
      <w:r>
        <w:rPr>
          <w:rFonts w:ascii="Arial" w:cs="Arial" w:eastAsia="Arial" w:hAnsi="Arial"/>
          <w:b/>
          <w:bCs/>
          <w:color w:val="1B4F72"/>
          <w:sz w:val="30"/>
          <w:szCs w:val="30"/>
        </w:rPr>
        <w:t xml:space="preserve">21.4 ActProve Brand Guidelines</w:t>
      </w:r>
    </w:p>
    <w:p>
      <w:pPr>
        <w:pStyle w:val="Heading3"/>
        <w:spacing w:after="140" w:before="280"/>
      </w:pPr>
      <w:r>
        <w:rPr>
          <w:rFonts w:ascii="Arial" w:cs="Arial" w:eastAsia="Arial" w:hAnsi="Arial"/>
          <w:b/>
          <w:bCs/>
          <w:color w:val="1D8348"/>
          <w:sz w:val="24"/>
          <w:szCs w:val="24"/>
        </w:rPr>
        <w:t xml:space="preserve">Logo Usage</w:t>
      </w:r>
    </w:p>
    <w:p>
      <w:pPr>
        <w:pStyle w:val="ListParagraph"/>
        <w:numPr>
          <w:ilvl w:val="0"/>
          <w:numId w:val="2"/>
        </w:numPr>
        <w:spacing w:after="40" w:before="40"/>
      </w:pPr>
      <w:r>
        <w:rPr>
          <w:rFonts w:ascii="Arial" w:cs="Arial" w:eastAsia="Arial" w:hAnsi="Arial"/>
          <w:color w:val="1A1A1A"/>
          <w:sz w:val="20"/>
          <w:szCs w:val="20"/>
        </w:rPr>
        <w:t xml:space="preserve">Primary logo: 'ActProve' wordmark in primary navy (#1B4F72) on white background</w:t>
      </w:r>
    </w:p>
    <w:p>
      <w:pPr>
        <w:pStyle w:val="ListParagraph"/>
        <w:numPr>
          <w:ilvl w:val="0"/>
          <w:numId w:val="2"/>
        </w:numPr>
        <w:spacing w:after="40" w:before="40"/>
      </w:pPr>
      <w:r>
        <w:rPr>
          <w:rFonts w:ascii="Arial" w:cs="Arial" w:eastAsia="Arial" w:hAnsi="Arial"/>
          <w:color w:val="1A1A1A"/>
          <w:sz w:val="20"/>
          <w:szCs w:val="20"/>
        </w:rPr>
        <w:t xml:space="preserve">Reversed logo: white wordmark on primary navy background</w:t>
      </w:r>
    </w:p>
    <w:p>
      <w:pPr>
        <w:pStyle w:val="ListParagraph"/>
        <w:numPr>
          <w:ilvl w:val="0"/>
          <w:numId w:val="2"/>
        </w:numPr>
        <w:spacing w:after="40" w:before="40"/>
      </w:pPr>
      <w:r>
        <w:rPr>
          <w:rFonts w:ascii="Arial" w:cs="Arial" w:eastAsia="Arial" w:hAnsi="Arial"/>
          <w:color w:val="1A1A1A"/>
          <w:sz w:val="20"/>
          <w:szCs w:val="20"/>
        </w:rPr>
        <w:t xml:space="preserve">Icon mark: 'A' mark with shield element — used in favicon, app icon, badge</w:t>
      </w:r>
    </w:p>
    <w:p>
      <w:pPr>
        <w:pStyle w:val="ListParagraph"/>
        <w:numPr>
          <w:ilvl w:val="0"/>
          <w:numId w:val="2"/>
        </w:numPr>
        <w:spacing w:after="40" w:before="40"/>
      </w:pPr>
      <w:r>
        <w:rPr>
          <w:rFonts w:ascii="Arial" w:cs="Arial" w:eastAsia="Arial" w:hAnsi="Arial"/>
          <w:color w:val="1A1A1A"/>
          <w:sz w:val="20"/>
          <w:szCs w:val="20"/>
        </w:rPr>
        <w:t xml:space="preserve">Minimum size: 120px wide for wordmark, 32px for icon mark</w:t>
      </w:r>
    </w:p>
    <w:p>
      <w:pPr>
        <w:pStyle w:val="ListParagraph"/>
        <w:numPr>
          <w:ilvl w:val="0"/>
          <w:numId w:val="2"/>
        </w:numPr>
        <w:spacing w:after="40" w:before="40"/>
      </w:pPr>
      <w:r>
        <w:rPr>
          <w:rFonts w:ascii="Arial" w:cs="Arial" w:eastAsia="Arial" w:hAnsi="Arial"/>
          <w:color w:val="1A1A1A"/>
          <w:sz w:val="20"/>
          <w:szCs w:val="20"/>
        </w:rPr>
        <w:t xml:space="preserve">Clear space: minimum 1/4 of logo height on all sides</w:t>
      </w:r>
    </w:p>
    <w:p>
      <w:pPr>
        <w:spacing w:after="60" w:before="60"/>
      </w:pPr>
    </w:p>
    <w:p>
      <w:pPr>
        <w:pStyle w:val="Heading3"/>
        <w:spacing w:after="140" w:before="280"/>
      </w:pPr>
      <w:r>
        <w:rPr>
          <w:rFonts w:ascii="Arial" w:cs="Arial" w:eastAsia="Arial" w:hAnsi="Arial"/>
          <w:b/>
          <w:bCs/>
          <w:color w:val="1D8348"/>
          <w:sz w:val="24"/>
          <w:szCs w:val="24"/>
        </w:rPr>
        <w:t xml:space="preserve">Voice &amp; Tone</w:t>
      </w:r>
    </w:p>
    <w:p>
      <w:pPr>
        <w:pStyle w:val="ListParagraph"/>
        <w:numPr>
          <w:ilvl w:val="0"/>
          <w:numId w:val="2"/>
        </w:numPr>
        <w:spacing w:after="40" w:before="40"/>
      </w:pPr>
      <w:r>
        <w:rPr>
          <w:rFonts w:ascii="Arial" w:cs="Arial" w:eastAsia="Arial" w:hAnsi="Arial"/>
          <w:color w:val="1A1A1A"/>
          <w:sz w:val="20"/>
          <w:szCs w:val="20"/>
        </w:rPr>
        <w:t xml:space="preserve">Authoritative but accessible — we know compliance, we explain it simply</w:t>
      </w:r>
    </w:p>
    <w:p>
      <w:pPr>
        <w:pStyle w:val="ListParagraph"/>
        <w:numPr>
          <w:ilvl w:val="0"/>
          <w:numId w:val="2"/>
        </w:numPr>
        <w:spacing w:after="40" w:before="40"/>
      </w:pPr>
      <w:r>
        <w:rPr>
          <w:rFonts w:ascii="Arial" w:cs="Arial" w:eastAsia="Arial" w:hAnsi="Arial"/>
          <w:color w:val="1A1A1A"/>
          <w:sz w:val="20"/>
          <w:szCs w:val="20"/>
        </w:rPr>
        <w:t xml:space="preserve">Confident but not arrogant — regulations are complex, we respect that</w:t>
      </w:r>
    </w:p>
    <w:p>
      <w:pPr>
        <w:pStyle w:val="ListParagraph"/>
        <w:numPr>
          <w:ilvl w:val="0"/>
          <w:numId w:val="2"/>
        </w:numPr>
        <w:spacing w:after="40" w:before="40"/>
      </w:pPr>
      <w:r>
        <w:rPr>
          <w:rFonts w:ascii="Arial" w:cs="Arial" w:eastAsia="Arial" w:hAnsi="Arial"/>
          <w:color w:val="1A1A1A"/>
          <w:sz w:val="20"/>
          <w:szCs w:val="20"/>
        </w:rPr>
        <w:t xml:space="preserve">Specific over vague — always cite article numbers, specific obligations</w:t>
      </w:r>
    </w:p>
    <w:p>
      <w:pPr>
        <w:pStyle w:val="ListParagraph"/>
        <w:numPr>
          <w:ilvl w:val="0"/>
          <w:numId w:val="2"/>
        </w:numPr>
        <w:spacing w:after="40" w:before="40"/>
      </w:pPr>
      <w:r>
        <w:rPr>
          <w:rFonts w:ascii="Arial" w:cs="Arial" w:eastAsia="Arial" w:hAnsi="Arial"/>
          <w:color w:val="1A1A1A"/>
          <w:sz w:val="20"/>
          <w:szCs w:val="20"/>
        </w:rPr>
        <w:t xml:space="preserve">Urgent without panic — deadlines are real, but compliance is achievable</w:t>
      </w:r>
    </w:p>
    <w:p>
      <w:pPr>
        <w:pStyle w:val="ListParagraph"/>
        <w:numPr>
          <w:ilvl w:val="0"/>
          <w:numId w:val="2"/>
        </w:numPr>
        <w:spacing w:after="40" w:before="40"/>
      </w:pPr>
      <w:r>
        <w:rPr>
          <w:rFonts w:ascii="Arial" w:cs="Arial" w:eastAsia="Arial" w:hAnsi="Arial"/>
          <w:color w:val="1A1A1A"/>
          <w:sz w:val="20"/>
          <w:szCs w:val="20"/>
        </w:rPr>
        <w:t xml:space="preserve">EU-aware — acknowledge that EU SMBs have diverse backgrounds, use inclusive language</w:t>
      </w:r>
    </w:p>
    <w:p>
      <w:pPr>
        <w:spacing w:after="60" w:before="60"/>
      </w:pPr>
    </w:p>
    <w:p>
      <w:pPr>
        <w:pStyle w:val="Heading3"/>
        <w:spacing w:after="140" w:before="280"/>
      </w:pPr>
      <w:r>
        <w:rPr>
          <w:rFonts w:ascii="Arial" w:cs="Arial" w:eastAsia="Arial" w:hAnsi="Arial"/>
          <w:b/>
          <w:bCs/>
          <w:color w:val="1D8348"/>
          <w:sz w:val="24"/>
          <w:szCs w:val="24"/>
        </w:rPr>
        <w:t xml:space="preserve">What ActProve Is Not</w:t>
      </w:r>
    </w:p>
    <w:p>
      <w:pPr>
        <w:pStyle w:val="ListParagraph"/>
        <w:numPr>
          <w:ilvl w:val="0"/>
          <w:numId w:val="2"/>
        </w:numPr>
        <w:spacing w:after="40" w:before="40"/>
      </w:pPr>
      <w:r>
        <w:rPr>
          <w:rFonts w:ascii="Arial" w:cs="Arial" w:eastAsia="Arial" w:hAnsi="Arial"/>
          <w:color w:val="1A1A1A"/>
          <w:sz w:val="20"/>
          <w:szCs w:val="20"/>
        </w:rPr>
        <w:t xml:space="preserve">Not a law firm — we provide tools, not legal advice</w:t>
      </w:r>
    </w:p>
    <w:p>
      <w:pPr>
        <w:pStyle w:val="ListParagraph"/>
        <w:numPr>
          <w:ilvl w:val="0"/>
          <w:numId w:val="2"/>
        </w:numPr>
        <w:spacing w:after="40" w:before="40"/>
      </w:pPr>
      <w:r>
        <w:rPr>
          <w:rFonts w:ascii="Arial" w:cs="Arial" w:eastAsia="Arial" w:hAnsi="Arial"/>
          <w:color w:val="1A1A1A"/>
          <w:sz w:val="20"/>
          <w:szCs w:val="20"/>
        </w:rPr>
        <w:t xml:space="preserve">Not a certification body — we help prepare for certification, we do not certify</w:t>
      </w:r>
    </w:p>
    <w:p>
      <w:pPr>
        <w:pStyle w:val="ListParagraph"/>
        <w:numPr>
          <w:ilvl w:val="0"/>
          <w:numId w:val="2"/>
        </w:numPr>
        <w:spacing w:after="40" w:before="40"/>
      </w:pPr>
      <w:r>
        <w:rPr>
          <w:rFonts w:ascii="Arial" w:cs="Arial" w:eastAsia="Arial" w:hAnsi="Arial"/>
          <w:color w:val="1A1A1A"/>
          <w:sz w:val="20"/>
          <w:szCs w:val="20"/>
        </w:rPr>
        <w:t xml:space="preserve">Not a consultant — we provide software that scales, not hourly advice</w:t>
      </w:r>
    </w:p>
    <w:p>
      <w:pPr>
        <w:pStyle w:val="ListParagraph"/>
        <w:numPr>
          <w:ilvl w:val="0"/>
          <w:numId w:val="2"/>
        </w:numPr>
        <w:spacing w:after="40" w:before="40"/>
      </w:pPr>
      <w:r>
        <w:rPr>
          <w:rFonts w:ascii="Arial" w:cs="Arial" w:eastAsia="Arial" w:hAnsi="Arial"/>
          <w:color w:val="1A1A1A"/>
          <w:sz w:val="20"/>
          <w:szCs w:val="20"/>
        </w:rPr>
        <w:t xml:space="preserve">Not enterprise-only — we are for the 99% of companies that cannot afford enterprise tools</w:t>
      </w:r>
    </w:p>
    <w:p>
      <w:pPr>
        <w:spacing w:after="60" w:before="60"/>
      </w:pPr>
    </w:p>
    <w:p>
      <w:pPr>
        <w:spacing w:after="60" w:before="60"/>
      </w:pPr>
    </w:p>
    <w:p>
      <w:pPr>
        <w:spacing w:after="200" w:before="600"/>
        <w:jc w:val="center"/>
      </w:pPr>
      <w:r>
        <w:rPr>
          <w:rFonts w:ascii="Arial" w:cs="Arial" w:eastAsia="Arial" w:hAnsi="Arial"/>
          <w:color w:val="1D8348"/>
          <w:sz w:val="20"/>
          <w:szCs w:val="20"/>
        </w:rPr>
        <w:t xml:space="preserve">━━━━━━━━━━━━━━━━━━━━━━━━━━━━━━━━━━━</w:t>
      </w:r>
    </w:p>
    <w:p>
      <w:pPr>
        <w:spacing w:after="120" w:before="0"/>
        <w:jc w:val="center"/>
      </w:pPr>
      <w:r>
        <w:rPr>
          <w:rFonts w:ascii="Arial" w:cs="Arial" w:eastAsia="Arial" w:hAnsi="Arial"/>
          <w:b/>
          <w:bCs/>
          <w:color w:val="1B4F72"/>
          <w:sz w:val="28"/>
          <w:szCs w:val="28"/>
        </w:rPr>
        <w:t xml:space="preserve">ActProve Phase 2 — Product Specification Complete</w:t>
      </w:r>
    </w:p>
    <w:p>
      <w:pPr>
        <w:spacing w:after="80" w:before="0"/>
        <w:jc w:val="center"/>
      </w:pPr>
      <w:r>
        <w:rPr>
          <w:rFonts w:ascii="Arial" w:cs="Arial" w:eastAsia="Arial" w:hAnsi="Arial"/>
          <w:color w:val="555555"/>
          <w:sz w:val="20"/>
          <w:szCs w:val="20"/>
        </w:rPr>
        <w:t xml:space="preserve">actprove.com  |  Version 2.0  |  May 2026</w:t>
      </w:r>
    </w:p>
    <w:p>
      <w:pPr>
        <w:jc w:val="center"/>
      </w:pPr>
      <w:r>
        <w:rPr>
          <w:rFonts w:ascii="Arial" w:cs="Arial" w:eastAsia="Arial" w:hAnsi="Arial"/>
          <w:i/>
          <w:iCs/>
          <w:color w:val="D5D8DC"/>
          <w:sz w:val="18"/>
          <w:szCs w:val="18"/>
        </w:rPr>
        <w:t xml:space="preserve">Confidential — Founder Eyes Only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8348" w:sz="6" w:space="1"/>
      </w:pBdr>
      <w:spacing w:before="80"/>
      <w:jc w:val="center"/>
    </w:pPr>
    <w:r>
      <w:rPr>
        <w:rFonts w:ascii="Arial" w:cs="Arial" w:eastAsia="Arial" w:hAnsi="Arial"/>
        <w:color w:val="7F8C8D"/>
        <w:sz w:val="16"/>
        <w:szCs w:val="16"/>
      </w:rPr>
      <w:t xml:space="preserve">ActProve Phase 2 — From MVP to Real Product  |  Founder Internal Document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8348" w:sz="6" w:space="1"/>
      </w:pBdr>
      <w:spacing w:after="80" w:before="0"/>
    </w:pPr>
    <w:r>
      <w:rPr>
        <w:rFonts w:ascii="Arial" w:cs="Arial" w:eastAsia="Arial" w:hAnsi="Arial"/>
        <w:color w:val="7F8C8D"/>
        <w:sz w:val="18"/>
        <w:szCs w:val="18"/>
      </w:rPr>
      <w:t xml:space="preserve">ActProve  |  Phase 2 Specification  |  actprove.com</w:t>
    </w:r>
    <w:r>
      <w:rPr>
        <w:rFonts w:ascii="Arial" w:cs="Arial" w:eastAsia="Arial" w:hAnsi="Arial"/>
        <w:color w:val="1D8348"/>
        <w:sz w:val="18"/>
        <w:szCs w:val="18"/>
      </w:rPr>
      <w:t xml:space="preserve">  |  v2.0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4F72"/>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B4F72"/>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1D83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2026-05-24T20:04:05.159Z</dcterms:created>
  <dcterms:modified xsi:type="dcterms:W3CDTF">2026-05-24T20:04:05.222Z</dcterms:modified>
</cp:coreProperties>
</file>

<file path=docProps/custom.xml><?xml version="1.0" encoding="utf-8"?>
<Properties xmlns="http://schemas.openxmlformats.org/officeDocument/2006/custom-properties" xmlns:vt="http://schemas.openxmlformats.org/officeDocument/2006/docPropsVTypes"/>
</file>