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Техническая документация SO17</w:t>
      </w:r>
    </w:p>
    <w:p>
      <w:r>
        <w:rPr>
          <w:b/>
        </w:rPr>
        <w:t xml:space="preserve">Версия разработки  </w:t>
      </w:r>
      <w:r>
        <w:t>14 сентября 2026</w:t>
      </w:r>
    </w:p>
    <w:p>
      <w:r>
        <w:rPr>
          <w:b/>
        </w:rPr>
        <w:t xml:space="preserve">Назначение. </w:t>
      </w:r>
      <w:r>
        <w:t>Документ объясняет, как устроен обновлённый веб проект SO17, как его запускать и проверять. Он рассчитан на владельца проекта и начинающего разработчика.</w:t>
      </w:r>
    </w:p>
    <w:p>
      <w:pPr>
        <w:pStyle w:val="Heading1"/>
      </w:pPr>
      <w:r>
        <w:t>Результат работы</w:t>
      </w:r>
    </w:p>
    <w:p>
      <w:r>
        <w:t>Проект разделён на независимые React frontend и ASP.NET Core backend. Данные хранятся в SQL Server Express через Entity Framework Core. Запуск автоматизирован: один сценарий подготавливает локальную конфигурацию, другой применяет миграции и запускает оба приложения.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F4E78"/>
            <w:vAlign w:val="center"/>
          </w:tcPr>
          <w:p>
            <w:r>
              <w:rPr>
                <w:b/>
                <w:color w:val="FFFFFF"/>
                <w:sz w:val="20"/>
              </w:rPr>
              <w:t>Часть</w:t>
            </w:r>
          </w:p>
        </w:tc>
        <w:tc>
          <w:tcPr>
            <w:tcW w:type="dxa" w:w="3331"/>
            <w:shd w:fill="1F4E78"/>
            <w:vAlign w:val="center"/>
          </w:tcPr>
          <w:p>
            <w:r>
              <w:rPr>
                <w:b/>
                <w:color w:val="FFFFFF"/>
                <w:sz w:val="20"/>
              </w:rPr>
              <w:t>Папка</w:t>
            </w:r>
          </w:p>
        </w:tc>
        <w:tc>
          <w:tcPr>
            <w:tcW w:type="dxa" w:w="3331"/>
            <w:shd w:fill="1F4E78"/>
            <w:vAlign w:val="center"/>
          </w:tcPr>
          <w:p>
            <w:r>
              <w:rPr>
                <w:b/>
                <w:color w:val="FFFFFF"/>
                <w:sz w:val="20"/>
              </w:rPr>
              <w:t>Ответственность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20"/>
              </w:rPr>
              <w:t>Интерфейс React, маршруты, формы, таблицы и клиент API.</w:t>
            </w:r>
          </w:p>
        </w:tc>
      </w:tr>
      <w:tr>
        <w:tc>
          <w:tcPr>
            <w:tcW w:type="dxa" w:w="1440"/>
            <w:vAlign w:val="center"/>
            <w:shd w:fill="F3F7FA"/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2520"/>
            <w:vAlign w:val="center"/>
            <w:shd w:fill="F3F7FA"/>
          </w:tcPr>
          <w:p>
            <w:r>
              <w:rPr>
                <w:sz w:val="20"/>
              </w:rPr>
              <w:t>backend/SO17.Api</w:t>
            </w:r>
          </w:p>
        </w:tc>
        <w:tc>
          <w:tcPr>
            <w:tcW w:type="dxa" w:w="5328"/>
            <w:vAlign w:val="center"/>
            <w:shd w:fill="F3F7FA"/>
          </w:tcPr>
          <w:p>
            <w:r>
              <w:rPr>
                <w:sz w:val="20"/>
              </w:rPr>
              <w:t>HTTP endpoints, вход, защита запросов, обработка ошибок и конфигурация.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20"/>
              </w:rPr>
              <w:t>Application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20"/>
              </w:rPr>
              <w:t>backend/SO17.Application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20"/>
              </w:rPr>
              <w:t>Сценарии работы приложения, валидация и контракты.</w:t>
            </w:r>
          </w:p>
        </w:tc>
      </w:tr>
      <w:tr>
        <w:tc>
          <w:tcPr>
            <w:tcW w:type="dxa" w:w="1440"/>
            <w:vAlign w:val="center"/>
            <w:shd w:fill="F3F7FA"/>
          </w:tcPr>
          <w:p>
            <w:r>
              <w:rPr>
                <w:sz w:val="20"/>
              </w:rPr>
              <w:t>Domain</w:t>
            </w:r>
          </w:p>
        </w:tc>
        <w:tc>
          <w:tcPr>
            <w:tcW w:type="dxa" w:w="2520"/>
            <w:vAlign w:val="center"/>
            <w:shd w:fill="F3F7FA"/>
          </w:tcPr>
          <w:p>
            <w:r>
              <w:rPr>
                <w:sz w:val="20"/>
              </w:rPr>
              <w:t>backend/SO17.Domain</w:t>
            </w:r>
          </w:p>
        </w:tc>
        <w:tc>
          <w:tcPr>
            <w:tcW w:type="dxa" w:w="5328"/>
            <w:vAlign w:val="center"/>
            <w:shd w:fill="F3F7FA"/>
          </w:tcPr>
          <w:p>
            <w:r>
              <w:rPr>
                <w:sz w:val="20"/>
              </w:rPr>
              <w:t>Сущности и правила предметной области: заказы, остатки и статусы.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20"/>
              </w:rPr>
              <w:t>Infrastructure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20"/>
              </w:rPr>
              <w:t>backend/SO17.Infrastructure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20"/>
              </w:rPr>
              <w:t>Entity Framework, SQL Server, Identity, репозитории и миграции.</w:t>
            </w:r>
          </w:p>
        </w:tc>
      </w:tr>
      <w:tr>
        <w:tc>
          <w:tcPr>
            <w:tcW w:type="dxa" w:w="1440"/>
            <w:vAlign w:val="center"/>
            <w:shd w:fill="F3F7FA"/>
          </w:tcPr>
          <w:p>
            <w:r>
              <w:rPr>
                <w:sz w:val="20"/>
              </w:rPr>
              <w:t>Tests</w:t>
            </w:r>
          </w:p>
        </w:tc>
        <w:tc>
          <w:tcPr>
            <w:tcW w:type="dxa" w:w="2520"/>
            <w:vAlign w:val="center"/>
            <w:shd w:fill="F3F7FA"/>
          </w:tcPr>
          <w:p>
            <w:r>
              <w:rPr>
                <w:sz w:val="20"/>
              </w:rPr>
              <w:t>tests/SO17.Tests</w:t>
            </w:r>
          </w:p>
        </w:tc>
        <w:tc>
          <w:tcPr>
            <w:tcW w:type="dxa" w:w="5328"/>
            <w:vAlign w:val="center"/>
            <w:shd w:fill="F3F7FA"/>
          </w:tcPr>
          <w:p>
            <w:r>
              <w:rPr>
                <w:sz w:val="20"/>
              </w:rPr>
              <w:t>Интеграционные тесты API с отдельной временной базой SQL Server.</w:t>
            </w:r>
          </w:p>
        </w:tc>
      </w:tr>
    </w:tbl>
    <w:p/>
    <w:p>
      <w:r>
        <w:br w:type="page"/>
      </w:r>
    </w:p>
    <w:p>
      <w:pPr>
        <w:pStyle w:val="Heading1"/>
      </w:pPr>
      <w:r>
        <w:t>Быстрый запуск</w:t>
      </w:r>
    </w:p>
    <w:p>
      <w:r>
        <w:t>SQL Server Express должен быть запущен. В обычном случае служба MSSQL$SQLEXPRESS стартует вместе с Windows. В PowerShell из корневой папки проекта выполните следующие команды:</w:t>
      </w:r>
    </w:p>
    <w:p>
      <w:pPr>
        <w:spacing w:before="60" w:after="160"/>
        <w:ind w:left="317"/>
      </w:pPr>
      <w:r>
        <w:rPr>
          <w:rFonts w:ascii="Consolas" w:hAnsi="Consolas" w:eastAsia="Consolas"/>
          <w:sz w:val="19"/>
        </w:rPr>
        <w:t>powershell -NoProfile -ExecutionPolicy Bypass -File .\scripts\Setup-Dev.ps1</w:t>
      </w:r>
    </w:p>
    <w:p>
      <w:pPr>
        <w:spacing w:before="60" w:after="160"/>
        <w:ind w:left="317"/>
      </w:pPr>
      <w:r>
        <w:rPr>
          <w:rFonts w:ascii="Consolas" w:hAnsi="Consolas" w:eastAsia="Consolas"/>
          <w:sz w:val="19"/>
        </w:rPr>
        <w:t>powershell -NoProfile -ExecutionPolicy Bypass -File .\scripts\Start-Dev.ps1</w:t>
      </w:r>
    </w:p>
    <w:p>
      <w:r>
        <w:t>После сообщения READY откройте http://localhost:5173. При первой регистрации понадобится код приглашения из файла backend\SO17.Api\appsettings.Local.json. Этот локальный файл создаётся автоматически и не отслеживается Git.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F4E78"/>
            <w:vAlign w:val="center"/>
          </w:tcPr>
          <w:p>
            <w:r>
              <w:rPr>
                <w:b/>
                <w:color w:val="FFFFFF"/>
                <w:sz w:val="20"/>
              </w:rPr>
              <w:t>Проверка</w:t>
            </w:r>
          </w:p>
        </w:tc>
        <w:tc>
          <w:tcPr>
            <w:tcW w:type="dxa" w:w="3331"/>
            <w:shd w:fill="1F4E78"/>
            <w:vAlign w:val="center"/>
          </w:tcPr>
          <w:p>
            <w:r>
              <w:rPr>
                <w:b/>
                <w:color w:val="FFFFFF"/>
                <w:sz w:val="20"/>
              </w:rPr>
              <w:t>Адрес или команда</w:t>
            </w:r>
          </w:p>
        </w:tc>
        <w:tc>
          <w:tcPr>
            <w:tcW w:type="dxa" w:w="3331"/>
            <w:shd w:fill="1F4E78"/>
            <w:vAlign w:val="center"/>
          </w:tcPr>
          <w:p>
            <w:r>
              <w:rPr>
                <w:b/>
                <w:color w:val="FFFFFF"/>
                <w:sz w:val="20"/>
              </w:rPr>
              <w:t>Ожидаемый результат</w:t>
            </w:r>
          </w:p>
        </w:tc>
      </w:tr>
      <w:tr>
        <w:tc>
          <w:tcPr>
            <w:tcW w:type="dxa" w:w="1584"/>
            <w:vAlign w:val="center"/>
          </w:tcPr>
          <w:p>
            <w:r>
              <w:rPr>
                <w:sz w:val="20"/>
              </w:rPr>
              <w:t>Интерфейс</w:t>
            </w:r>
          </w:p>
        </w:tc>
        <w:tc>
          <w:tcPr>
            <w:tcW w:type="dxa" w:w="3960"/>
            <w:vAlign w:val="center"/>
          </w:tcPr>
          <w:p>
            <w:r>
              <w:rPr>
                <w:sz w:val="20"/>
              </w:rPr>
              <w:t>http://localhost:5173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20"/>
              </w:rPr>
              <w:t>Открывается экран входа или регистрации.</w:t>
            </w:r>
          </w:p>
        </w:tc>
      </w:tr>
      <w:tr>
        <w:tc>
          <w:tcPr>
            <w:tcW w:type="dxa" w:w="1584"/>
            <w:vAlign w:val="center"/>
            <w:shd w:fill="F3F7FA"/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3960"/>
            <w:vAlign w:val="center"/>
            <w:shd w:fill="F3F7FA"/>
          </w:tcPr>
          <w:p>
            <w:r>
              <w:rPr>
                <w:sz w:val="20"/>
              </w:rPr>
              <w:t>http://localhost:5080/openapi/v1.json</w:t>
            </w:r>
          </w:p>
        </w:tc>
        <w:tc>
          <w:tcPr>
            <w:tcW w:type="dxa" w:w="3744"/>
            <w:vAlign w:val="center"/>
            <w:shd w:fill="F3F7FA"/>
          </w:tcPr>
          <w:p>
            <w:r>
              <w:rPr>
                <w:sz w:val="20"/>
              </w:rPr>
              <w:t>Возвращается описание HTTP API.</w:t>
            </w:r>
          </w:p>
        </w:tc>
      </w:tr>
      <w:tr>
        <w:tc>
          <w:tcPr>
            <w:tcW w:type="dxa" w:w="1584"/>
            <w:vAlign w:val="center"/>
          </w:tcPr>
          <w:p>
            <w:r>
              <w:rPr>
                <w:sz w:val="20"/>
              </w:rPr>
              <w:t>База</w:t>
            </w:r>
          </w:p>
        </w:tc>
        <w:tc>
          <w:tcPr>
            <w:tcW w:type="dxa" w:w="3960"/>
            <w:vAlign w:val="center"/>
          </w:tcPr>
          <w:p>
            <w:r>
              <w:rPr>
                <w:sz w:val="20"/>
              </w:rPr>
              <w:t>http://localhost:5080/health/ready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20"/>
              </w:rPr>
              <w:t>Текст Healthy.</w:t>
            </w:r>
          </w:p>
        </w:tc>
      </w:tr>
      <w:tr>
        <w:tc>
          <w:tcPr>
            <w:tcW w:type="dxa" w:w="1584"/>
            <w:vAlign w:val="center"/>
            <w:shd w:fill="F3F7FA"/>
          </w:tcPr>
          <w:p>
            <w:r>
              <w:rPr>
                <w:sz w:val="20"/>
              </w:rPr>
              <w:t>Остановка</w:t>
            </w:r>
          </w:p>
        </w:tc>
        <w:tc>
          <w:tcPr>
            <w:tcW w:type="dxa" w:w="3960"/>
            <w:vAlign w:val="center"/>
            <w:shd w:fill="F3F7FA"/>
          </w:tcPr>
          <w:p>
            <w:r>
              <w:rPr>
                <w:sz w:val="20"/>
              </w:rPr>
              <w:t>.\scripts\Stop-Dev.ps1</w:t>
            </w:r>
          </w:p>
        </w:tc>
        <w:tc>
          <w:tcPr>
            <w:tcW w:type="dxa" w:w="3744"/>
            <w:vAlign w:val="center"/>
            <w:shd w:fill="F3F7FA"/>
          </w:tcPr>
          <w:p>
            <w:r>
              <w:rPr>
                <w:sz w:val="20"/>
              </w:rPr>
              <w:t>Оба фоновых процесса завершаются.</w:t>
            </w:r>
          </w:p>
        </w:tc>
      </w:tr>
    </w:tbl>
    <w:p/>
    <w:p>
      <w:pPr>
        <w:pStyle w:val="Heading1"/>
      </w:pPr>
      <w:r>
        <w:t>Модель данных и правила</w:t>
      </w:r>
    </w:p>
    <w:p>
      <w:r>
        <w:t>В SQL Server используется база SO17_Refactored. Миграции Entity Framework создают таблицы пользователей Identity, клиентов, товаров, заказов и строк заказов. Никаких ручных SQL скриптов для создания таблиц выполнять не нужно.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F4E78"/>
            <w:vAlign w:val="center"/>
          </w:tcPr>
          <w:p>
            <w:r>
              <w:rPr>
                <w:b/>
                <w:color w:val="FFFFFF"/>
                <w:sz w:val="20"/>
              </w:rPr>
              <w:t>Сущность</w:t>
            </w:r>
          </w:p>
        </w:tc>
        <w:tc>
          <w:tcPr>
            <w:tcW w:type="dxa" w:w="3331"/>
            <w:shd w:fill="1F4E78"/>
            <w:vAlign w:val="center"/>
          </w:tcPr>
          <w:p>
            <w:r>
              <w:rPr>
                <w:b/>
                <w:color w:val="FFFFFF"/>
                <w:sz w:val="20"/>
              </w:rPr>
              <w:t>Ключевые данные</w:t>
            </w:r>
          </w:p>
        </w:tc>
        <w:tc>
          <w:tcPr>
            <w:tcW w:type="dxa" w:w="3331"/>
            <w:shd w:fill="1F4E78"/>
            <w:vAlign w:val="center"/>
          </w:tcPr>
          <w:p>
            <w:r>
              <w:rPr>
                <w:b/>
                <w:color w:val="FFFFFF"/>
                <w:sz w:val="20"/>
              </w:rPr>
              <w:t>Правило</w:t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20"/>
              </w:rPr>
              <w:t>Customer</w:t>
            </w:r>
          </w:p>
        </w:tc>
        <w:tc>
          <w:tcPr>
            <w:tcW w:type="dxa" w:w="3816"/>
            <w:vAlign w:val="center"/>
          </w:tcPr>
          <w:p>
            <w:r>
              <w:rPr>
                <w:sz w:val="20"/>
              </w:rPr>
              <w:t>Имя, фамилия, телефон</w:t>
            </w:r>
          </w:p>
        </w:tc>
        <w:tc>
          <w:tcPr>
            <w:tcW w:type="dxa" w:w="3960"/>
            <w:vAlign w:val="center"/>
          </w:tcPr>
          <w:p>
            <w:r>
              <w:rPr>
                <w:sz w:val="20"/>
              </w:rPr>
              <w:t>Телефон уникален.</w:t>
            </w:r>
          </w:p>
        </w:tc>
      </w:tr>
      <w:tr>
        <w:tc>
          <w:tcPr>
            <w:tcW w:type="dxa" w:w="1512"/>
            <w:vAlign w:val="center"/>
            <w:shd w:fill="F3F7FA"/>
          </w:tcPr>
          <w:p>
            <w:r>
              <w:rPr>
                <w:sz w:val="20"/>
              </w:rPr>
              <w:t>Item</w:t>
            </w:r>
          </w:p>
        </w:tc>
        <w:tc>
          <w:tcPr>
            <w:tcW w:type="dxa" w:w="3816"/>
            <w:vAlign w:val="center"/>
            <w:shd w:fill="F3F7FA"/>
          </w:tcPr>
          <w:p>
            <w:r>
              <w:rPr>
                <w:sz w:val="20"/>
              </w:rPr>
              <w:t>Название, SKU, количество, цена</w:t>
            </w:r>
          </w:p>
        </w:tc>
        <w:tc>
          <w:tcPr>
            <w:tcW w:type="dxa" w:w="3960"/>
            <w:vAlign w:val="center"/>
            <w:shd w:fill="F3F7FA"/>
          </w:tcPr>
          <w:p>
            <w:r>
              <w:rPr>
                <w:sz w:val="20"/>
              </w:rPr>
              <w:t>SKU уникален; количество не может стать отрицательным.</w:t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20"/>
              </w:rPr>
              <w:t>Order</w:t>
            </w:r>
          </w:p>
        </w:tc>
        <w:tc>
          <w:tcPr>
            <w:tcW w:type="dxa" w:w="3816"/>
            <w:vAlign w:val="center"/>
          </w:tcPr>
          <w:p>
            <w:r>
              <w:rPr>
                <w:sz w:val="20"/>
              </w:rPr>
              <w:t>Клиент, статус, сумма</w:t>
            </w:r>
          </w:p>
        </w:tc>
        <w:tc>
          <w:tcPr>
            <w:tcW w:type="dxa" w:w="3960"/>
            <w:vAlign w:val="center"/>
          </w:tcPr>
          <w:p>
            <w:r>
              <w:rPr>
                <w:sz w:val="20"/>
              </w:rPr>
              <w:t>Разрешён переход Pending → Confirmed или Cancelled.</w:t>
            </w:r>
          </w:p>
        </w:tc>
      </w:tr>
      <w:tr>
        <w:tc>
          <w:tcPr>
            <w:tcW w:type="dxa" w:w="1512"/>
            <w:vAlign w:val="center"/>
            <w:shd w:fill="F3F7FA"/>
          </w:tcPr>
          <w:p>
            <w:r>
              <w:rPr>
                <w:sz w:val="20"/>
              </w:rPr>
              <w:t>OrderLine</w:t>
            </w:r>
          </w:p>
        </w:tc>
        <w:tc>
          <w:tcPr>
            <w:tcW w:type="dxa" w:w="3816"/>
            <w:vAlign w:val="center"/>
            <w:shd w:fill="F3F7FA"/>
          </w:tcPr>
          <w:p>
            <w:r>
              <w:rPr>
                <w:sz w:val="20"/>
              </w:rPr>
              <w:t>Снимок названия, SKU, цены, количества</w:t>
            </w:r>
          </w:p>
        </w:tc>
        <w:tc>
          <w:tcPr>
            <w:tcW w:type="dxa" w:w="3960"/>
            <w:vAlign w:val="center"/>
            <w:shd w:fill="F3F7FA"/>
          </w:tcPr>
          <w:p>
            <w:r>
              <w:rPr>
                <w:sz w:val="20"/>
              </w:rPr>
              <w:t>Цена и название фиксируются на момент создания заказа.</w:t>
            </w:r>
          </w:p>
        </w:tc>
      </w:tr>
    </w:tbl>
    <w:p/>
    <w:p>
      <w:r>
        <w:t>Для сущностей используется поле Version. Оно защищает от потери данных при одновременном редактировании: пользователь получит понятную ошибку конфликта вместо тихой перезаписи чужих изменений. Создание заказа и списание остатков выполняются в одной транзакции. При отмене товара возвращаются один раз.</w:t>
      </w:r>
    </w:p>
    <w:p>
      <w:pPr>
        <w:pStyle w:val="Heading1"/>
      </w:pPr>
      <w:r>
        <w:t>Безопасность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F4E78"/>
            <w:vAlign w:val="center"/>
          </w:tcPr>
          <w:p>
            <w:r>
              <w:rPr>
                <w:b/>
                <w:color w:val="FFFFFF"/>
                <w:sz w:val="20"/>
              </w:rPr>
              <w:t>Риск в исходном подходе</w:t>
            </w:r>
          </w:p>
        </w:tc>
        <w:tc>
          <w:tcPr>
            <w:tcW w:type="dxa" w:w="4997"/>
            <w:shd w:fill="1F4E78"/>
            <w:vAlign w:val="center"/>
          </w:tcPr>
          <w:p>
            <w:r>
              <w:rPr>
                <w:b/>
                <w:color w:val="FFFFFF"/>
                <w:sz w:val="20"/>
              </w:rPr>
              <w:t>Исправление</w:t>
            </w:r>
          </w:p>
        </w:tc>
      </w:tr>
      <w:tr>
        <w:tc>
          <w:tcPr>
            <w:tcW w:type="dxa" w:w="4104"/>
            <w:vAlign w:val="center"/>
          </w:tcPr>
          <w:p>
            <w:r>
              <w:rPr>
                <w:sz w:val="20"/>
              </w:rPr>
              <w:t>Секретный ключ мог находиться в исходном коде или общем конфигурационном файле.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20"/>
              </w:rPr>
              <w:t>Код приглашения создаётся в appsettings.Local.json. Файл внесён в .gitignore.</w:t>
            </w:r>
          </w:p>
        </w:tc>
      </w:tr>
      <w:tr>
        <w:tc>
          <w:tcPr>
            <w:tcW w:type="dxa" w:w="4104"/>
            <w:vAlign w:val="center"/>
            <w:shd w:fill="F3F7FA"/>
          </w:tcPr>
          <w:p>
            <w:r>
              <w:rPr>
                <w:sz w:val="20"/>
              </w:rPr>
              <w:t>Пароли можно было хранить или сравнивать небезопасно.</w:t>
            </w:r>
          </w:p>
        </w:tc>
        <w:tc>
          <w:tcPr>
            <w:tcW w:type="dxa" w:w="5184"/>
            <w:vAlign w:val="center"/>
            <w:shd w:fill="F3F7FA"/>
          </w:tcPr>
          <w:p>
            <w:r>
              <w:rPr>
                <w:sz w:val="20"/>
              </w:rPr>
              <w:t>Используется ASP.NET Core Identity и безопасное хеширование паролей.</w:t>
            </w:r>
          </w:p>
        </w:tc>
      </w:tr>
      <w:tr>
        <w:tc>
          <w:tcPr>
            <w:tcW w:type="dxa" w:w="4104"/>
            <w:vAlign w:val="center"/>
          </w:tcPr>
          <w:p>
            <w:r>
              <w:rPr>
                <w:sz w:val="20"/>
              </w:rPr>
              <w:t>Сессия могла быть доступна JavaScript или уйти на другой сайт.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20"/>
              </w:rPr>
              <w:t>Cookie имеет HttpOnly, SameSite Strict и Secure в production.</w:t>
            </w:r>
          </w:p>
        </w:tc>
      </w:tr>
      <w:tr>
        <w:tc>
          <w:tcPr>
            <w:tcW w:type="dxa" w:w="4104"/>
            <w:vAlign w:val="center"/>
            <w:shd w:fill="F3F7FA"/>
          </w:tcPr>
          <w:p>
            <w:r>
              <w:rPr>
                <w:sz w:val="20"/>
              </w:rPr>
              <w:t>Изменяющие запросы могли выполняться с чужого сайта.</w:t>
            </w:r>
          </w:p>
        </w:tc>
        <w:tc>
          <w:tcPr>
            <w:tcW w:type="dxa" w:w="5184"/>
            <w:vAlign w:val="center"/>
            <w:shd w:fill="F3F7FA"/>
          </w:tcPr>
          <w:p>
            <w:r>
              <w:rPr>
                <w:sz w:val="20"/>
              </w:rPr>
              <w:t>Для POST, PUT, DELETE требуется CSRF заголовок и cookie.</w:t>
            </w:r>
          </w:p>
        </w:tc>
      </w:tr>
      <w:tr>
        <w:tc>
          <w:tcPr>
            <w:tcW w:type="dxa" w:w="4104"/>
            <w:vAlign w:val="center"/>
          </w:tcPr>
          <w:p>
            <w:r>
              <w:rPr>
                <w:sz w:val="20"/>
              </w:rPr>
              <w:t>Открытые endpoints и CORS расширяли доступ.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20"/>
              </w:rPr>
              <w:t>По умолчанию требуется вход. В production разрешаются только явно указанные origins.</w:t>
            </w:r>
          </w:p>
        </w:tc>
      </w:tr>
      <w:tr>
        <w:tc>
          <w:tcPr>
            <w:tcW w:type="dxa" w:w="4104"/>
            <w:vAlign w:val="center"/>
            <w:shd w:fill="F3F7FA"/>
          </w:tcPr>
          <w:p>
            <w:r>
              <w:rPr>
                <w:sz w:val="20"/>
              </w:rPr>
              <w:t>Ошибки БД и исключения могли раскрываться пользователю.</w:t>
            </w:r>
          </w:p>
        </w:tc>
        <w:tc>
          <w:tcPr>
            <w:tcW w:type="dxa" w:w="5184"/>
            <w:vAlign w:val="center"/>
            <w:shd w:fill="F3F7FA"/>
          </w:tcPr>
          <w:p>
            <w:r>
              <w:rPr>
                <w:sz w:val="20"/>
              </w:rPr>
              <w:t>Problem Details возвращает безопасный ответ с trace id; подробность записывается в журнал.</w:t>
            </w:r>
          </w:p>
        </w:tc>
      </w:tr>
      <w:tr>
        <w:tc>
          <w:tcPr>
            <w:tcW w:type="dxa" w:w="4104"/>
            <w:vAlign w:val="center"/>
          </w:tcPr>
          <w:p>
            <w:r>
              <w:rPr>
                <w:sz w:val="20"/>
              </w:rPr>
              <w:t>Подбор паролей мог быть неограниченным.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20"/>
              </w:rPr>
              <w:t>На входе действует rate limit; у Identity есть блокировка после неудачных попыток.</w:t>
            </w:r>
          </w:p>
        </w:tc>
      </w:tr>
    </w:tbl>
    <w:p/>
    <w:p>
      <w:pPr>
        <w:pStyle w:val="Heading1"/>
      </w:pPr>
      <w:r>
        <w:t>Применённые принципы</w:t>
      </w:r>
    </w:p>
    <w:p>
      <w:r>
        <w:t>SOLID реализован через разделение обязанностей. Контроллеры принимают HTTP запрос и не содержат бизнес логику. Сервисы Application реализуют сценарии, репозитории Infrastructure изолируют Entity Framework, а Domain не зависит от базы данных или веб фреймворка. Зависимости передаются через интерфейсы и контейнер ASP.NET Core.</w:t>
      </w:r>
    </w:p>
    <w:p>
      <w:pPr>
        <w:pStyle w:val="ListBullet"/>
      </w:pPr>
      <w:r>
        <w:t>Single Responsibility: API, бизнес правила, сохранение данных и интерфейс размещены в разных проектах и файлах.</w:t>
      </w:r>
    </w:p>
    <w:p>
      <w:pPr>
        <w:pStyle w:val="ListBullet"/>
      </w:pPr>
      <w:r>
        <w:t>Open Closed: новые реализации хранилища или внешние сервисы можно добавлять через интерфейсы без переписывания контроллеров.</w:t>
      </w:r>
    </w:p>
    <w:p>
      <w:pPr>
        <w:pStyle w:val="ListBullet"/>
      </w:pPr>
      <w:r>
        <w:t>Dependency Inversion: сценарии зависят от абстракций репозиториев и Unit of Work, а не от AppDbContext.</w:t>
      </w:r>
    </w:p>
    <w:p>
      <w:pPr>
        <w:pStyle w:val="Heading1"/>
      </w:pPr>
      <w:r>
        <w:t>API и пользовательские возможности</w:t>
      </w:r>
    </w:p>
    <w:p>
      <w:r>
        <w:t>Frontend предоставляет страницы входа, панели управления, клиентов, товаров, заказов и профиля. API поддерживает регистрацию по коду приглашения, вход и выход, смену пароля, CRUD операции для клиентов и товаров, создание заказа, смену статуса, поиск и постраничную выдачу.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F4E78"/>
            <w:vAlign w:val="center"/>
          </w:tcPr>
          <w:p>
            <w:r>
              <w:rPr>
                <w:b/>
                <w:color w:val="FFFFFF"/>
                <w:sz w:val="20"/>
              </w:rPr>
              <w:t>Группа endpoint</w:t>
            </w:r>
          </w:p>
        </w:tc>
        <w:tc>
          <w:tcPr>
            <w:tcW w:type="dxa" w:w="4997"/>
            <w:shd w:fill="1F4E78"/>
            <w:vAlign w:val="center"/>
          </w:tcPr>
          <w:p>
            <w:r>
              <w:rPr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sz w:val="20"/>
              </w:rPr>
              <w:t>/api/account</w:t>
            </w:r>
          </w:p>
        </w:tc>
        <w:tc>
          <w:tcPr>
            <w:tcW w:type="dxa" w:w="6984"/>
            <w:vAlign w:val="center"/>
          </w:tcPr>
          <w:p>
            <w:r>
              <w:rPr>
                <w:sz w:val="20"/>
              </w:rPr>
              <w:t>Регистрация, вход, выход, профиль и пароль.</w:t>
            </w:r>
          </w:p>
        </w:tc>
      </w:tr>
      <w:tr>
        <w:tc>
          <w:tcPr>
            <w:tcW w:type="dxa" w:w="2376"/>
            <w:vAlign w:val="center"/>
            <w:shd w:fill="F3F7FA"/>
          </w:tcPr>
          <w:p>
            <w:r>
              <w:rPr>
                <w:sz w:val="20"/>
              </w:rPr>
              <w:t>/api/customers</w:t>
            </w:r>
          </w:p>
        </w:tc>
        <w:tc>
          <w:tcPr>
            <w:tcW w:type="dxa" w:w="6984"/>
            <w:vAlign w:val="center"/>
            <w:shd w:fill="F3F7FA"/>
          </w:tcPr>
          <w:p>
            <w:r>
              <w:rPr>
                <w:sz w:val="20"/>
              </w:rPr>
              <w:t>Список, поиск, создание, изменение и удаление клиентов.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sz w:val="20"/>
              </w:rPr>
              <w:t>/api/items</w:t>
            </w:r>
          </w:p>
        </w:tc>
        <w:tc>
          <w:tcPr>
            <w:tcW w:type="dxa" w:w="6984"/>
            <w:vAlign w:val="center"/>
          </w:tcPr>
          <w:p>
            <w:r>
              <w:rPr>
                <w:sz w:val="20"/>
              </w:rPr>
              <w:t>Работа с каталогом и остатками товаров.</w:t>
            </w:r>
          </w:p>
        </w:tc>
      </w:tr>
      <w:tr>
        <w:tc>
          <w:tcPr>
            <w:tcW w:type="dxa" w:w="2376"/>
            <w:vAlign w:val="center"/>
            <w:shd w:fill="F3F7FA"/>
          </w:tcPr>
          <w:p>
            <w:r>
              <w:rPr>
                <w:sz w:val="20"/>
              </w:rPr>
              <w:t>/api/orders</w:t>
            </w:r>
          </w:p>
        </w:tc>
        <w:tc>
          <w:tcPr>
            <w:tcW w:type="dxa" w:w="6984"/>
            <w:vAlign w:val="center"/>
            <w:shd w:fill="F3F7FA"/>
          </w:tcPr>
          <w:p>
            <w:r>
              <w:rPr>
                <w:sz w:val="20"/>
              </w:rPr>
              <w:t>Создание, список, детали, подтверждение и отмена заказов.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sz w:val="20"/>
              </w:rPr>
              <w:t>/api/dashboard</w:t>
            </w:r>
          </w:p>
        </w:tc>
        <w:tc>
          <w:tcPr>
            <w:tcW w:type="dxa" w:w="6984"/>
            <w:vAlign w:val="center"/>
          </w:tcPr>
          <w:p>
            <w:r>
              <w:rPr>
                <w:sz w:val="20"/>
              </w:rPr>
              <w:t>Сводные показатели для панели управления.</w:t>
            </w:r>
          </w:p>
        </w:tc>
      </w:tr>
    </w:tbl>
    <w:p/>
    <w:p>
      <w:pPr>
        <w:pStyle w:val="Heading1"/>
      </w:pPr>
      <w:r>
        <w:t>Проверки качества</w:t>
      </w:r>
    </w:p>
    <w:p>
      <w:r>
        <w:t>Проверки запускаются командой ниже. Она не меняет рабочую базу данных: интеграционные тесты создают и удаляют собственную временную базу с уникальным именем.</w:t>
      </w:r>
    </w:p>
    <w:p>
      <w:pPr>
        <w:spacing w:before="60" w:after="160"/>
        <w:ind w:left="317"/>
      </w:pPr>
      <w:r>
        <w:rPr>
          <w:rFonts w:ascii="Consolas" w:hAnsi="Consolas" w:eastAsia="Consolas"/>
          <w:sz w:val="19"/>
        </w:rPr>
        <w:t>powershell -NoProfile -ExecutionPolicy Bypass -File .\scripts\Test.ps1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F4E78"/>
            <w:vAlign w:val="center"/>
          </w:tcPr>
          <w:p>
            <w:r>
              <w:rPr>
                <w:b/>
                <w:color w:val="FFFFFF"/>
                <w:sz w:val="20"/>
              </w:rPr>
              <w:t>Проверка</w:t>
            </w:r>
          </w:p>
        </w:tc>
        <w:tc>
          <w:tcPr>
            <w:tcW w:type="dxa" w:w="4997"/>
            <w:shd w:fill="1F4E78"/>
            <w:vAlign w:val="center"/>
          </w:tcPr>
          <w:p>
            <w:r>
              <w:rPr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sz w:val="20"/>
              </w:rPr>
              <w:t>Сборка .NET</w:t>
            </w:r>
          </w:p>
        </w:tc>
        <w:tc>
          <w:tcPr>
            <w:tcW w:type="dxa" w:w="6120"/>
            <w:vAlign w:val="center"/>
          </w:tcPr>
          <w:p>
            <w:r>
              <w:rPr>
                <w:sz w:val="20"/>
              </w:rPr>
              <w:t>0 предупреждений и 0 ошибок.</w:t>
            </w:r>
          </w:p>
        </w:tc>
      </w:tr>
      <w:tr>
        <w:tc>
          <w:tcPr>
            <w:tcW w:type="dxa" w:w="3240"/>
            <w:vAlign w:val="center"/>
            <w:shd w:fill="F3F7FA"/>
          </w:tcPr>
          <w:p>
            <w:r>
              <w:rPr>
                <w:sz w:val="20"/>
              </w:rPr>
              <w:t>Интеграционные тесты</w:t>
            </w:r>
          </w:p>
        </w:tc>
        <w:tc>
          <w:tcPr>
            <w:tcW w:type="dxa" w:w="6120"/>
            <w:vAlign w:val="center"/>
            <w:shd w:fill="F3F7FA"/>
          </w:tcPr>
          <w:p>
            <w:r>
              <w:rPr>
                <w:sz w:val="20"/>
              </w:rPr>
              <w:t>15 из 15 пройдены: доступ, CSRF, валидация, CRUD, уникальность, остатки, статусы, конфликт параллельных изменений, сессия и вход.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sz w:val="20"/>
              </w:rPr>
              <w:t>Frontend lint</w:t>
            </w:r>
          </w:p>
        </w:tc>
        <w:tc>
          <w:tcPr>
            <w:tcW w:type="dxa" w:w="6120"/>
            <w:vAlign w:val="center"/>
          </w:tcPr>
          <w:p>
            <w:r>
              <w:rPr>
                <w:sz w:val="20"/>
              </w:rPr>
              <w:t>Проверка ESLint проходит.</w:t>
            </w:r>
          </w:p>
        </w:tc>
      </w:tr>
      <w:tr>
        <w:tc>
          <w:tcPr>
            <w:tcW w:type="dxa" w:w="3240"/>
            <w:vAlign w:val="center"/>
            <w:shd w:fill="F3F7FA"/>
          </w:tcPr>
          <w:p>
            <w:r>
              <w:rPr>
                <w:sz w:val="20"/>
              </w:rPr>
              <w:t>Frontend production build</w:t>
            </w:r>
          </w:p>
        </w:tc>
        <w:tc>
          <w:tcPr>
            <w:tcW w:type="dxa" w:w="6120"/>
            <w:vAlign w:val="center"/>
            <w:shd w:fill="F3F7FA"/>
          </w:tcPr>
          <w:p>
            <w:r>
              <w:rPr>
                <w:sz w:val="20"/>
              </w:rPr>
              <w:t>Vite успешно формирует dist.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sz w:val="20"/>
              </w:rPr>
              <w:t>Уязвимые .NET пакеты</w:t>
            </w:r>
          </w:p>
        </w:tc>
        <w:tc>
          <w:tcPr>
            <w:tcW w:type="dxa" w:w="6120"/>
            <w:vAlign w:val="center"/>
          </w:tcPr>
          <w:p>
            <w:r>
              <w:rPr>
                <w:sz w:val="20"/>
              </w:rPr>
              <w:t>dotnet list package --vulnerable не обнаружил уязвимых пакетов.</w:t>
            </w:r>
          </w:p>
        </w:tc>
      </w:tr>
    </w:tbl>
    <w:p/>
    <w:p>
      <w:pPr>
        <w:pStyle w:val="Heading1"/>
      </w:pPr>
      <w:r>
        <w:t>Диагностика</w:t>
      </w:r>
    </w:p>
    <w:p>
      <w:r>
        <w:t>Если SQL Server остановлен, откройте PowerShell от имени администратора и выполните Start-Service 'MSSQL$SQLEXPRESS'. Состояние службы проверяется командой Get-Service 'MSSQL$SQLEXPRESS'. Если порт занят, сначала выполните Stop-Dev.ps1. Журналы API и frontend находятся в папке .local; она локальная и не передаётся в Git.</w:t>
      </w:r>
    </w:p>
    <w:p>
      <w:r>
        <w:t>Для production необходимо задать собственные защищённые значения ConnectionStrings, Registration и DataProtection через секретное хранилище или переменные окружения, указать разрешённые Cors origins и использовать HTTPS. Локальный код приглашения нельзя публиковать.</w:t>
      </w:r>
    </w:p>
    <w:sectPr w:rsidR="00FC693F" w:rsidRPr="0006063C" w:rsidSect="00034616">
      <w:footerReference w:type="default" r:id="rId9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SO17  Техническая документация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4" w:lineRule="auto"/>
    </w:pPr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