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CA114" w14:textId="7E30BF6E" w:rsidR="00092F29" w:rsidRPr="00092F29" w:rsidRDefault="00092F29" w:rsidP="00092F29">
      <w:pPr>
        <w:jc w:val="center"/>
        <w:rPr>
          <w:b/>
          <w:bCs/>
          <w:sz w:val="32"/>
          <w:szCs w:val="32"/>
          <w:lang w:val="en"/>
        </w:rPr>
      </w:pPr>
      <w:r w:rsidRPr="00092F29">
        <w:rPr>
          <w:b/>
          <w:bCs/>
          <w:sz w:val="32"/>
          <w:szCs w:val="32"/>
          <w:lang w:val="en"/>
        </w:rPr>
        <w:t>A REPORT ON</w:t>
      </w:r>
    </w:p>
    <w:p w14:paraId="4EBC4E50" w14:textId="77777777" w:rsidR="00092F29" w:rsidRPr="00092F29" w:rsidRDefault="00092F29" w:rsidP="00092F29">
      <w:pPr>
        <w:jc w:val="center"/>
        <w:rPr>
          <w:b/>
          <w:bCs/>
          <w:sz w:val="32"/>
          <w:szCs w:val="32"/>
          <w:lang w:val="en"/>
        </w:rPr>
      </w:pPr>
    </w:p>
    <w:p w14:paraId="291528EF" w14:textId="1F48DB97" w:rsidR="00092F29" w:rsidRPr="00092F29" w:rsidRDefault="00FE1FC9" w:rsidP="00092F29">
      <w:pPr>
        <w:jc w:val="center"/>
        <w:rPr>
          <w:b/>
          <w:bCs/>
          <w:sz w:val="32"/>
          <w:szCs w:val="32"/>
          <w:lang w:val="en"/>
        </w:rPr>
      </w:pPr>
      <w:r>
        <w:rPr>
          <w:b/>
          <w:bCs/>
          <w:sz w:val="32"/>
          <w:szCs w:val="32"/>
          <w:lang w:val="en"/>
        </w:rPr>
        <w:t>PORTFOLIO HEDGING USING STOCK AND INDEX FUTURES AND THEIR ANALYSIS</w:t>
      </w:r>
    </w:p>
    <w:p w14:paraId="2BD01272" w14:textId="77777777" w:rsidR="00092F29" w:rsidRPr="00092F29" w:rsidRDefault="00092F29" w:rsidP="00092F29">
      <w:pPr>
        <w:jc w:val="center"/>
        <w:rPr>
          <w:b/>
          <w:bCs/>
          <w:sz w:val="32"/>
          <w:szCs w:val="32"/>
          <w:lang w:val="en"/>
        </w:rPr>
      </w:pPr>
      <w:r w:rsidRPr="00092F29">
        <w:rPr>
          <w:b/>
          <w:bCs/>
          <w:sz w:val="32"/>
          <w:szCs w:val="32"/>
          <w:lang w:val="en"/>
        </w:rPr>
        <w:t>By</w:t>
      </w:r>
    </w:p>
    <w:p w14:paraId="68606D0A" w14:textId="00E4E24E" w:rsidR="00092F29" w:rsidRPr="00092F29" w:rsidRDefault="00FE1FC9" w:rsidP="00092F29">
      <w:pPr>
        <w:jc w:val="center"/>
        <w:rPr>
          <w:b/>
          <w:bCs/>
          <w:sz w:val="32"/>
          <w:szCs w:val="32"/>
          <w:lang w:val="en"/>
        </w:rPr>
      </w:pPr>
      <w:r>
        <w:rPr>
          <w:b/>
          <w:bCs/>
          <w:sz w:val="32"/>
          <w:szCs w:val="32"/>
          <w:lang w:val="en"/>
        </w:rPr>
        <w:t>Ishaan Singh</w:t>
      </w:r>
      <w:r w:rsidR="00092F29" w:rsidRPr="00092F29">
        <w:rPr>
          <w:b/>
          <w:bCs/>
          <w:sz w:val="32"/>
          <w:szCs w:val="32"/>
          <w:lang w:val="en"/>
        </w:rPr>
        <w:t xml:space="preserve"> (</w:t>
      </w:r>
      <w:r>
        <w:rPr>
          <w:b/>
          <w:bCs/>
          <w:sz w:val="32"/>
          <w:szCs w:val="32"/>
          <w:lang w:val="en"/>
        </w:rPr>
        <w:t>2021B3A33043H</w:t>
      </w:r>
      <w:r w:rsidR="00092F29" w:rsidRPr="00092F29">
        <w:rPr>
          <w:b/>
          <w:bCs/>
          <w:sz w:val="32"/>
          <w:szCs w:val="32"/>
          <w:lang w:val="en"/>
        </w:rPr>
        <w:t>)</w:t>
      </w:r>
    </w:p>
    <w:p w14:paraId="5643F95D" w14:textId="537D4946" w:rsidR="00092F29" w:rsidRPr="00092F29" w:rsidRDefault="00092F29" w:rsidP="00092F29">
      <w:pPr>
        <w:jc w:val="center"/>
        <w:rPr>
          <w:b/>
          <w:bCs/>
          <w:sz w:val="32"/>
          <w:szCs w:val="32"/>
          <w:lang w:val="en"/>
        </w:rPr>
      </w:pPr>
      <w:r w:rsidRPr="00092F29">
        <w:rPr>
          <w:b/>
          <w:bCs/>
          <w:sz w:val="32"/>
          <w:szCs w:val="32"/>
          <w:lang w:val="en"/>
        </w:rPr>
        <w:t xml:space="preserve">Under Supervision of Dr. </w:t>
      </w:r>
      <w:r w:rsidR="00FE1FC9">
        <w:rPr>
          <w:b/>
          <w:bCs/>
          <w:sz w:val="32"/>
          <w:szCs w:val="32"/>
          <w:lang w:val="en"/>
        </w:rPr>
        <w:t>ACV Subra</w:t>
      </w:r>
      <w:r w:rsidR="00DC2A07">
        <w:rPr>
          <w:b/>
          <w:bCs/>
          <w:sz w:val="32"/>
          <w:szCs w:val="32"/>
          <w:lang w:val="en"/>
        </w:rPr>
        <w:t>h</w:t>
      </w:r>
      <w:r w:rsidR="00FE1FC9">
        <w:rPr>
          <w:b/>
          <w:bCs/>
          <w:sz w:val="32"/>
          <w:szCs w:val="32"/>
          <w:lang w:val="en"/>
        </w:rPr>
        <w:t>manyam</w:t>
      </w:r>
    </w:p>
    <w:p w14:paraId="08C251BC" w14:textId="0D0896A5" w:rsidR="00092F29" w:rsidRPr="00092F29" w:rsidRDefault="00092F29" w:rsidP="00092F29">
      <w:pPr>
        <w:jc w:val="center"/>
        <w:rPr>
          <w:b/>
          <w:bCs/>
          <w:sz w:val="32"/>
          <w:szCs w:val="32"/>
          <w:lang w:val="en"/>
        </w:rPr>
      </w:pPr>
      <w:r w:rsidRPr="00092F29">
        <w:rPr>
          <w:b/>
          <w:bCs/>
          <w:sz w:val="32"/>
          <w:szCs w:val="32"/>
          <w:lang w:val="en"/>
        </w:rPr>
        <w:t>Course Code:</w:t>
      </w:r>
      <w:r w:rsidR="00FE1FC9">
        <w:rPr>
          <w:b/>
          <w:bCs/>
          <w:sz w:val="32"/>
          <w:szCs w:val="32"/>
          <w:lang w:val="en"/>
        </w:rPr>
        <w:t xml:space="preserve"> ECON</w:t>
      </w:r>
      <w:r w:rsidRPr="00092F29">
        <w:rPr>
          <w:b/>
          <w:bCs/>
          <w:sz w:val="32"/>
          <w:szCs w:val="32"/>
          <w:lang w:val="en"/>
        </w:rPr>
        <w:t xml:space="preserve"> F</w:t>
      </w:r>
      <w:r w:rsidR="00FE1FC9">
        <w:rPr>
          <w:b/>
          <w:bCs/>
          <w:sz w:val="32"/>
          <w:szCs w:val="32"/>
          <w:lang w:val="en"/>
        </w:rPr>
        <w:t>354</w:t>
      </w:r>
      <w:r w:rsidRPr="00092F29">
        <w:rPr>
          <w:b/>
          <w:bCs/>
          <w:sz w:val="32"/>
          <w:szCs w:val="32"/>
          <w:lang w:val="en"/>
        </w:rPr>
        <w:t xml:space="preserve"> Course</w:t>
      </w:r>
    </w:p>
    <w:p w14:paraId="21C650D2" w14:textId="77777777" w:rsidR="00092F29" w:rsidRPr="00092F29" w:rsidRDefault="00092F29" w:rsidP="00092F29">
      <w:pPr>
        <w:jc w:val="center"/>
        <w:rPr>
          <w:b/>
          <w:bCs/>
          <w:sz w:val="32"/>
          <w:szCs w:val="32"/>
          <w:lang w:val="en"/>
        </w:rPr>
      </w:pPr>
    </w:p>
    <w:p w14:paraId="5017529E" w14:textId="331758FA" w:rsidR="00092F29" w:rsidRDefault="00092F29" w:rsidP="00092F29">
      <w:pPr>
        <w:jc w:val="center"/>
        <w:rPr>
          <w:b/>
          <w:bCs/>
          <w:sz w:val="32"/>
          <w:szCs w:val="32"/>
          <w:lang w:val="en"/>
        </w:rPr>
      </w:pPr>
      <w:r w:rsidRPr="00092F29">
        <w:rPr>
          <w:b/>
          <w:bCs/>
          <w:sz w:val="32"/>
          <w:szCs w:val="32"/>
          <w:lang w:val="en"/>
        </w:rPr>
        <w:t xml:space="preserve">Title: </w:t>
      </w:r>
      <w:r w:rsidR="00FE1FC9">
        <w:rPr>
          <w:b/>
          <w:bCs/>
          <w:sz w:val="32"/>
          <w:szCs w:val="32"/>
          <w:lang w:val="en"/>
        </w:rPr>
        <w:t>Derivatives</w:t>
      </w:r>
      <w:r w:rsidRPr="00092F29">
        <w:rPr>
          <w:b/>
          <w:bCs/>
          <w:sz w:val="32"/>
          <w:szCs w:val="32"/>
          <w:lang w:val="en"/>
        </w:rPr>
        <w:t xml:space="preserve"> and Management</w:t>
      </w:r>
    </w:p>
    <w:p w14:paraId="47CF1E87" w14:textId="34ABE636" w:rsidR="00DC2A07" w:rsidRPr="00092F29" w:rsidRDefault="00DC2A07" w:rsidP="00092F29">
      <w:pPr>
        <w:jc w:val="center"/>
        <w:rPr>
          <w:b/>
          <w:bCs/>
          <w:sz w:val="32"/>
          <w:szCs w:val="32"/>
          <w:lang w:val="en"/>
        </w:rPr>
      </w:pPr>
      <w:r>
        <w:rPr>
          <w:b/>
          <w:bCs/>
          <w:sz w:val="32"/>
          <w:szCs w:val="32"/>
          <w:lang w:val="en"/>
        </w:rPr>
        <w:t>Time of Submission – 19/11/2024, 23:50 hours</w:t>
      </w:r>
    </w:p>
    <w:p w14:paraId="29C9586F" w14:textId="334AACC6" w:rsidR="00092F29" w:rsidRPr="00092F29" w:rsidRDefault="00092F29" w:rsidP="00092F29">
      <w:pPr>
        <w:jc w:val="center"/>
        <w:rPr>
          <w:b/>
          <w:bCs/>
          <w:sz w:val="32"/>
          <w:szCs w:val="32"/>
          <w:lang w:val="en"/>
        </w:rPr>
      </w:pPr>
      <w:r w:rsidRPr="00092F29">
        <w:rPr>
          <w:b/>
          <w:bCs/>
          <w:noProof/>
          <w:sz w:val="32"/>
          <w:szCs w:val="32"/>
          <w:lang w:val="en"/>
        </w:rPr>
        <w:drawing>
          <wp:anchor distT="0" distB="0" distL="0" distR="0" simplePos="0" relativeHeight="251665408" behindDoc="1" locked="0" layoutInCell="1" allowOverlap="1" wp14:anchorId="38E80B0C" wp14:editId="41AB7903">
            <wp:simplePos x="0" y="0"/>
            <wp:positionH relativeFrom="page">
              <wp:posOffset>3014345</wp:posOffset>
            </wp:positionH>
            <wp:positionV relativeFrom="page">
              <wp:posOffset>5824220</wp:posOffset>
            </wp:positionV>
            <wp:extent cx="1747520" cy="1579880"/>
            <wp:effectExtent l="0" t="0" r="5080" b="1270"/>
            <wp:wrapNone/>
            <wp:docPr id="1066940375" name="Picture 2" descr="ooxWord://word/media/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7.jpg" descr="ooxWord://word/media/image3.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47520" cy="1579880"/>
                    </a:xfrm>
                    <a:prstGeom prst="rect">
                      <a:avLst/>
                    </a:prstGeom>
                    <a:noFill/>
                  </pic:spPr>
                </pic:pic>
              </a:graphicData>
            </a:graphic>
            <wp14:sizeRelH relativeFrom="page">
              <wp14:pctWidth>0</wp14:pctWidth>
            </wp14:sizeRelH>
            <wp14:sizeRelV relativeFrom="page">
              <wp14:pctHeight>0</wp14:pctHeight>
            </wp14:sizeRelV>
          </wp:anchor>
        </w:drawing>
      </w:r>
    </w:p>
    <w:p w14:paraId="2C52566B" w14:textId="77777777" w:rsidR="00092F29" w:rsidRPr="00092F29" w:rsidRDefault="00092F29" w:rsidP="00092F29">
      <w:pPr>
        <w:rPr>
          <w:b/>
          <w:bCs/>
          <w:sz w:val="32"/>
          <w:szCs w:val="32"/>
          <w:lang w:val="en"/>
        </w:rPr>
      </w:pPr>
    </w:p>
    <w:p w14:paraId="6DCA1445" w14:textId="77777777" w:rsidR="00092F29" w:rsidRPr="00092F29" w:rsidRDefault="00092F29" w:rsidP="00092F29">
      <w:pPr>
        <w:rPr>
          <w:b/>
          <w:bCs/>
          <w:sz w:val="32"/>
          <w:szCs w:val="32"/>
          <w:lang w:val="en"/>
        </w:rPr>
      </w:pPr>
    </w:p>
    <w:p w14:paraId="7C788D41" w14:textId="77777777" w:rsidR="00092F29" w:rsidRPr="00092F29" w:rsidRDefault="00092F29" w:rsidP="00092F29">
      <w:pPr>
        <w:rPr>
          <w:b/>
          <w:bCs/>
          <w:sz w:val="32"/>
          <w:szCs w:val="32"/>
          <w:lang w:val="en"/>
        </w:rPr>
      </w:pPr>
    </w:p>
    <w:p w14:paraId="37CFEFEC" w14:textId="77777777" w:rsidR="00092F29" w:rsidRPr="00092F29" w:rsidRDefault="00092F29" w:rsidP="00092F29">
      <w:pPr>
        <w:rPr>
          <w:b/>
          <w:bCs/>
          <w:sz w:val="32"/>
          <w:szCs w:val="32"/>
          <w:lang w:val="en"/>
        </w:rPr>
      </w:pPr>
    </w:p>
    <w:p w14:paraId="3F340D92" w14:textId="77777777" w:rsidR="00092F29" w:rsidRPr="00092F29" w:rsidRDefault="00092F29" w:rsidP="00092F29">
      <w:pPr>
        <w:rPr>
          <w:b/>
          <w:bCs/>
          <w:sz w:val="32"/>
          <w:szCs w:val="32"/>
          <w:lang w:val="en"/>
        </w:rPr>
      </w:pPr>
    </w:p>
    <w:p w14:paraId="4AF975E7" w14:textId="77777777" w:rsidR="00092F29" w:rsidRPr="00092F29" w:rsidRDefault="00092F29" w:rsidP="00092F29">
      <w:pPr>
        <w:rPr>
          <w:b/>
          <w:bCs/>
          <w:sz w:val="32"/>
          <w:szCs w:val="32"/>
          <w:lang w:val="en"/>
        </w:rPr>
      </w:pPr>
    </w:p>
    <w:p w14:paraId="5F2CECEB" w14:textId="77777777" w:rsidR="00092F29" w:rsidRPr="00092F29" w:rsidRDefault="00092F29" w:rsidP="00092F29">
      <w:pPr>
        <w:rPr>
          <w:b/>
          <w:bCs/>
          <w:sz w:val="32"/>
          <w:szCs w:val="32"/>
          <w:lang w:val="en"/>
        </w:rPr>
      </w:pPr>
    </w:p>
    <w:p w14:paraId="5989D095" w14:textId="77777777" w:rsidR="00092F29" w:rsidRPr="00092F29" w:rsidRDefault="00092F29" w:rsidP="00092F29">
      <w:pPr>
        <w:rPr>
          <w:b/>
          <w:bCs/>
          <w:sz w:val="32"/>
          <w:szCs w:val="32"/>
          <w:lang w:val="en"/>
        </w:rPr>
      </w:pPr>
    </w:p>
    <w:p w14:paraId="1713BC79" w14:textId="77777777" w:rsidR="00092F29" w:rsidRPr="00092F29" w:rsidRDefault="00092F29" w:rsidP="00092F29">
      <w:pPr>
        <w:rPr>
          <w:b/>
          <w:bCs/>
          <w:sz w:val="32"/>
          <w:szCs w:val="32"/>
          <w:lang w:val="en"/>
        </w:rPr>
      </w:pPr>
    </w:p>
    <w:p w14:paraId="6B32275A" w14:textId="7A0D4D47" w:rsidR="00092F29" w:rsidRPr="00092F29" w:rsidRDefault="00092F29" w:rsidP="00FE1FC9">
      <w:pPr>
        <w:jc w:val="center"/>
        <w:rPr>
          <w:b/>
          <w:bCs/>
          <w:sz w:val="32"/>
          <w:szCs w:val="32"/>
          <w:lang w:val="en"/>
        </w:rPr>
      </w:pPr>
      <w:r w:rsidRPr="00092F29">
        <w:rPr>
          <w:b/>
          <w:bCs/>
          <w:sz w:val="32"/>
          <w:szCs w:val="32"/>
          <w:lang w:val="en"/>
        </w:rPr>
        <w:t>BIRLA INSTITUTE OF TECHNOLOGY AND SCIENCE, PILANI HYDERABAD CAMPUS (</w:t>
      </w:r>
      <w:r w:rsidR="00FE1FC9">
        <w:rPr>
          <w:b/>
          <w:bCs/>
          <w:sz w:val="32"/>
          <w:szCs w:val="32"/>
          <w:lang w:val="en"/>
        </w:rPr>
        <w:t>17</w:t>
      </w:r>
      <w:r w:rsidRPr="00092F29">
        <w:rPr>
          <w:b/>
          <w:bCs/>
          <w:sz w:val="32"/>
          <w:szCs w:val="32"/>
          <w:lang w:val="en"/>
        </w:rPr>
        <w:t>-</w:t>
      </w:r>
      <w:r w:rsidR="00FE1FC9">
        <w:rPr>
          <w:b/>
          <w:bCs/>
          <w:sz w:val="32"/>
          <w:szCs w:val="32"/>
          <w:lang w:val="en"/>
        </w:rPr>
        <w:t>11</w:t>
      </w:r>
      <w:r w:rsidRPr="00092F29">
        <w:rPr>
          <w:b/>
          <w:bCs/>
          <w:sz w:val="32"/>
          <w:szCs w:val="32"/>
          <w:lang w:val="en"/>
        </w:rPr>
        <w:t>-202</w:t>
      </w:r>
      <w:r w:rsidR="00FE1FC9">
        <w:rPr>
          <w:b/>
          <w:bCs/>
          <w:sz w:val="32"/>
          <w:szCs w:val="32"/>
          <w:lang w:val="en"/>
        </w:rPr>
        <w:t>4</w:t>
      </w:r>
      <w:r w:rsidRPr="00092F29">
        <w:rPr>
          <w:b/>
          <w:bCs/>
          <w:sz w:val="32"/>
          <w:szCs w:val="32"/>
          <w:lang w:val="en"/>
        </w:rPr>
        <w:t>)</w:t>
      </w:r>
    </w:p>
    <w:p w14:paraId="3652F5E1" w14:textId="77777777" w:rsidR="00092F29" w:rsidRDefault="00092F29">
      <w:pPr>
        <w:rPr>
          <w:b/>
          <w:bCs/>
          <w:sz w:val="32"/>
          <w:szCs w:val="32"/>
        </w:rPr>
      </w:pPr>
    </w:p>
    <w:p w14:paraId="14B3F3A8" w14:textId="77777777" w:rsidR="00092F29" w:rsidRDefault="00092F29">
      <w:pPr>
        <w:rPr>
          <w:b/>
          <w:bCs/>
          <w:sz w:val="32"/>
          <w:szCs w:val="32"/>
        </w:rPr>
      </w:pPr>
    </w:p>
    <w:p w14:paraId="6292BE6E" w14:textId="77777777" w:rsidR="00FE1FC9" w:rsidRDefault="00FE1FC9" w:rsidP="00FE1FC9">
      <w:pPr>
        <w:rPr>
          <w:b/>
          <w:bCs/>
          <w:sz w:val="32"/>
          <w:szCs w:val="32"/>
          <w:lang w:val="en"/>
        </w:rPr>
      </w:pPr>
      <w:r w:rsidRPr="00FE1FC9">
        <w:rPr>
          <w:b/>
          <w:bCs/>
          <w:sz w:val="32"/>
          <w:szCs w:val="32"/>
          <w:lang w:val="en"/>
        </w:rPr>
        <w:t xml:space="preserve">Note: </w:t>
      </w:r>
    </w:p>
    <w:p w14:paraId="01BCF86F" w14:textId="24D6E16C" w:rsidR="00FE1FC9" w:rsidRDefault="00FE1FC9" w:rsidP="00FE1FC9">
      <w:pPr>
        <w:rPr>
          <w:b/>
          <w:bCs/>
          <w:sz w:val="32"/>
          <w:szCs w:val="32"/>
          <w:lang w:val="en"/>
        </w:rPr>
      </w:pPr>
      <w:r>
        <w:rPr>
          <w:b/>
          <w:bCs/>
          <w:sz w:val="32"/>
          <w:szCs w:val="32"/>
          <w:lang w:val="en"/>
        </w:rPr>
        <w:t xml:space="preserve">1. </w:t>
      </w:r>
      <w:r w:rsidRPr="00FE1FC9">
        <w:rPr>
          <w:b/>
          <w:bCs/>
          <w:sz w:val="32"/>
          <w:szCs w:val="32"/>
          <w:lang w:val="en"/>
        </w:rPr>
        <w:t>All the prices used are in Indian Rupee (</w:t>
      </w:r>
      <w:r>
        <w:rPr>
          <w:b/>
          <w:bCs/>
          <w:sz w:val="32"/>
          <w:szCs w:val="32"/>
          <w:lang w:val="en"/>
        </w:rPr>
        <w:t>INR)</w:t>
      </w:r>
    </w:p>
    <w:p w14:paraId="430AFD4A" w14:textId="77777777" w:rsidR="00FE1FC9" w:rsidRDefault="00FE1FC9" w:rsidP="00FE1FC9">
      <w:pPr>
        <w:rPr>
          <w:b/>
          <w:bCs/>
          <w:sz w:val="32"/>
          <w:szCs w:val="32"/>
          <w:lang w:val="en"/>
        </w:rPr>
      </w:pPr>
      <w:r>
        <w:rPr>
          <w:b/>
          <w:bCs/>
          <w:sz w:val="32"/>
          <w:szCs w:val="32"/>
          <w:lang w:val="en"/>
        </w:rPr>
        <w:t>2. Data is collected from June 30</w:t>
      </w:r>
      <w:r w:rsidRPr="00FE1FC9">
        <w:rPr>
          <w:b/>
          <w:bCs/>
          <w:sz w:val="32"/>
          <w:szCs w:val="32"/>
          <w:vertAlign w:val="superscript"/>
          <w:lang w:val="en"/>
        </w:rPr>
        <w:t>th</w:t>
      </w:r>
      <w:r>
        <w:rPr>
          <w:b/>
          <w:bCs/>
          <w:sz w:val="32"/>
          <w:szCs w:val="32"/>
          <w:lang w:val="en"/>
        </w:rPr>
        <w:t xml:space="preserve"> 2022 to June 30</w:t>
      </w:r>
      <w:r w:rsidRPr="00FE1FC9">
        <w:rPr>
          <w:b/>
          <w:bCs/>
          <w:sz w:val="32"/>
          <w:szCs w:val="32"/>
          <w:vertAlign w:val="superscript"/>
          <w:lang w:val="en"/>
        </w:rPr>
        <w:t>th</w:t>
      </w:r>
      <w:r>
        <w:rPr>
          <w:b/>
          <w:bCs/>
          <w:sz w:val="32"/>
          <w:szCs w:val="32"/>
          <w:lang w:val="en"/>
        </w:rPr>
        <w:t xml:space="preserve"> 2024 and                        analysis is done for the dates July 1</w:t>
      </w:r>
      <w:r w:rsidRPr="00FE1FC9">
        <w:rPr>
          <w:b/>
          <w:bCs/>
          <w:sz w:val="32"/>
          <w:szCs w:val="32"/>
          <w:vertAlign w:val="superscript"/>
          <w:lang w:val="en"/>
        </w:rPr>
        <w:t>st</w:t>
      </w:r>
      <w:r>
        <w:rPr>
          <w:b/>
          <w:bCs/>
          <w:sz w:val="32"/>
          <w:szCs w:val="32"/>
          <w:lang w:val="en"/>
        </w:rPr>
        <w:t xml:space="preserve"> 2024 to September 25</w:t>
      </w:r>
      <w:r w:rsidRPr="00FE1FC9">
        <w:rPr>
          <w:b/>
          <w:bCs/>
          <w:sz w:val="32"/>
          <w:szCs w:val="32"/>
          <w:vertAlign w:val="superscript"/>
          <w:lang w:val="en"/>
        </w:rPr>
        <w:t>th</w:t>
      </w:r>
      <w:r>
        <w:rPr>
          <w:b/>
          <w:bCs/>
          <w:sz w:val="32"/>
          <w:szCs w:val="32"/>
          <w:lang w:val="en"/>
        </w:rPr>
        <w:t xml:space="preserve"> 2024.</w:t>
      </w:r>
    </w:p>
    <w:p w14:paraId="5B479FD2" w14:textId="00F3E765" w:rsidR="00FE1FC9" w:rsidRDefault="00FE1FC9" w:rsidP="00FE1FC9">
      <w:pPr>
        <w:rPr>
          <w:b/>
          <w:bCs/>
          <w:sz w:val="32"/>
          <w:szCs w:val="32"/>
          <w:lang w:val="en"/>
        </w:rPr>
      </w:pPr>
      <w:r>
        <w:rPr>
          <w:b/>
          <w:bCs/>
          <w:sz w:val="32"/>
          <w:szCs w:val="32"/>
          <w:lang w:val="en"/>
        </w:rPr>
        <w:t>3. All the data has been taken for the NSE Website.</w:t>
      </w:r>
    </w:p>
    <w:p w14:paraId="4F6860E0" w14:textId="77777777" w:rsidR="00FE1FC9" w:rsidRDefault="00FE1FC9" w:rsidP="00FE1FC9">
      <w:pPr>
        <w:rPr>
          <w:b/>
          <w:bCs/>
          <w:sz w:val="32"/>
          <w:szCs w:val="32"/>
          <w:lang w:val="en"/>
        </w:rPr>
      </w:pPr>
    </w:p>
    <w:p w14:paraId="67AFC2C1" w14:textId="77777777" w:rsidR="00FE1FC9" w:rsidRDefault="00FE1FC9" w:rsidP="00FE1FC9">
      <w:pPr>
        <w:rPr>
          <w:b/>
          <w:bCs/>
          <w:sz w:val="32"/>
          <w:szCs w:val="32"/>
          <w:lang w:val="en"/>
        </w:rPr>
      </w:pPr>
    </w:p>
    <w:p w14:paraId="0224B952" w14:textId="77777777" w:rsidR="00FE1FC9" w:rsidRDefault="00FE1FC9" w:rsidP="00FE1FC9">
      <w:pPr>
        <w:rPr>
          <w:b/>
          <w:bCs/>
          <w:sz w:val="32"/>
          <w:szCs w:val="32"/>
          <w:lang w:val="en"/>
        </w:rPr>
      </w:pPr>
    </w:p>
    <w:p w14:paraId="792F02E0" w14:textId="77777777" w:rsidR="00FE1FC9" w:rsidRDefault="00FE1FC9" w:rsidP="00FE1FC9">
      <w:pPr>
        <w:rPr>
          <w:b/>
          <w:bCs/>
          <w:sz w:val="32"/>
          <w:szCs w:val="32"/>
          <w:lang w:val="en"/>
        </w:rPr>
      </w:pPr>
    </w:p>
    <w:p w14:paraId="3E914C18" w14:textId="77777777" w:rsidR="00FE1FC9" w:rsidRDefault="00FE1FC9" w:rsidP="00FE1FC9">
      <w:pPr>
        <w:rPr>
          <w:b/>
          <w:bCs/>
          <w:sz w:val="32"/>
          <w:szCs w:val="32"/>
          <w:lang w:val="en"/>
        </w:rPr>
      </w:pPr>
    </w:p>
    <w:p w14:paraId="7A29F644" w14:textId="77777777" w:rsidR="00FE1FC9" w:rsidRDefault="00FE1FC9" w:rsidP="00FE1FC9">
      <w:pPr>
        <w:rPr>
          <w:b/>
          <w:bCs/>
          <w:sz w:val="32"/>
          <w:szCs w:val="32"/>
          <w:lang w:val="en"/>
        </w:rPr>
      </w:pPr>
    </w:p>
    <w:p w14:paraId="5091AB61" w14:textId="77777777" w:rsidR="00FE1FC9" w:rsidRDefault="00FE1FC9" w:rsidP="00FE1FC9">
      <w:pPr>
        <w:rPr>
          <w:b/>
          <w:bCs/>
          <w:sz w:val="32"/>
          <w:szCs w:val="32"/>
          <w:lang w:val="en"/>
        </w:rPr>
      </w:pPr>
    </w:p>
    <w:p w14:paraId="67DA24DB" w14:textId="77777777" w:rsidR="00FE1FC9" w:rsidRDefault="00FE1FC9" w:rsidP="00FE1FC9">
      <w:pPr>
        <w:rPr>
          <w:b/>
          <w:bCs/>
          <w:sz w:val="32"/>
          <w:szCs w:val="32"/>
          <w:lang w:val="en"/>
        </w:rPr>
      </w:pPr>
    </w:p>
    <w:p w14:paraId="3A58FF64" w14:textId="77777777" w:rsidR="00FE1FC9" w:rsidRDefault="00FE1FC9" w:rsidP="00FE1FC9">
      <w:pPr>
        <w:rPr>
          <w:b/>
          <w:bCs/>
          <w:sz w:val="32"/>
          <w:szCs w:val="32"/>
          <w:lang w:val="en"/>
        </w:rPr>
      </w:pPr>
    </w:p>
    <w:p w14:paraId="5C4DAA53" w14:textId="77777777" w:rsidR="00FE1FC9" w:rsidRDefault="00FE1FC9" w:rsidP="00FE1FC9">
      <w:pPr>
        <w:rPr>
          <w:b/>
          <w:bCs/>
          <w:sz w:val="32"/>
          <w:szCs w:val="32"/>
          <w:lang w:val="en"/>
        </w:rPr>
      </w:pPr>
    </w:p>
    <w:p w14:paraId="5BEE1E57" w14:textId="77777777" w:rsidR="00FE1FC9" w:rsidRDefault="00FE1FC9" w:rsidP="00FE1FC9">
      <w:pPr>
        <w:rPr>
          <w:b/>
          <w:bCs/>
          <w:sz w:val="32"/>
          <w:szCs w:val="32"/>
          <w:lang w:val="en"/>
        </w:rPr>
      </w:pPr>
    </w:p>
    <w:p w14:paraId="2A18EC25" w14:textId="77777777" w:rsidR="00FE1FC9" w:rsidRDefault="00FE1FC9" w:rsidP="00FE1FC9">
      <w:pPr>
        <w:rPr>
          <w:b/>
          <w:bCs/>
          <w:sz w:val="32"/>
          <w:szCs w:val="32"/>
          <w:lang w:val="en"/>
        </w:rPr>
      </w:pPr>
    </w:p>
    <w:p w14:paraId="306F9CE9" w14:textId="77777777" w:rsidR="00FE1FC9" w:rsidRDefault="00FE1FC9" w:rsidP="00FE1FC9">
      <w:pPr>
        <w:rPr>
          <w:b/>
          <w:bCs/>
          <w:sz w:val="32"/>
          <w:szCs w:val="32"/>
          <w:lang w:val="en"/>
        </w:rPr>
      </w:pPr>
    </w:p>
    <w:p w14:paraId="6422B96F" w14:textId="77777777" w:rsidR="00FE1FC9" w:rsidRDefault="00FE1FC9" w:rsidP="00FE1FC9">
      <w:pPr>
        <w:rPr>
          <w:b/>
          <w:bCs/>
          <w:sz w:val="32"/>
          <w:szCs w:val="32"/>
          <w:lang w:val="en"/>
        </w:rPr>
      </w:pPr>
    </w:p>
    <w:p w14:paraId="1F70B9C4" w14:textId="77777777" w:rsidR="00FE1FC9" w:rsidRDefault="00FE1FC9" w:rsidP="00FE1FC9">
      <w:pPr>
        <w:rPr>
          <w:b/>
          <w:bCs/>
          <w:sz w:val="32"/>
          <w:szCs w:val="32"/>
          <w:lang w:val="en"/>
        </w:rPr>
      </w:pPr>
    </w:p>
    <w:p w14:paraId="2A6AAAC5" w14:textId="77777777" w:rsidR="00FE1FC9" w:rsidRDefault="00FE1FC9" w:rsidP="00FE1FC9">
      <w:pPr>
        <w:rPr>
          <w:b/>
          <w:bCs/>
          <w:sz w:val="32"/>
          <w:szCs w:val="32"/>
          <w:lang w:val="en"/>
        </w:rPr>
      </w:pPr>
    </w:p>
    <w:p w14:paraId="22057C32" w14:textId="77777777" w:rsidR="00FE1FC9" w:rsidRDefault="00FE1FC9" w:rsidP="00FE1FC9">
      <w:pPr>
        <w:rPr>
          <w:b/>
          <w:bCs/>
          <w:sz w:val="32"/>
          <w:szCs w:val="32"/>
          <w:lang w:val="en"/>
        </w:rPr>
      </w:pPr>
    </w:p>
    <w:p w14:paraId="39421B3D" w14:textId="77777777" w:rsidR="00FE1FC9" w:rsidRDefault="00FE1FC9" w:rsidP="00FE1FC9">
      <w:pPr>
        <w:rPr>
          <w:b/>
          <w:bCs/>
          <w:sz w:val="32"/>
          <w:szCs w:val="32"/>
          <w:lang w:val="en"/>
        </w:rPr>
      </w:pPr>
    </w:p>
    <w:p w14:paraId="1EB69D9D" w14:textId="77777777" w:rsidR="00FE1FC9" w:rsidRDefault="00FE1FC9" w:rsidP="00FE1FC9">
      <w:pPr>
        <w:rPr>
          <w:b/>
          <w:bCs/>
          <w:sz w:val="32"/>
          <w:szCs w:val="32"/>
          <w:lang w:val="en"/>
        </w:rPr>
      </w:pPr>
    </w:p>
    <w:p w14:paraId="6AFBE114" w14:textId="77777777" w:rsidR="00FE1FC9" w:rsidRDefault="00FE1FC9" w:rsidP="00FE1FC9">
      <w:pPr>
        <w:rPr>
          <w:b/>
          <w:bCs/>
          <w:sz w:val="32"/>
          <w:szCs w:val="32"/>
          <w:lang w:val="en"/>
        </w:rPr>
      </w:pPr>
    </w:p>
    <w:p w14:paraId="1FFD238F" w14:textId="77777777" w:rsidR="00FE1FC9" w:rsidRDefault="00FE1FC9" w:rsidP="00FE1FC9">
      <w:pPr>
        <w:rPr>
          <w:b/>
          <w:bCs/>
          <w:sz w:val="32"/>
          <w:szCs w:val="32"/>
          <w:lang w:val="en"/>
        </w:rPr>
      </w:pPr>
    </w:p>
    <w:p w14:paraId="17115346" w14:textId="5BF6A3F7" w:rsidR="00FE1FC9" w:rsidRPr="00FE1FC9" w:rsidRDefault="00FE1FC9" w:rsidP="00FE1FC9">
      <w:pPr>
        <w:jc w:val="center"/>
        <w:rPr>
          <w:b/>
          <w:bCs/>
          <w:sz w:val="32"/>
          <w:szCs w:val="32"/>
          <w:lang w:val="en"/>
        </w:rPr>
      </w:pPr>
      <w:r w:rsidRPr="00FE1FC9">
        <w:rPr>
          <w:b/>
          <w:bCs/>
          <w:sz w:val="32"/>
          <w:szCs w:val="32"/>
          <w:lang w:val="en"/>
        </w:rPr>
        <w:t>ACKNOWLEDGEMENT</w:t>
      </w:r>
    </w:p>
    <w:p w14:paraId="0EB4585C" w14:textId="77777777" w:rsidR="00FE1FC9" w:rsidRPr="00FE1FC9" w:rsidRDefault="00FE1FC9" w:rsidP="00FE1FC9">
      <w:pPr>
        <w:jc w:val="center"/>
        <w:rPr>
          <w:b/>
          <w:bCs/>
          <w:sz w:val="32"/>
          <w:szCs w:val="32"/>
          <w:lang w:val="en"/>
        </w:rPr>
      </w:pPr>
    </w:p>
    <w:p w14:paraId="37AE702E" w14:textId="77777777" w:rsidR="00FE1FC9" w:rsidRPr="00FE1FC9" w:rsidRDefault="00FE1FC9" w:rsidP="00FE1FC9">
      <w:pPr>
        <w:jc w:val="center"/>
        <w:rPr>
          <w:b/>
          <w:bCs/>
          <w:sz w:val="32"/>
          <w:szCs w:val="32"/>
          <w:lang w:val="en"/>
        </w:rPr>
      </w:pPr>
    </w:p>
    <w:p w14:paraId="3A125560" w14:textId="77777777" w:rsidR="00FE1FC9" w:rsidRPr="00FE1FC9" w:rsidRDefault="00FE1FC9" w:rsidP="00FE1FC9">
      <w:pPr>
        <w:jc w:val="center"/>
        <w:rPr>
          <w:b/>
          <w:bCs/>
          <w:sz w:val="32"/>
          <w:szCs w:val="32"/>
          <w:lang w:val="en"/>
        </w:rPr>
      </w:pPr>
    </w:p>
    <w:p w14:paraId="6C621458" w14:textId="77777777" w:rsidR="00FE1FC9" w:rsidRPr="00FE1FC9" w:rsidRDefault="00FE1FC9" w:rsidP="00FE1FC9">
      <w:pPr>
        <w:jc w:val="center"/>
        <w:rPr>
          <w:b/>
          <w:bCs/>
          <w:sz w:val="32"/>
          <w:szCs w:val="32"/>
          <w:lang w:val="en"/>
        </w:rPr>
      </w:pPr>
    </w:p>
    <w:p w14:paraId="09B37752" w14:textId="77777777" w:rsidR="00FE1FC9" w:rsidRPr="00FE1FC9" w:rsidRDefault="00FE1FC9" w:rsidP="00FE1FC9">
      <w:pPr>
        <w:jc w:val="center"/>
        <w:rPr>
          <w:b/>
          <w:bCs/>
          <w:sz w:val="32"/>
          <w:szCs w:val="32"/>
          <w:lang w:val="en"/>
        </w:rPr>
      </w:pPr>
    </w:p>
    <w:p w14:paraId="44F5484D" w14:textId="0870F081" w:rsidR="00FE1FC9" w:rsidRPr="00FE1FC9" w:rsidRDefault="00FE1FC9" w:rsidP="00FE1FC9">
      <w:pPr>
        <w:jc w:val="center"/>
        <w:rPr>
          <w:b/>
          <w:bCs/>
          <w:sz w:val="32"/>
          <w:szCs w:val="32"/>
          <w:lang w:val="en"/>
        </w:rPr>
      </w:pPr>
      <w:r>
        <w:rPr>
          <w:b/>
          <w:bCs/>
          <w:sz w:val="32"/>
          <w:szCs w:val="32"/>
          <w:lang w:val="en"/>
        </w:rPr>
        <w:t>I</w:t>
      </w:r>
      <w:r w:rsidRPr="00FE1FC9">
        <w:rPr>
          <w:b/>
          <w:bCs/>
          <w:sz w:val="32"/>
          <w:szCs w:val="32"/>
          <w:lang w:val="en"/>
        </w:rPr>
        <w:t xml:space="preserve"> would like to thank Prof. </w:t>
      </w:r>
      <w:r>
        <w:rPr>
          <w:b/>
          <w:bCs/>
          <w:sz w:val="32"/>
          <w:szCs w:val="32"/>
          <w:lang w:val="en"/>
        </w:rPr>
        <w:t>ACV</w:t>
      </w:r>
      <w:r w:rsidRPr="00FE1FC9">
        <w:rPr>
          <w:b/>
          <w:bCs/>
          <w:sz w:val="32"/>
          <w:szCs w:val="32"/>
          <w:lang w:val="en"/>
        </w:rPr>
        <w:t xml:space="preserve"> </w:t>
      </w:r>
      <w:r>
        <w:rPr>
          <w:b/>
          <w:bCs/>
          <w:sz w:val="32"/>
          <w:szCs w:val="32"/>
          <w:lang w:val="en"/>
        </w:rPr>
        <w:t>Subra</w:t>
      </w:r>
      <w:r w:rsidR="00DC2A07">
        <w:rPr>
          <w:b/>
          <w:bCs/>
          <w:sz w:val="32"/>
          <w:szCs w:val="32"/>
          <w:lang w:val="en"/>
        </w:rPr>
        <w:t>h</w:t>
      </w:r>
      <w:r>
        <w:rPr>
          <w:b/>
          <w:bCs/>
          <w:sz w:val="32"/>
          <w:szCs w:val="32"/>
          <w:lang w:val="en"/>
        </w:rPr>
        <w:t>manyam</w:t>
      </w:r>
      <w:r w:rsidRPr="00FE1FC9">
        <w:rPr>
          <w:b/>
          <w:bCs/>
          <w:sz w:val="32"/>
          <w:szCs w:val="32"/>
          <w:lang w:val="en"/>
        </w:rPr>
        <w:t xml:space="preserve"> for providing </w:t>
      </w:r>
      <w:r>
        <w:rPr>
          <w:b/>
          <w:bCs/>
          <w:sz w:val="32"/>
          <w:szCs w:val="32"/>
          <w:lang w:val="en"/>
        </w:rPr>
        <w:t>me</w:t>
      </w:r>
      <w:r w:rsidRPr="00FE1FC9">
        <w:rPr>
          <w:b/>
          <w:bCs/>
          <w:sz w:val="32"/>
          <w:szCs w:val="32"/>
          <w:lang w:val="en"/>
        </w:rPr>
        <w:t xml:space="preserve"> this opportunity and let</w:t>
      </w:r>
      <w:r>
        <w:rPr>
          <w:b/>
          <w:bCs/>
          <w:sz w:val="32"/>
          <w:szCs w:val="32"/>
          <w:lang w:val="en"/>
        </w:rPr>
        <w:t>ting me</w:t>
      </w:r>
      <w:r w:rsidRPr="00FE1FC9">
        <w:rPr>
          <w:b/>
          <w:bCs/>
          <w:sz w:val="32"/>
          <w:szCs w:val="32"/>
          <w:lang w:val="en"/>
        </w:rPr>
        <w:t xml:space="preserve"> work under him. </w:t>
      </w:r>
      <w:r>
        <w:rPr>
          <w:b/>
          <w:bCs/>
          <w:sz w:val="32"/>
          <w:szCs w:val="32"/>
          <w:lang w:val="en"/>
        </w:rPr>
        <w:t>I</w:t>
      </w:r>
      <w:r w:rsidRPr="00FE1FC9">
        <w:rPr>
          <w:b/>
          <w:bCs/>
          <w:sz w:val="32"/>
          <w:szCs w:val="32"/>
          <w:lang w:val="en"/>
        </w:rPr>
        <w:t xml:space="preserve"> got a great learning experience by working on real data and analyzing it. </w:t>
      </w:r>
      <w:r>
        <w:rPr>
          <w:b/>
          <w:bCs/>
          <w:sz w:val="32"/>
          <w:szCs w:val="32"/>
          <w:lang w:val="en"/>
        </w:rPr>
        <w:t>I</w:t>
      </w:r>
      <w:r w:rsidRPr="00FE1FC9">
        <w:rPr>
          <w:b/>
          <w:bCs/>
          <w:sz w:val="32"/>
          <w:szCs w:val="32"/>
          <w:lang w:val="en"/>
        </w:rPr>
        <w:t xml:space="preserve"> would like to thank him for providing </w:t>
      </w:r>
      <w:r>
        <w:rPr>
          <w:b/>
          <w:bCs/>
          <w:sz w:val="32"/>
          <w:szCs w:val="32"/>
          <w:lang w:val="en"/>
        </w:rPr>
        <w:t>me</w:t>
      </w:r>
      <w:r w:rsidRPr="00FE1FC9">
        <w:rPr>
          <w:b/>
          <w:bCs/>
          <w:sz w:val="32"/>
          <w:szCs w:val="32"/>
          <w:lang w:val="en"/>
        </w:rPr>
        <w:t xml:space="preserve"> with such a wonderful opportunity to apply our course knowledge on real-life data and get hands-on experience.</w:t>
      </w:r>
    </w:p>
    <w:p w14:paraId="10E37EB4" w14:textId="77777777" w:rsidR="00FE1FC9" w:rsidRPr="00FE1FC9" w:rsidRDefault="00FE1FC9" w:rsidP="00FE1FC9">
      <w:pPr>
        <w:rPr>
          <w:b/>
          <w:bCs/>
          <w:sz w:val="32"/>
          <w:szCs w:val="32"/>
          <w:lang w:val="en"/>
        </w:rPr>
      </w:pPr>
    </w:p>
    <w:p w14:paraId="16763E13" w14:textId="77777777" w:rsidR="00FE1FC9" w:rsidRDefault="00FE1FC9" w:rsidP="00FE1FC9">
      <w:pPr>
        <w:rPr>
          <w:b/>
          <w:bCs/>
          <w:sz w:val="32"/>
          <w:szCs w:val="32"/>
        </w:rPr>
      </w:pPr>
    </w:p>
    <w:p w14:paraId="6794B269" w14:textId="77777777" w:rsidR="00092F29" w:rsidRDefault="00092F29">
      <w:pPr>
        <w:rPr>
          <w:b/>
          <w:bCs/>
          <w:sz w:val="32"/>
          <w:szCs w:val="32"/>
        </w:rPr>
      </w:pPr>
    </w:p>
    <w:p w14:paraId="212EFAEC" w14:textId="77777777" w:rsidR="00092F29" w:rsidRDefault="00092F29">
      <w:pPr>
        <w:rPr>
          <w:b/>
          <w:bCs/>
          <w:sz w:val="32"/>
          <w:szCs w:val="32"/>
        </w:rPr>
      </w:pPr>
    </w:p>
    <w:p w14:paraId="60ECDBA2" w14:textId="77777777" w:rsidR="00092F29" w:rsidRDefault="00092F29">
      <w:pPr>
        <w:rPr>
          <w:b/>
          <w:bCs/>
          <w:sz w:val="32"/>
          <w:szCs w:val="32"/>
        </w:rPr>
      </w:pPr>
    </w:p>
    <w:p w14:paraId="57BD22F4" w14:textId="77777777" w:rsidR="00092F29" w:rsidRDefault="00092F29">
      <w:pPr>
        <w:rPr>
          <w:b/>
          <w:bCs/>
          <w:sz w:val="32"/>
          <w:szCs w:val="32"/>
        </w:rPr>
      </w:pPr>
    </w:p>
    <w:p w14:paraId="374B5EA1" w14:textId="77777777" w:rsidR="00092F29" w:rsidRDefault="00092F29">
      <w:pPr>
        <w:rPr>
          <w:b/>
          <w:bCs/>
          <w:sz w:val="32"/>
          <w:szCs w:val="32"/>
        </w:rPr>
      </w:pPr>
    </w:p>
    <w:p w14:paraId="24E0CC12" w14:textId="77777777" w:rsidR="00092F29" w:rsidRDefault="00092F29">
      <w:pPr>
        <w:rPr>
          <w:b/>
          <w:bCs/>
          <w:sz w:val="32"/>
          <w:szCs w:val="32"/>
        </w:rPr>
      </w:pPr>
    </w:p>
    <w:p w14:paraId="591C1728" w14:textId="77777777" w:rsidR="00092F29" w:rsidRDefault="00092F29">
      <w:pPr>
        <w:rPr>
          <w:b/>
          <w:bCs/>
          <w:sz w:val="32"/>
          <w:szCs w:val="32"/>
        </w:rPr>
      </w:pPr>
    </w:p>
    <w:p w14:paraId="1C45BB94" w14:textId="77777777" w:rsidR="00092F29" w:rsidRDefault="00092F29">
      <w:pPr>
        <w:rPr>
          <w:b/>
          <w:bCs/>
          <w:sz w:val="32"/>
          <w:szCs w:val="32"/>
        </w:rPr>
      </w:pPr>
    </w:p>
    <w:p w14:paraId="5B187C9A" w14:textId="77777777" w:rsidR="00092F29" w:rsidRDefault="00092F29">
      <w:pPr>
        <w:rPr>
          <w:b/>
          <w:bCs/>
          <w:sz w:val="32"/>
          <w:szCs w:val="32"/>
        </w:rPr>
      </w:pPr>
    </w:p>
    <w:sdt>
      <w:sdtPr>
        <w:rPr>
          <w:rFonts w:asciiTheme="minorHAnsi" w:eastAsiaTheme="minorHAnsi" w:hAnsiTheme="minorHAnsi" w:cstheme="minorBidi"/>
          <w:color w:val="auto"/>
          <w:kern w:val="2"/>
          <w:sz w:val="22"/>
          <w:szCs w:val="22"/>
          <w:lang w:val="en-IN"/>
          <w14:ligatures w14:val="standardContextual"/>
        </w:rPr>
        <w:id w:val="549572915"/>
        <w:docPartObj>
          <w:docPartGallery w:val="Table of Contents"/>
          <w:docPartUnique/>
        </w:docPartObj>
      </w:sdtPr>
      <w:sdtContent>
        <w:p w14:paraId="51ACDD76" w14:textId="0901427F" w:rsidR="00F01DD2" w:rsidRPr="00AE129F" w:rsidRDefault="00F01DD2">
          <w:pPr>
            <w:pStyle w:val="TOCHeading"/>
            <w:rPr>
              <w:rFonts w:asciiTheme="minorHAnsi" w:hAnsiTheme="minorHAnsi" w:cstheme="minorHAnsi"/>
              <w:b/>
              <w:bCs/>
            </w:rPr>
          </w:pPr>
          <w:r w:rsidRPr="00AE129F">
            <w:rPr>
              <w:b/>
              <w:bCs/>
            </w:rPr>
            <w:t>Table of Contents</w:t>
          </w:r>
        </w:p>
        <w:p w14:paraId="288E0675" w14:textId="77777777" w:rsidR="00AE129F" w:rsidRDefault="00AE129F">
          <w:pPr>
            <w:pStyle w:val="TOC1"/>
            <w:rPr>
              <w:b/>
              <w:bCs/>
            </w:rPr>
          </w:pPr>
        </w:p>
        <w:p w14:paraId="218F6970" w14:textId="77777777" w:rsidR="00AE129F" w:rsidRDefault="00AE129F">
          <w:pPr>
            <w:pStyle w:val="TOC1"/>
            <w:rPr>
              <w:b/>
              <w:bCs/>
            </w:rPr>
          </w:pPr>
        </w:p>
        <w:p w14:paraId="6FB8E868" w14:textId="6B9A828E" w:rsidR="00F01DD2" w:rsidRDefault="00F01DD2">
          <w:pPr>
            <w:pStyle w:val="TOC1"/>
          </w:pPr>
          <w:r>
            <w:rPr>
              <w:b/>
              <w:bCs/>
            </w:rPr>
            <w:t>Part 1: Portfolio Construction, Descriptive Statistics, Returns</w:t>
          </w:r>
          <w:r>
            <w:ptab w:relativeTo="margin" w:alignment="right" w:leader="dot"/>
          </w:r>
          <w:r w:rsidR="00AE129F">
            <w:rPr>
              <w:b/>
              <w:bCs/>
            </w:rPr>
            <w:t>5</w:t>
          </w:r>
        </w:p>
        <w:p w14:paraId="23B8D73E" w14:textId="4CAB9BBF" w:rsidR="00F01DD2" w:rsidRDefault="00F01DD2">
          <w:pPr>
            <w:pStyle w:val="TOC2"/>
            <w:ind w:left="216"/>
          </w:pPr>
          <w:r>
            <w:t>Returns</w:t>
          </w:r>
          <w:r>
            <w:ptab w:relativeTo="margin" w:alignment="right" w:leader="dot"/>
          </w:r>
          <w:r w:rsidR="00AE129F">
            <w:t>5</w:t>
          </w:r>
        </w:p>
        <w:p w14:paraId="052629F0" w14:textId="2A39CB64" w:rsidR="00F01DD2" w:rsidRDefault="00F01DD2" w:rsidP="00F01DD2">
          <w:pPr>
            <w:pStyle w:val="TOC3"/>
            <w:ind w:left="0"/>
          </w:pPr>
          <w:r>
            <w:t xml:space="preserve">    Correlation Plots</w:t>
          </w:r>
          <w:r>
            <w:ptab w:relativeTo="margin" w:alignment="right" w:leader="dot"/>
          </w:r>
          <w:r w:rsidR="00AE129F">
            <w:t>6</w:t>
          </w:r>
        </w:p>
        <w:p w14:paraId="26C31AD9" w14:textId="77777777" w:rsidR="00F01DD2" w:rsidRDefault="00F01DD2">
          <w:pPr>
            <w:pStyle w:val="TOC1"/>
            <w:rPr>
              <w:b/>
              <w:bCs/>
            </w:rPr>
          </w:pPr>
        </w:p>
        <w:p w14:paraId="24238972" w14:textId="5A7BC397" w:rsidR="00F01DD2" w:rsidRDefault="00F01DD2">
          <w:pPr>
            <w:pStyle w:val="TOC1"/>
          </w:pPr>
          <w:r>
            <w:rPr>
              <w:b/>
              <w:bCs/>
            </w:rPr>
            <w:t>Part 2: Hedging Using Stock Futures</w:t>
          </w:r>
          <w:r>
            <w:ptab w:relativeTo="margin" w:alignment="right" w:leader="dot"/>
          </w:r>
          <w:r w:rsidR="00AE129F">
            <w:rPr>
              <w:b/>
              <w:bCs/>
            </w:rPr>
            <w:t>7</w:t>
          </w:r>
        </w:p>
        <w:p w14:paraId="025CA92B" w14:textId="2232EC5F" w:rsidR="00F01DD2" w:rsidRDefault="00F01DD2">
          <w:pPr>
            <w:pStyle w:val="TOC2"/>
            <w:ind w:left="216"/>
          </w:pPr>
          <w:r>
            <w:t xml:space="preserve"> Choice of Individual Futures</w:t>
          </w:r>
          <w:r>
            <w:ptab w:relativeTo="margin" w:alignment="right" w:leader="dot"/>
          </w:r>
          <w:r w:rsidR="00AE129F">
            <w:t>7</w:t>
          </w:r>
        </w:p>
        <w:p w14:paraId="2A440DA5" w14:textId="7E8C6273" w:rsidR="00F01DD2" w:rsidRDefault="00F01DD2" w:rsidP="00F01DD2">
          <w:pPr>
            <w:pStyle w:val="TOC3"/>
            <w:ind w:left="0"/>
          </w:pPr>
          <w:r>
            <w:t xml:space="preserve">     Calculating OHRs</w:t>
          </w:r>
          <w:r>
            <w:ptab w:relativeTo="margin" w:alignment="right" w:leader="dot"/>
          </w:r>
          <w:r w:rsidR="00AE129F">
            <w:t>8</w:t>
          </w:r>
        </w:p>
        <w:p w14:paraId="707775C3" w14:textId="129F379F" w:rsidR="00F01DD2" w:rsidRDefault="00F01DD2" w:rsidP="00F01DD2">
          <w:r>
            <w:rPr>
              <w:lang w:val="en-US"/>
            </w:rPr>
            <w:t xml:space="preserve">     </w:t>
          </w:r>
          <w:r>
            <w:t>Time-Frame Analysis</w:t>
          </w:r>
          <w:r>
            <w:ptab w:relativeTo="margin" w:alignment="right" w:leader="dot"/>
          </w:r>
          <w:r w:rsidR="00AE129F">
            <w:t>9</w:t>
          </w:r>
        </w:p>
        <w:p w14:paraId="4E44F275" w14:textId="305E7731" w:rsidR="00F01DD2" w:rsidRDefault="00F01DD2" w:rsidP="00F01DD2">
          <w:r>
            <w:t xml:space="preserve">     Hedging Strategy</w:t>
          </w:r>
          <w:r>
            <w:ptab w:relativeTo="margin" w:alignment="right" w:leader="dot"/>
          </w:r>
          <w:r w:rsidR="00AE129F">
            <w:t>10</w:t>
          </w:r>
        </w:p>
        <w:p w14:paraId="272B2B8C" w14:textId="77777777" w:rsidR="00F01DD2" w:rsidRDefault="00F01DD2" w:rsidP="00F01DD2">
          <w:pPr>
            <w:pStyle w:val="TOC1"/>
            <w:rPr>
              <w:b/>
              <w:bCs/>
            </w:rPr>
          </w:pPr>
        </w:p>
        <w:p w14:paraId="2B2D844A" w14:textId="6D376BE8" w:rsidR="00F01DD2" w:rsidRDefault="00F01DD2" w:rsidP="00F01DD2">
          <w:pPr>
            <w:pStyle w:val="TOC1"/>
            <w:rPr>
              <w:b/>
              <w:bCs/>
            </w:rPr>
          </w:pPr>
          <w:r>
            <w:rPr>
              <w:b/>
              <w:bCs/>
            </w:rPr>
            <w:t>Part 3: Hedging Using Stock Index Futures for the Entire Portfolio</w:t>
          </w:r>
          <w:r>
            <w:ptab w:relativeTo="margin" w:alignment="right" w:leader="dot"/>
          </w:r>
          <w:r w:rsidR="00AE129F">
            <w:rPr>
              <w:b/>
              <w:bCs/>
            </w:rPr>
            <w:t>12</w:t>
          </w:r>
        </w:p>
        <w:p w14:paraId="227E5867" w14:textId="48C01643" w:rsidR="00AE129F" w:rsidRDefault="00AE129F" w:rsidP="00AE129F">
          <w:r>
            <w:rPr>
              <w:lang w:val="en-US"/>
            </w:rPr>
            <w:t xml:space="preserve">     </w:t>
          </w:r>
          <w:r>
            <w:t xml:space="preserve"> Portfolio and Market Return and Analysis</w:t>
          </w:r>
          <w:r>
            <w:ptab w:relativeTo="margin" w:alignment="right" w:leader="dot"/>
          </w:r>
          <w:r>
            <w:t>12</w:t>
          </w:r>
        </w:p>
        <w:p w14:paraId="099A1200" w14:textId="0CF5FE2D" w:rsidR="00AE129F" w:rsidRDefault="00AE129F" w:rsidP="00AE129F">
          <w:r>
            <w:t xml:space="preserve">      Hedging Strategy</w:t>
          </w:r>
          <w:r>
            <w:ptab w:relativeTo="margin" w:alignment="right" w:leader="dot"/>
          </w:r>
          <w:r>
            <w:t>12</w:t>
          </w:r>
        </w:p>
        <w:p w14:paraId="4129282B" w14:textId="53B2755A" w:rsidR="00AE129F" w:rsidRDefault="00AE129F" w:rsidP="00AE129F">
          <w:r>
            <w:t xml:space="preserve">      Hedging Returns (Results)</w:t>
          </w:r>
          <w:r>
            <w:ptab w:relativeTo="margin" w:alignment="right" w:leader="dot"/>
          </w:r>
          <w:r>
            <w:t>13</w:t>
          </w:r>
        </w:p>
        <w:p w14:paraId="49CFED15" w14:textId="77777777" w:rsidR="00AE129F" w:rsidRDefault="00AE129F" w:rsidP="00AE129F"/>
        <w:p w14:paraId="4D497376" w14:textId="4D2F9776" w:rsidR="00AE129F" w:rsidRDefault="00AE129F" w:rsidP="00AE129F">
          <w:pPr>
            <w:pStyle w:val="TOC1"/>
            <w:rPr>
              <w:b/>
              <w:bCs/>
            </w:rPr>
          </w:pPr>
          <w:r>
            <w:rPr>
              <w:b/>
              <w:bCs/>
            </w:rPr>
            <w:t>Part 4: Conclusion</w:t>
          </w:r>
          <w:r>
            <w:ptab w:relativeTo="margin" w:alignment="right" w:leader="dot"/>
          </w:r>
          <w:r>
            <w:rPr>
              <w:b/>
              <w:bCs/>
            </w:rPr>
            <w:t>14</w:t>
          </w:r>
        </w:p>
        <w:p w14:paraId="1C0D8239" w14:textId="77777777" w:rsidR="00AE129F" w:rsidRPr="00AE129F" w:rsidRDefault="00AE129F" w:rsidP="00AE129F">
          <w:pPr>
            <w:rPr>
              <w:lang w:val="en-US"/>
            </w:rPr>
          </w:pPr>
        </w:p>
        <w:p w14:paraId="1298D01E" w14:textId="77777777" w:rsidR="00F01DD2" w:rsidRPr="00F01DD2" w:rsidRDefault="00F01DD2" w:rsidP="00F01DD2">
          <w:pPr>
            <w:rPr>
              <w:lang w:val="en-US"/>
            </w:rPr>
          </w:pPr>
        </w:p>
        <w:p w14:paraId="72CC8594" w14:textId="77777777" w:rsidR="00F01DD2" w:rsidRPr="00F01DD2" w:rsidRDefault="00F01DD2" w:rsidP="00F01DD2">
          <w:pPr>
            <w:rPr>
              <w:lang w:val="en-US"/>
            </w:rPr>
          </w:pPr>
        </w:p>
        <w:p w14:paraId="37D2866D" w14:textId="2CAE0008" w:rsidR="00F01DD2" w:rsidRPr="00F01DD2" w:rsidRDefault="00000000" w:rsidP="00F01DD2">
          <w:pPr>
            <w:rPr>
              <w:lang w:val="en-US"/>
            </w:rPr>
          </w:pPr>
        </w:p>
      </w:sdtContent>
    </w:sdt>
    <w:p w14:paraId="6CCC076D" w14:textId="77777777" w:rsidR="00092F29" w:rsidRDefault="00092F29">
      <w:pPr>
        <w:rPr>
          <w:b/>
          <w:bCs/>
          <w:sz w:val="32"/>
          <w:szCs w:val="32"/>
        </w:rPr>
      </w:pPr>
    </w:p>
    <w:p w14:paraId="14F3740D" w14:textId="77777777" w:rsidR="00092F29" w:rsidRDefault="00092F29">
      <w:pPr>
        <w:rPr>
          <w:b/>
          <w:bCs/>
          <w:sz w:val="32"/>
          <w:szCs w:val="32"/>
        </w:rPr>
      </w:pPr>
    </w:p>
    <w:p w14:paraId="6DE0E6E8" w14:textId="77777777" w:rsidR="00F01DD2" w:rsidRDefault="00F01DD2">
      <w:pPr>
        <w:rPr>
          <w:b/>
          <w:bCs/>
          <w:sz w:val="32"/>
          <w:szCs w:val="32"/>
        </w:rPr>
      </w:pPr>
    </w:p>
    <w:p w14:paraId="7A02E73D" w14:textId="77777777" w:rsidR="00F01DD2" w:rsidRDefault="00F01DD2">
      <w:pPr>
        <w:rPr>
          <w:b/>
          <w:bCs/>
          <w:sz w:val="32"/>
          <w:szCs w:val="32"/>
        </w:rPr>
      </w:pPr>
    </w:p>
    <w:p w14:paraId="04F158E1" w14:textId="77777777" w:rsidR="00F01DD2" w:rsidRDefault="00F01DD2">
      <w:pPr>
        <w:rPr>
          <w:b/>
          <w:bCs/>
          <w:sz w:val="32"/>
          <w:szCs w:val="32"/>
        </w:rPr>
      </w:pPr>
    </w:p>
    <w:p w14:paraId="15B1AD82" w14:textId="77777777" w:rsidR="00F01DD2" w:rsidRDefault="00F01DD2">
      <w:pPr>
        <w:rPr>
          <w:b/>
          <w:bCs/>
          <w:sz w:val="32"/>
          <w:szCs w:val="32"/>
        </w:rPr>
      </w:pPr>
    </w:p>
    <w:p w14:paraId="08D188EE" w14:textId="77777777" w:rsidR="00F01DD2" w:rsidRDefault="00F01DD2">
      <w:pPr>
        <w:rPr>
          <w:b/>
          <w:bCs/>
          <w:sz w:val="32"/>
          <w:szCs w:val="32"/>
        </w:rPr>
      </w:pPr>
    </w:p>
    <w:p w14:paraId="425958E2" w14:textId="77777777" w:rsidR="00F01DD2" w:rsidRDefault="00F01DD2">
      <w:pPr>
        <w:rPr>
          <w:b/>
          <w:bCs/>
          <w:sz w:val="32"/>
          <w:szCs w:val="32"/>
        </w:rPr>
      </w:pPr>
    </w:p>
    <w:p w14:paraId="7FE23F5B" w14:textId="77777777" w:rsidR="00AE129F" w:rsidRDefault="00AE129F">
      <w:pPr>
        <w:rPr>
          <w:b/>
          <w:bCs/>
          <w:sz w:val="32"/>
          <w:szCs w:val="32"/>
        </w:rPr>
      </w:pPr>
    </w:p>
    <w:p w14:paraId="03D488A0" w14:textId="18E76389" w:rsidR="00A12263" w:rsidRPr="00C0090D" w:rsidRDefault="00A12263">
      <w:pPr>
        <w:rPr>
          <w:b/>
          <w:bCs/>
          <w:sz w:val="32"/>
          <w:szCs w:val="32"/>
        </w:rPr>
      </w:pPr>
      <w:r w:rsidRPr="00C0090D">
        <w:rPr>
          <w:b/>
          <w:bCs/>
          <w:sz w:val="32"/>
          <w:szCs w:val="32"/>
        </w:rPr>
        <w:t>Part 1: Portfolio Construction, Descriptive Statistics, Returns</w:t>
      </w:r>
    </w:p>
    <w:p w14:paraId="3FD2AFDB" w14:textId="48E1BE61" w:rsidR="00A86B35" w:rsidRPr="00C0090D" w:rsidRDefault="00A86B35">
      <w:pPr>
        <w:rPr>
          <w:b/>
          <w:bCs/>
          <w:sz w:val="24"/>
          <w:szCs w:val="24"/>
        </w:rPr>
      </w:pPr>
      <w:r w:rsidRPr="00C0090D">
        <w:rPr>
          <w:b/>
          <w:bCs/>
          <w:sz w:val="24"/>
          <w:szCs w:val="24"/>
        </w:rPr>
        <w:t>Portfolio Ov</w:t>
      </w:r>
      <w:r w:rsidR="00C0090D" w:rsidRPr="00C0090D">
        <w:rPr>
          <w:b/>
          <w:bCs/>
          <w:sz w:val="24"/>
          <w:szCs w:val="24"/>
        </w:rPr>
        <w:t>e</w:t>
      </w:r>
      <w:r w:rsidRPr="00C0090D">
        <w:rPr>
          <w:b/>
          <w:bCs/>
          <w:sz w:val="24"/>
          <w:szCs w:val="24"/>
        </w:rPr>
        <w:t>rview –</w:t>
      </w:r>
    </w:p>
    <w:tbl>
      <w:tblPr>
        <w:tblStyle w:val="TableGrid"/>
        <w:tblW w:w="0" w:type="auto"/>
        <w:tblLook w:val="04A0" w:firstRow="1" w:lastRow="0" w:firstColumn="1" w:lastColumn="0" w:noHBand="0" w:noVBand="1"/>
      </w:tblPr>
      <w:tblGrid>
        <w:gridCol w:w="1803"/>
        <w:gridCol w:w="1803"/>
        <w:gridCol w:w="1803"/>
        <w:gridCol w:w="1803"/>
        <w:gridCol w:w="1804"/>
      </w:tblGrid>
      <w:tr w:rsidR="00485107" w14:paraId="077E8BE6" w14:textId="77777777" w:rsidTr="00485107">
        <w:tc>
          <w:tcPr>
            <w:tcW w:w="1803" w:type="dxa"/>
          </w:tcPr>
          <w:p w14:paraId="2D481797" w14:textId="39BFACB7" w:rsidR="00485107" w:rsidRDefault="00485107">
            <w:r>
              <w:t>Company</w:t>
            </w:r>
          </w:p>
        </w:tc>
        <w:tc>
          <w:tcPr>
            <w:tcW w:w="1803" w:type="dxa"/>
          </w:tcPr>
          <w:p w14:paraId="41BDDA57" w14:textId="3C43DF6B" w:rsidR="00485107" w:rsidRDefault="00485107">
            <w:r>
              <w:t>Weight</w:t>
            </w:r>
          </w:p>
        </w:tc>
        <w:tc>
          <w:tcPr>
            <w:tcW w:w="1803" w:type="dxa"/>
          </w:tcPr>
          <w:p w14:paraId="2B6E1752" w14:textId="17EBEE1A" w:rsidR="00485107" w:rsidRDefault="00485107">
            <w:r>
              <w:t>Investment Amount</w:t>
            </w:r>
          </w:p>
        </w:tc>
        <w:tc>
          <w:tcPr>
            <w:tcW w:w="1803" w:type="dxa"/>
          </w:tcPr>
          <w:p w14:paraId="398164DA" w14:textId="19E96CBE" w:rsidR="00485107" w:rsidRDefault="00485107">
            <w:r>
              <w:t>Company Sector</w:t>
            </w:r>
          </w:p>
        </w:tc>
        <w:tc>
          <w:tcPr>
            <w:tcW w:w="1804" w:type="dxa"/>
          </w:tcPr>
          <w:p w14:paraId="3406E4A6" w14:textId="2FE32872" w:rsidR="00485107" w:rsidRDefault="00485107">
            <w:r>
              <w:t>Market Capitalization</w:t>
            </w:r>
          </w:p>
        </w:tc>
      </w:tr>
      <w:tr w:rsidR="00485107" w14:paraId="252F4171" w14:textId="77777777" w:rsidTr="00485107">
        <w:tc>
          <w:tcPr>
            <w:tcW w:w="1803" w:type="dxa"/>
          </w:tcPr>
          <w:p w14:paraId="1CC9B6FF" w14:textId="3920A4C1" w:rsidR="00485107" w:rsidRDefault="00485107">
            <w:r>
              <w:t>IDBI</w:t>
            </w:r>
          </w:p>
        </w:tc>
        <w:tc>
          <w:tcPr>
            <w:tcW w:w="1803" w:type="dxa"/>
          </w:tcPr>
          <w:p w14:paraId="017E1035" w14:textId="07678324" w:rsidR="00485107" w:rsidRDefault="00485107">
            <w:r>
              <w:t>0.2</w:t>
            </w:r>
          </w:p>
        </w:tc>
        <w:tc>
          <w:tcPr>
            <w:tcW w:w="1803" w:type="dxa"/>
          </w:tcPr>
          <w:p w14:paraId="5C40843D" w14:textId="00A4F5B3" w:rsidR="00485107" w:rsidRDefault="00485107">
            <w:r>
              <w:t>20,000,000</w:t>
            </w:r>
          </w:p>
        </w:tc>
        <w:tc>
          <w:tcPr>
            <w:tcW w:w="1803" w:type="dxa"/>
          </w:tcPr>
          <w:p w14:paraId="321E00D6" w14:textId="42EC861C" w:rsidR="00485107" w:rsidRDefault="006377C1">
            <w:r>
              <w:t>Banking</w:t>
            </w:r>
          </w:p>
        </w:tc>
        <w:tc>
          <w:tcPr>
            <w:tcW w:w="1804" w:type="dxa"/>
          </w:tcPr>
          <w:p w14:paraId="4412ED88" w14:textId="78AAABF5" w:rsidR="00485107" w:rsidRDefault="006377C1">
            <w:r>
              <w:t>827.40 billion INR</w:t>
            </w:r>
          </w:p>
        </w:tc>
      </w:tr>
      <w:tr w:rsidR="00485107" w14:paraId="7B8E7584" w14:textId="77777777" w:rsidTr="00485107">
        <w:tc>
          <w:tcPr>
            <w:tcW w:w="1803" w:type="dxa"/>
          </w:tcPr>
          <w:p w14:paraId="20EE4706" w14:textId="65237146" w:rsidR="00485107" w:rsidRDefault="00485107">
            <w:r>
              <w:t>ENDURANCE</w:t>
            </w:r>
          </w:p>
        </w:tc>
        <w:tc>
          <w:tcPr>
            <w:tcW w:w="1803" w:type="dxa"/>
          </w:tcPr>
          <w:p w14:paraId="702762C8" w14:textId="1D01979B" w:rsidR="00485107" w:rsidRDefault="00485107">
            <w:r>
              <w:t>0.3</w:t>
            </w:r>
          </w:p>
        </w:tc>
        <w:tc>
          <w:tcPr>
            <w:tcW w:w="1803" w:type="dxa"/>
          </w:tcPr>
          <w:p w14:paraId="320575F0" w14:textId="47B2FB09" w:rsidR="00485107" w:rsidRDefault="00485107">
            <w:r>
              <w:t>30,000,000</w:t>
            </w:r>
          </w:p>
        </w:tc>
        <w:tc>
          <w:tcPr>
            <w:tcW w:w="1803" w:type="dxa"/>
          </w:tcPr>
          <w:p w14:paraId="168A4597" w14:textId="3E1EAD44" w:rsidR="00485107" w:rsidRDefault="006377C1">
            <w:r>
              <w:t>Automobiles</w:t>
            </w:r>
          </w:p>
        </w:tc>
        <w:tc>
          <w:tcPr>
            <w:tcW w:w="1804" w:type="dxa"/>
          </w:tcPr>
          <w:p w14:paraId="519C7DAF" w14:textId="03459FBF" w:rsidR="00485107" w:rsidRDefault="006377C1">
            <w:r>
              <w:t>334.78 billion INR</w:t>
            </w:r>
          </w:p>
        </w:tc>
      </w:tr>
      <w:tr w:rsidR="00485107" w14:paraId="6EB1EF20" w14:textId="77777777" w:rsidTr="00485107">
        <w:tc>
          <w:tcPr>
            <w:tcW w:w="1803" w:type="dxa"/>
          </w:tcPr>
          <w:p w14:paraId="233F4C14" w14:textId="575C1760" w:rsidR="00485107" w:rsidRDefault="00485107">
            <w:r>
              <w:t>SRF</w:t>
            </w:r>
          </w:p>
        </w:tc>
        <w:tc>
          <w:tcPr>
            <w:tcW w:w="1803" w:type="dxa"/>
          </w:tcPr>
          <w:p w14:paraId="4E56704F" w14:textId="6C9151D2" w:rsidR="00485107" w:rsidRDefault="00485107">
            <w:r>
              <w:t>0.1</w:t>
            </w:r>
          </w:p>
        </w:tc>
        <w:tc>
          <w:tcPr>
            <w:tcW w:w="1803" w:type="dxa"/>
          </w:tcPr>
          <w:p w14:paraId="651F66C1" w14:textId="7FF62082" w:rsidR="00485107" w:rsidRDefault="00485107">
            <w:r>
              <w:t>10,000,000</w:t>
            </w:r>
          </w:p>
        </w:tc>
        <w:tc>
          <w:tcPr>
            <w:tcW w:w="1803" w:type="dxa"/>
          </w:tcPr>
          <w:p w14:paraId="00B5F513" w14:textId="4DBFBBEB" w:rsidR="00485107" w:rsidRDefault="006377C1">
            <w:r>
              <w:t>Chemicals</w:t>
            </w:r>
          </w:p>
        </w:tc>
        <w:tc>
          <w:tcPr>
            <w:tcW w:w="1804" w:type="dxa"/>
          </w:tcPr>
          <w:p w14:paraId="5F879026" w14:textId="2DC9B988" w:rsidR="006377C1" w:rsidRDefault="006377C1">
            <w:r>
              <w:t>662.57 billion INR</w:t>
            </w:r>
          </w:p>
        </w:tc>
      </w:tr>
      <w:tr w:rsidR="00485107" w14:paraId="63356784" w14:textId="77777777" w:rsidTr="00485107">
        <w:tc>
          <w:tcPr>
            <w:tcW w:w="1803" w:type="dxa"/>
          </w:tcPr>
          <w:p w14:paraId="3B2F8474" w14:textId="582471C2" w:rsidR="00485107" w:rsidRDefault="00485107">
            <w:r>
              <w:t>EXIDE</w:t>
            </w:r>
          </w:p>
        </w:tc>
        <w:tc>
          <w:tcPr>
            <w:tcW w:w="1803" w:type="dxa"/>
          </w:tcPr>
          <w:p w14:paraId="28F92A49" w14:textId="2A98B860" w:rsidR="00485107" w:rsidRDefault="00485107">
            <w:r>
              <w:t>0.4</w:t>
            </w:r>
          </w:p>
        </w:tc>
        <w:tc>
          <w:tcPr>
            <w:tcW w:w="1803" w:type="dxa"/>
          </w:tcPr>
          <w:p w14:paraId="79D80BAE" w14:textId="5100B02C" w:rsidR="00485107" w:rsidRDefault="00485107">
            <w:r>
              <w:t>40,000,000</w:t>
            </w:r>
          </w:p>
        </w:tc>
        <w:tc>
          <w:tcPr>
            <w:tcW w:w="1803" w:type="dxa"/>
          </w:tcPr>
          <w:p w14:paraId="70451841" w14:textId="379D60B6" w:rsidR="00485107" w:rsidRDefault="006377C1">
            <w:r>
              <w:t>Battery Manufacturing</w:t>
            </w:r>
          </w:p>
        </w:tc>
        <w:tc>
          <w:tcPr>
            <w:tcW w:w="1804" w:type="dxa"/>
          </w:tcPr>
          <w:p w14:paraId="25C0742B" w14:textId="34B97ACF" w:rsidR="00485107" w:rsidRDefault="006377C1">
            <w:r>
              <w:t>355.51 billion INR</w:t>
            </w:r>
          </w:p>
        </w:tc>
      </w:tr>
    </w:tbl>
    <w:p w14:paraId="6ABAB1FA" w14:textId="77777777" w:rsidR="002D1E56" w:rsidRDefault="002D1E56"/>
    <w:p w14:paraId="103AF0E4" w14:textId="77777777" w:rsidR="0031742F" w:rsidRDefault="0031742F">
      <w:r>
        <w:t>Our portfolio comprises of four companies which are all in different industries, each of them having a market cap of at least 300 billion INR. This allows the portfolio holder to diversify their risk as an economical to a particular industry would not adversely affect our portfolio. We have taken the size of our portfolio to 100 million INR.</w:t>
      </w:r>
    </w:p>
    <w:p w14:paraId="27038DBD" w14:textId="35B1D0BF" w:rsidR="006377C1" w:rsidRDefault="0031742F">
      <w:r>
        <w:t xml:space="preserve"> We have given weight to the stocks in accordance to their past performance. Exide Industries should the most consistent growth in stock price over the past two years and hence has been given the highest weightage. On the other hand, SRF limited has had highly fluctuating </w:t>
      </w:r>
      <w:r w:rsidR="00EF31F6">
        <w:t>stock price</w:t>
      </w:r>
      <w:r>
        <w:t xml:space="preserve"> in this time frame and hence has been given the lowest weightage. These trends are clearer and more evident from the graphs provided below.</w:t>
      </w:r>
    </w:p>
    <w:p w14:paraId="0BCE7E70" w14:textId="77777777" w:rsidR="00A86B35" w:rsidRDefault="00A86B35"/>
    <w:p w14:paraId="0D9A8AFB" w14:textId="7ED9FD66" w:rsidR="00A86B35" w:rsidRPr="00C0090D" w:rsidRDefault="00A86B35">
      <w:pPr>
        <w:rPr>
          <w:b/>
          <w:bCs/>
          <w:sz w:val="24"/>
          <w:szCs w:val="24"/>
        </w:rPr>
      </w:pPr>
      <w:r w:rsidRPr="00C0090D">
        <w:rPr>
          <w:b/>
          <w:bCs/>
          <w:sz w:val="24"/>
          <w:szCs w:val="24"/>
        </w:rPr>
        <w:t xml:space="preserve">Returns </w:t>
      </w:r>
      <w:r w:rsidR="00EF31F6" w:rsidRPr="00C0090D">
        <w:rPr>
          <w:b/>
          <w:bCs/>
          <w:sz w:val="24"/>
          <w:szCs w:val="24"/>
        </w:rPr>
        <w:t>–</w:t>
      </w:r>
      <w:r w:rsidRPr="00C0090D">
        <w:rPr>
          <w:b/>
          <w:bCs/>
          <w:sz w:val="24"/>
          <w:szCs w:val="24"/>
        </w:rPr>
        <w:t xml:space="preserve"> </w:t>
      </w:r>
    </w:p>
    <w:p w14:paraId="5873F602" w14:textId="3C56BF07" w:rsidR="00EF31F6" w:rsidRDefault="003350F9">
      <w:r w:rsidRPr="00EF31F6">
        <w:rPr>
          <w:noProof/>
        </w:rPr>
        <w:drawing>
          <wp:anchor distT="0" distB="0" distL="114300" distR="114300" simplePos="0" relativeHeight="251658240" behindDoc="1" locked="0" layoutInCell="1" allowOverlap="1" wp14:anchorId="025AE5DC" wp14:editId="66EB3719">
            <wp:simplePos x="0" y="0"/>
            <wp:positionH relativeFrom="margin">
              <wp:align>left</wp:align>
            </wp:positionH>
            <wp:positionV relativeFrom="paragraph">
              <wp:posOffset>5549</wp:posOffset>
            </wp:positionV>
            <wp:extent cx="4349363" cy="2792439"/>
            <wp:effectExtent l="0" t="0" r="0" b="8255"/>
            <wp:wrapTight wrapText="bothSides">
              <wp:wrapPolygon edited="0">
                <wp:start x="0" y="0"/>
                <wp:lineTo x="0" y="21516"/>
                <wp:lineTo x="21477" y="21516"/>
                <wp:lineTo x="21477" y="0"/>
                <wp:lineTo x="0" y="0"/>
              </wp:wrapPolygon>
            </wp:wrapTight>
            <wp:docPr id="1917750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750931" name=""/>
                    <pic:cNvPicPr/>
                  </pic:nvPicPr>
                  <pic:blipFill>
                    <a:blip r:embed="rId8">
                      <a:extLst>
                        <a:ext uri="{28A0092B-C50C-407E-A947-70E740481C1C}">
                          <a14:useLocalDpi xmlns:a14="http://schemas.microsoft.com/office/drawing/2010/main" val="0"/>
                        </a:ext>
                      </a:extLst>
                    </a:blip>
                    <a:stretch>
                      <a:fillRect/>
                    </a:stretch>
                  </pic:blipFill>
                  <pic:spPr>
                    <a:xfrm>
                      <a:off x="0" y="0"/>
                      <a:ext cx="4349363" cy="2792439"/>
                    </a:xfrm>
                    <a:prstGeom prst="rect">
                      <a:avLst/>
                    </a:prstGeom>
                  </pic:spPr>
                </pic:pic>
              </a:graphicData>
            </a:graphic>
          </wp:anchor>
        </w:drawing>
      </w:r>
    </w:p>
    <w:p w14:paraId="7F6F0B41" w14:textId="1AA4B8EB" w:rsidR="00EF31F6" w:rsidRDefault="00EF31F6"/>
    <w:p w14:paraId="68BF977F" w14:textId="77777777" w:rsidR="003350F9" w:rsidRDefault="003350F9"/>
    <w:p w14:paraId="56759463" w14:textId="77777777" w:rsidR="003350F9" w:rsidRDefault="003350F9"/>
    <w:p w14:paraId="2D0B9489" w14:textId="77777777" w:rsidR="003350F9" w:rsidRDefault="003350F9"/>
    <w:p w14:paraId="3E428329" w14:textId="77777777" w:rsidR="003350F9" w:rsidRDefault="003350F9"/>
    <w:p w14:paraId="7954C5C3" w14:textId="77777777" w:rsidR="003350F9" w:rsidRDefault="003350F9"/>
    <w:p w14:paraId="13170B85" w14:textId="77777777" w:rsidR="003350F9" w:rsidRDefault="003350F9"/>
    <w:p w14:paraId="052AA604" w14:textId="77777777" w:rsidR="003350F9" w:rsidRDefault="003350F9"/>
    <w:p w14:paraId="4ABC8C23" w14:textId="77777777" w:rsidR="003350F9" w:rsidRDefault="003350F9"/>
    <w:p w14:paraId="75268334" w14:textId="77777777" w:rsidR="003350F9" w:rsidRDefault="003350F9"/>
    <w:p w14:paraId="2E4C891F" w14:textId="5B10E871" w:rsidR="003350F9" w:rsidRDefault="003350F9">
      <w:r>
        <w:lastRenderedPageBreak/>
        <w:t>The above graph shows the closing prices of our stocks over a two-year span. We can see that Endurance and Exide show a constant growth throughout this period; hence we chose to give them the highest weightage in our portfolio. On the other hand, SRF’s stock value has been continuously fluctuating and almost has a seasonal quality to it. Due to the risk associated with this stock, we gave it the lowest weightage.</w:t>
      </w:r>
    </w:p>
    <w:p w14:paraId="76BD73FB" w14:textId="77777777" w:rsidR="007941B5" w:rsidRDefault="007941B5"/>
    <w:p w14:paraId="77A2048A" w14:textId="5C3DFD28" w:rsidR="00EF31F6" w:rsidRDefault="00EF31F6">
      <w:r w:rsidRPr="00EF31F6">
        <w:rPr>
          <w:noProof/>
        </w:rPr>
        <w:drawing>
          <wp:inline distT="0" distB="0" distL="0" distR="0" wp14:anchorId="5079C029" wp14:editId="4B37EF30">
            <wp:extent cx="4301656" cy="2940529"/>
            <wp:effectExtent l="0" t="0" r="3810" b="0"/>
            <wp:docPr id="355893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893375" name=""/>
                    <pic:cNvPicPr/>
                  </pic:nvPicPr>
                  <pic:blipFill>
                    <a:blip r:embed="rId9"/>
                    <a:stretch>
                      <a:fillRect/>
                    </a:stretch>
                  </pic:blipFill>
                  <pic:spPr>
                    <a:xfrm>
                      <a:off x="0" y="0"/>
                      <a:ext cx="4316091" cy="2950397"/>
                    </a:xfrm>
                    <a:prstGeom prst="rect">
                      <a:avLst/>
                    </a:prstGeom>
                  </pic:spPr>
                </pic:pic>
              </a:graphicData>
            </a:graphic>
          </wp:inline>
        </w:drawing>
      </w:r>
    </w:p>
    <w:p w14:paraId="31D3FB89" w14:textId="0125C39E" w:rsidR="007941B5" w:rsidRDefault="007941B5">
      <w:r>
        <w:t>This graph shows us the monthly returns of portfolio along side with returns of from the NIFTY 50 index. We can see that for most of the graph, there is a significant correlation between the returns of the two. This shows that our portfolio tends to give us good returns whenever the general market is doing well. We can take the help of correlation plots to see a more objective relation between the index and our portfolio.</w:t>
      </w:r>
    </w:p>
    <w:p w14:paraId="41B168A9" w14:textId="77777777" w:rsidR="00AE129F" w:rsidRDefault="00AE129F"/>
    <w:p w14:paraId="4A80BBC7" w14:textId="77777777" w:rsidR="00AE129F" w:rsidRDefault="00AE129F"/>
    <w:p w14:paraId="351D0EE5" w14:textId="77777777" w:rsidR="00AE129F" w:rsidRDefault="00AE129F"/>
    <w:p w14:paraId="1303B53D" w14:textId="77777777" w:rsidR="00AE129F" w:rsidRDefault="00AE129F"/>
    <w:p w14:paraId="675A21EF" w14:textId="77777777" w:rsidR="00AE129F" w:rsidRDefault="00AE129F"/>
    <w:p w14:paraId="078F4FA3" w14:textId="77777777" w:rsidR="00AE129F" w:rsidRDefault="00AE129F"/>
    <w:p w14:paraId="26DD4EC1" w14:textId="77777777" w:rsidR="00AE129F" w:rsidRDefault="00AE129F"/>
    <w:p w14:paraId="3FBE6D52" w14:textId="77777777" w:rsidR="00AE129F" w:rsidRDefault="00AE129F"/>
    <w:p w14:paraId="237E0949" w14:textId="77777777" w:rsidR="00AE129F" w:rsidRDefault="00AE129F"/>
    <w:p w14:paraId="17E2C14F" w14:textId="77777777" w:rsidR="00AE129F" w:rsidRDefault="00AE129F"/>
    <w:p w14:paraId="4308581A" w14:textId="77777777" w:rsidR="00AE129F" w:rsidRDefault="00AE129F"/>
    <w:p w14:paraId="5EF53E39" w14:textId="77777777" w:rsidR="00AE129F" w:rsidRDefault="00AE129F"/>
    <w:p w14:paraId="3DBB4FD5" w14:textId="3228B6B0" w:rsidR="00A12263" w:rsidRPr="00C0090D" w:rsidRDefault="00A12263">
      <w:pPr>
        <w:rPr>
          <w:b/>
          <w:bCs/>
          <w:sz w:val="24"/>
          <w:szCs w:val="24"/>
        </w:rPr>
      </w:pPr>
      <w:r w:rsidRPr="00C0090D">
        <w:rPr>
          <w:b/>
          <w:bCs/>
          <w:sz w:val="24"/>
          <w:szCs w:val="24"/>
        </w:rPr>
        <w:lastRenderedPageBreak/>
        <w:t>Correlation Plots -</w:t>
      </w:r>
    </w:p>
    <w:p w14:paraId="69F699E1" w14:textId="7F1BAD50" w:rsidR="00FA503A" w:rsidRDefault="00FA503A">
      <w:r w:rsidRPr="00FA503A">
        <w:rPr>
          <w:noProof/>
        </w:rPr>
        <w:drawing>
          <wp:anchor distT="0" distB="0" distL="114300" distR="114300" simplePos="0" relativeHeight="251659264" behindDoc="1" locked="0" layoutInCell="1" allowOverlap="1" wp14:anchorId="71C793D4" wp14:editId="53C18935">
            <wp:simplePos x="0" y="0"/>
            <wp:positionH relativeFrom="margin">
              <wp:align>left</wp:align>
            </wp:positionH>
            <wp:positionV relativeFrom="paragraph">
              <wp:posOffset>13003</wp:posOffset>
            </wp:positionV>
            <wp:extent cx="3888105" cy="3453130"/>
            <wp:effectExtent l="0" t="0" r="0" b="0"/>
            <wp:wrapTight wrapText="bothSides">
              <wp:wrapPolygon edited="0">
                <wp:start x="0" y="0"/>
                <wp:lineTo x="0" y="21449"/>
                <wp:lineTo x="21484" y="21449"/>
                <wp:lineTo x="21484" y="0"/>
                <wp:lineTo x="0" y="0"/>
              </wp:wrapPolygon>
            </wp:wrapTight>
            <wp:docPr id="520801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01555" name=""/>
                    <pic:cNvPicPr/>
                  </pic:nvPicPr>
                  <pic:blipFill>
                    <a:blip r:embed="rId10">
                      <a:extLst>
                        <a:ext uri="{28A0092B-C50C-407E-A947-70E740481C1C}">
                          <a14:useLocalDpi xmlns:a14="http://schemas.microsoft.com/office/drawing/2010/main" val="0"/>
                        </a:ext>
                      </a:extLst>
                    </a:blip>
                    <a:stretch>
                      <a:fillRect/>
                    </a:stretch>
                  </pic:blipFill>
                  <pic:spPr>
                    <a:xfrm>
                      <a:off x="0" y="0"/>
                      <a:ext cx="3904989" cy="3468678"/>
                    </a:xfrm>
                    <a:prstGeom prst="rect">
                      <a:avLst/>
                    </a:prstGeom>
                  </pic:spPr>
                </pic:pic>
              </a:graphicData>
            </a:graphic>
            <wp14:sizeRelH relativeFrom="margin">
              <wp14:pctWidth>0</wp14:pctWidth>
            </wp14:sizeRelH>
            <wp14:sizeRelV relativeFrom="margin">
              <wp14:pctHeight>0</wp14:pctHeight>
            </wp14:sizeRelV>
          </wp:anchor>
        </w:drawing>
      </w:r>
    </w:p>
    <w:p w14:paraId="4F62D3B3" w14:textId="3B4956C0" w:rsidR="00FA503A" w:rsidRDefault="00FA503A"/>
    <w:p w14:paraId="1701F4D8" w14:textId="77777777" w:rsidR="00FA503A" w:rsidRDefault="00FA503A"/>
    <w:p w14:paraId="5A70DE95" w14:textId="77777777" w:rsidR="00AE129F" w:rsidRDefault="00AE129F"/>
    <w:p w14:paraId="282BA2C4" w14:textId="77777777" w:rsidR="00AE129F" w:rsidRDefault="00AE129F"/>
    <w:p w14:paraId="5CA61F71" w14:textId="77777777" w:rsidR="00AE129F" w:rsidRDefault="00AE129F"/>
    <w:p w14:paraId="68A55199" w14:textId="77777777" w:rsidR="00AE129F" w:rsidRDefault="00AE129F"/>
    <w:p w14:paraId="6D53D87D" w14:textId="77777777" w:rsidR="00AE129F" w:rsidRDefault="00AE129F"/>
    <w:p w14:paraId="0EDCB541" w14:textId="77777777" w:rsidR="00AE129F" w:rsidRDefault="00AE129F"/>
    <w:p w14:paraId="6EEB4DE5" w14:textId="77777777" w:rsidR="00AE129F" w:rsidRDefault="00AE129F"/>
    <w:p w14:paraId="423B7E67" w14:textId="77777777" w:rsidR="00AE129F" w:rsidRDefault="00AE129F"/>
    <w:p w14:paraId="15624EFD" w14:textId="77777777" w:rsidR="00AE129F" w:rsidRDefault="00AE129F"/>
    <w:p w14:paraId="11079DD4" w14:textId="77777777" w:rsidR="00AE129F" w:rsidRDefault="00AE129F"/>
    <w:p w14:paraId="15F6F7DD" w14:textId="777CFD20" w:rsidR="00FA503A" w:rsidRDefault="00FA503A">
      <w:r>
        <w:t xml:space="preserve">This graph shows the </w:t>
      </w:r>
      <w:r w:rsidR="00505BEB">
        <w:t xml:space="preserve">correlation between the daily returns of each stock with each other, as well as their correlation with the overall portfolio and the NIFTY 50 Index. We can see that all the stock returns have a positive correlation with the returns from </w:t>
      </w:r>
      <w:r w:rsidR="001208D5">
        <w:t>the NIFTY</w:t>
      </w:r>
      <w:r w:rsidR="00505BEB">
        <w:t xml:space="preserve"> index and our portfolio return has a correlation of 0.51 with the daily return from the index which is quite significant. </w:t>
      </w:r>
    </w:p>
    <w:p w14:paraId="2D73C997" w14:textId="77777777" w:rsidR="00C001CA" w:rsidRDefault="00C001CA"/>
    <w:p w14:paraId="58EB5595" w14:textId="7E1F50D6" w:rsidR="00C001CA" w:rsidRDefault="00C001CA">
      <w:r w:rsidRPr="00FA503A">
        <w:rPr>
          <w:noProof/>
        </w:rPr>
        <w:drawing>
          <wp:anchor distT="0" distB="0" distL="114300" distR="114300" simplePos="0" relativeHeight="251661312" behindDoc="1" locked="0" layoutInCell="1" allowOverlap="1" wp14:anchorId="2F9E6ABF" wp14:editId="596D6D62">
            <wp:simplePos x="0" y="0"/>
            <wp:positionH relativeFrom="page">
              <wp:posOffset>3965575</wp:posOffset>
            </wp:positionH>
            <wp:positionV relativeFrom="paragraph">
              <wp:posOffset>38431</wp:posOffset>
            </wp:positionV>
            <wp:extent cx="3371215" cy="3005455"/>
            <wp:effectExtent l="0" t="0" r="635" b="4445"/>
            <wp:wrapTight wrapText="bothSides">
              <wp:wrapPolygon edited="0">
                <wp:start x="0" y="0"/>
                <wp:lineTo x="0" y="21495"/>
                <wp:lineTo x="21482" y="21495"/>
                <wp:lineTo x="21482" y="0"/>
                <wp:lineTo x="0" y="0"/>
              </wp:wrapPolygon>
            </wp:wrapTight>
            <wp:docPr id="69087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87109"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71215" cy="3005455"/>
                    </a:xfrm>
                    <a:prstGeom prst="rect">
                      <a:avLst/>
                    </a:prstGeom>
                  </pic:spPr>
                </pic:pic>
              </a:graphicData>
            </a:graphic>
            <wp14:sizeRelH relativeFrom="margin">
              <wp14:pctWidth>0</wp14:pctWidth>
            </wp14:sizeRelH>
            <wp14:sizeRelV relativeFrom="margin">
              <wp14:pctHeight>0</wp14:pctHeight>
            </wp14:sizeRelV>
          </wp:anchor>
        </w:drawing>
      </w:r>
      <w:r w:rsidRPr="00FA503A">
        <w:rPr>
          <w:noProof/>
        </w:rPr>
        <w:drawing>
          <wp:anchor distT="0" distB="0" distL="114300" distR="114300" simplePos="0" relativeHeight="251660288" behindDoc="1" locked="0" layoutInCell="1" allowOverlap="1" wp14:anchorId="3729366F" wp14:editId="72F26DDB">
            <wp:simplePos x="0" y="0"/>
            <wp:positionH relativeFrom="page">
              <wp:posOffset>269240</wp:posOffset>
            </wp:positionH>
            <wp:positionV relativeFrom="paragraph">
              <wp:posOffset>38431</wp:posOffset>
            </wp:positionV>
            <wp:extent cx="3374390" cy="3005455"/>
            <wp:effectExtent l="0" t="0" r="0" b="4445"/>
            <wp:wrapTight wrapText="bothSides">
              <wp:wrapPolygon edited="0">
                <wp:start x="0" y="0"/>
                <wp:lineTo x="0" y="21495"/>
                <wp:lineTo x="21462" y="21495"/>
                <wp:lineTo x="21462" y="0"/>
                <wp:lineTo x="0" y="0"/>
              </wp:wrapPolygon>
            </wp:wrapTight>
            <wp:docPr id="210791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9185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74390" cy="3005455"/>
                    </a:xfrm>
                    <a:prstGeom prst="rect">
                      <a:avLst/>
                    </a:prstGeom>
                  </pic:spPr>
                </pic:pic>
              </a:graphicData>
            </a:graphic>
            <wp14:sizeRelH relativeFrom="margin">
              <wp14:pctWidth>0</wp14:pctWidth>
            </wp14:sizeRelH>
            <wp14:sizeRelV relativeFrom="margin">
              <wp14:pctHeight>0</wp14:pctHeight>
            </wp14:sizeRelV>
          </wp:anchor>
        </w:drawing>
      </w:r>
    </w:p>
    <w:p w14:paraId="28BD5AA5" w14:textId="77777777" w:rsidR="00C001CA" w:rsidRDefault="00C001CA">
      <w:r>
        <w:t xml:space="preserve">The above diagrams are weekly and monthly return correlation plots respectively, similar to what we saw with our daily returns above. The correlation between weekly portfolio returns and weekly index </w:t>
      </w:r>
      <w:r>
        <w:lastRenderedPageBreak/>
        <w:t>returns (0.51) is still the same as the daily time frame but the correlation between the two is even higher at 0.6 in the monthly time-frame.</w:t>
      </w:r>
    </w:p>
    <w:p w14:paraId="17DF1783" w14:textId="3E25C120" w:rsidR="00FA503A" w:rsidRDefault="00C001CA">
      <w:r>
        <w:t xml:space="preserve">Moreover, we can see that there is a positive correlation between each stock </w:t>
      </w:r>
      <w:r w:rsidR="00D314C7">
        <w:t>and the index; regardless of the time frame we have considered. We have also seen a significantly positive correlation between our overall portfolio and the NIFTY 50 index.</w:t>
      </w:r>
    </w:p>
    <w:p w14:paraId="329534D8" w14:textId="77777777" w:rsidR="00A12263" w:rsidRDefault="00A12263"/>
    <w:p w14:paraId="58C7D23F" w14:textId="4FD56420" w:rsidR="00A12263" w:rsidRPr="00C0090D" w:rsidRDefault="00A12263">
      <w:pPr>
        <w:rPr>
          <w:b/>
          <w:bCs/>
          <w:sz w:val="32"/>
          <w:szCs w:val="32"/>
        </w:rPr>
      </w:pPr>
      <w:r w:rsidRPr="00C0090D">
        <w:rPr>
          <w:b/>
          <w:bCs/>
          <w:sz w:val="32"/>
          <w:szCs w:val="32"/>
        </w:rPr>
        <w:t>Part 2: Hedging and Stock Futures</w:t>
      </w:r>
    </w:p>
    <w:p w14:paraId="1D30CAED" w14:textId="77777777" w:rsidR="001208D5" w:rsidRDefault="001208D5">
      <w:r>
        <w:t>None of our given companies had their own stock futures, hence appropriate futures for cross hedging our stocks had to be used.</w:t>
      </w:r>
    </w:p>
    <w:p w14:paraId="62EA21A7" w14:textId="77777777" w:rsidR="00F01DD2" w:rsidRDefault="00F01DD2"/>
    <w:p w14:paraId="3C26B0D9" w14:textId="6FB470C7" w:rsidR="00F01DD2" w:rsidRPr="00F01DD2" w:rsidRDefault="00F01DD2">
      <w:pPr>
        <w:rPr>
          <w:b/>
          <w:bCs/>
          <w:sz w:val="24"/>
          <w:szCs w:val="24"/>
        </w:rPr>
      </w:pPr>
      <w:r w:rsidRPr="00F01DD2">
        <w:rPr>
          <w:b/>
          <w:bCs/>
          <w:sz w:val="24"/>
          <w:szCs w:val="24"/>
        </w:rPr>
        <w:t>Futures Choices for Each Stock: -</w:t>
      </w:r>
    </w:p>
    <w:p w14:paraId="4A1EEFA0" w14:textId="77777777" w:rsidR="001208D5" w:rsidRDefault="001208D5"/>
    <w:p w14:paraId="7A5632FD" w14:textId="0AC6C955" w:rsidR="00565FBD" w:rsidRPr="00C0090D" w:rsidRDefault="001208D5" w:rsidP="001208D5">
      <w:pPr>
        <w:pStyle w:val="ListParagraph"/>
        <w:numPr>
          <w:ilvl w:val="0"/>
          <w:numId w:val="1"/>
        </w:numPr>
        <w:rPr>
          <w:b/>
          <w:bCs/>
        </w:rPr>
      </w:pPr>
      <w:r w:rsidRPr="00C0090D">
        <w:rPr>
          <w:b/>
          <w:bCs/>
        </w:rPr>
        <w:t xml:space="preserve">For IDBI – Bank NIFTY </w:t>
      </w:r>
      <w:r w:rsidR="00565FBD" w:rsidRPr="00C0090D">
        <w:rPr>
          <w:b/>
          <w:bCs/>
        </w:rPr>
        <w:t xml:space="preserve">Index </w:t>
      </w:r>
      <w:r w:rsidRPr="00C0090D">
        <w:rPr>
          <w:b/>
          <w:bCs/>
        </w:rPr>
        <w:t>Futures</w:t>
      </w:r>
    </w:p>
    <w:p w14:paraId="4DC160D1" w14:textId="62965351" w:rsidR="00866BB7" w:rsidRDefault="00565FBD" w:rsidP="00F01DD2">
      <w:pPr>
        <w:pStyle w:val="ListParagraph"/>
      </w:pPr>
      <w:r>
        <w:t>Bank NIFTY Index is made up of the largest bank stocks in India and hence provides a good baseline for the trends in the banking sector. IDBI</w:t>
      </w:r>
      <w:r w:rsidR="00C93013">
        <w:t>’s stock price (</w:t>
      </w:r>
      <w:r>
        <w:t>being a part the banking sector</w:t>
      </w:r>
      <w:r w:rsidR="00C93013">
        <w:t>)</w:t>
      </w:r>
      <w:r>
        <w:t xml:space="preserve"> </w:t>
      </w:r>
      <w:r w:rsidR="00C93013">
        <w:t>moves in correlation with the general trends of the banking sector. This is confirmed by a correlation of 0.48 between the returns of IDBI and Bank NIFTY Index, showing that there is moderate to strong correlation between the two. For these reasons, BANK Nifty Index Futures are used to cross hedge IDBI Stocks.</w:t>
      </w:r>
    </w:p>
    <w:p w14:paraId="7B2C1DAC" w14:textId="77777777" w:rsidR="00F01DD2" w:rsidRDefault="00F01DD2" w:rsidP="00F01DD2">
      <w:pPr>
        <w:pStyle w:val="ListParagraph"/>
      </w:pPr>
    </w:p>
    <w:p w14:paraId="40237EFA" w14:textId="50240593" w:rsidR="00C93013" w:rsidRPr="00C0090D" w:rsidRDefault="00C93013" w:rsidP="00092F29">
      <w:pPr>
        <w:pStyle w:val="ListParagraph"/>
        <w:numPr>
          <w:ilvl w:val="0"/>
          <w:numId w:val="1"/>
        </w:numPr>
        <w:rPr>
          <w:b/>
          <w:bCs/>
        </w:rPr>
      </w:pPr>
      <w:r w:rsidRPr="00C0090D">
        <w:rPr>
          <w:b/>
          <w:bCs/>
        </w:rPr>
        <w:t xml:space="preserve">For </w:t>
      </w:r>
      <w:r w:rsidR="006835FA" w:rsidRPr="00C0090D">
        <w:rPr>
          <w:b/>
          <w:bCs/>
        </w:rPr>
        <w:t>ENDURANCE</w:t>
      </w:r>
      <w:r w:rsidRPr="00C0090D">
        <w:rPr>
          <w:b/>
          <w:bCs/>
        </w:rPr>
        <w:t xml:space="preserve"> – Nifty Midcap Futures</w:t>
      </w:r>
    </w:p>
    <w:p w14:paraId="594E6432" w14:textId="2F06AD7B" w:rsidR="006835FA" w:rsidRDefault="006835FA" w:rsidP="006835FA">
      <w:pPr>
        <w:pStyle w:val="ListParagraph"/>
      </w:pPr>
      <w:r>
        <w:t>Endurance</w:t>
      </w:r>
      <w:r w:rsidR="00866BB7">
        <w:t xml:space="preserve"> Technologies is involved in the production of automobile parts and software. A suitable hedge for this stock would have been NIFTY Auto Index Futures, but the data for this index was unavailable. Due to this, we used NIFTY Midcap Index Futures to cross hedge this stock. As we saw in our graphs, Endurance Technologies showed decent correlation with general market trends and it being a midcap company, midcap futures seemed appropriate for cross hedging. Correlation between the two is 0.25 which is on the weaker side.</w:t>
      </w:r>
    </w:p>
    <w:p w14:paraId="0605704A" w14:textId="77777777" w:rsidR="00866BB7" w:rsidRDefault="00866BB7" w:rsidP="006835FA">
      <w:pPr>
        <w:pStyle w:val="ListParagraph"/>
      </w:pPr>
    </w:p>
    <w:p w14:paraId="47233EF1" w14:textId="7C11A768" w:rsidR="00866BB7" w:rsidRPr="00C0090D" w:rsidRDefault="00866BB7" w:rsidP="00866BB7">
      <w:pPr>
        <w:pStyle w:val="ListParagraph"/>
        <w:numPr>
          <w:ilvl w:val="0"/>
          <w:numId w:val="1"/>
        </w:numPr>
        <w:rPr>
          <w:b/>
          <w:bCs/>
        </w:rPr>
      </w:pPr>
      <w:r w:rsidRPr="00C0090D">
        <w:rPr>
          <w:b/>
          <w:bCs/>
        </w:rPr>
        <w:t>For SRF – Nifty Midcap Futures</w:t>
      </w:r>
    </w:p>
    <w:p w14:paraId="3B7E3074" w14:textId="43E7980B" w:rsidR="00866BB7" w:rsidRDefault="00181470" w:rsidP="00866BB7">
      <w:pPr>
        <w:pStyle w:val="ListParagraph"/>
      </w:pPr>
      <w:proofErr w:type="gramStart"/>
      <w:r>
        <w:t>Similar to</w:t>
      </w:r>
      <w:proofErr w:type="gramEnd"/>
      <w:r>
        <w:t xml:space="preserve"> Endurance technology, Nifty Midcap Futures were used as data for Nifty Commodity Index Futures were unavailable. SRF being a chemicals company which is dependent on raw materials, commodity futures would’ve ideal for cross hedging. SRF being a midcap company shows similar trends to the overall market and hence Nifty Midcap Futures were used as an alternative. Correlation between the stock returns and the futures returns is 0.45.</w:t>
      </w:r>
    </w:p>
    <w:p w14:paraId="4C75C61A" w14:textId="77777777" w:rsidR="00181470" w:rsidRDefault="00181470" w:rsidP="00866BB7">
      <w:pPr>
        <w:pStyle w:val="ListParagraph"/>
      </w:pPr>
    </w:p>
    <w:p w14:paraId="20FCE8E7" w14:textId="3F9712D5" w:rsidR="00181470" w:rsidRPr="00C0090D" w:rsidRDefault="00181470" w:rsidP="00181470">
      <w:pPr>
        <w:pStyle w:val="ListParagraph"/>
        <w:numPr>
          <w:ilvl w:val="0"/>
          <w:numId w:val="1"/>
        </w:numPr>
        <w:rPr>
          <w:b/>
          <w:bCs/>
        </w:rPr>
      </w:pPr>
      <w:r w:rsidRPr="00C0090D">
        <w:rPr>
          <w:b/>
          <w:bCs/>
        </w:rPr>
        <w:t>For Exide – Nifty 50 Index Futures</w:t>
      </w:r>
    </w:p>
    <w:p w14:paraId="0044EE23" w14:textId="19B1C000" w:rsidR="00181470" w:rsidRDefault="00181470" w:rsidP="00181470">
      <w:pPr>
        <w:pStyle w:val="ListParagraph"/>
      </w:pPr>
      <w:r>
        <w:t xml:space="preserve">Exide Industries’ primary revenue comes from supplying car batteries and other deliverable battery sources and hence NIFTY Auto Index Futures would have been idea, but the data for the index futures was unavailable. As seen in the graphs provided above, Exide showed high correlation with general market trends and it being a large cap company, NIFTY 50 Index futures was seen as a suitable substitute. </w:t>
      </w:r>
      <w:r w:rsidR="00750C1E">
        <w:t>Correlation between the stock returns and the futures returns is 0.45.</w:t>
      </w:r>
    </w:p>
    <w:p w14:paraId="3202F739" w14:textId="77777777" w:rsidR="00F71976" w:rsidRDefault="00F71976" w:rsidP="00181470">
      <w:pPr>
        <w:pStyle w:val="ListParagraph"/>
      </w:pPr>
    </w:p>
    <w:p w14:paraId="20A1E7A9" w14:textId="77777777" w:rsidR="00F01DD2" w:rsidRDefault="00F01DD2" w:rsidP="00181470">
      <w:pPr>
        <w:pStyle w:val="ListParagraph"/>
        <w:rPr>
          <w:b/>
          <w:bCs/>
          <w:sz w:val="24"/>
          <w:szCs w:val="24"/>
        </w:rPr>
      </w:pPr>
    </w:p>
    <w:p w14:paraId="1D1E6317" w14:textId="77777777" w:rsidR="00F01DD2" w:rsidRDefault="00F01DD2" w:rsidP="00181470">
      <w:pPr>
        <w:pStyle w:val="ListParagraph"/>
        <w:rPr>
          <w:b/>
          <w:bCs/>
          <w:sz w:val="24"/>
          <w:szCs w:val="24"/>
        </w:rPr>
      </w:pPr>
    </w:p>
    <w:p w14:paraId="586EBD92" w14:textId="7E40F5B0" w:rsidR="00F71976" w:rsidRPr="00C0090D" w:rsidRDefault="00C0090D" w:rsidP="00181470">
      <w:pPr>
        <w:pStyle w:val="ListParagraph"/>
        <w:rPr>
          <w:b/>
          <w:bCs/>
          <w:sz w:val="24"/>
          <w:szCs w:val="24"/>
        </w:rPr>
      </w:pPr>
      <w:r w:rsidRPr="00C0090D">
        <w:rPr>
          <w:b/>
          <w:bCs/>
          <w:sz w:val="24"/>
          <w:szCs w:val="24"/>
        </w:rPr>
        <w:t>Calculating OHRs: -</w:t>
      </w:r>
    </w:p>
    <w:p w14:paraId="5D8820B4" w14:textId="77777777" w:rsidR="00C0090D" w:rsidRDefault="00C0090D" w:rsidP="00181470">
      <w:pPr>
        <w:pStyle w:val="ListParagraph"/>
      </w:pPr>
    </w:p>
    <w:p w14:paraId="7522EE8A" w14:textId="25843F96" w:rsidR="00750C1E" w:rsidRDefault="00F71976" w:rsidP="00181470">
      <w:pPr>
        <w:pStyle w:val="ListParagraph"/>
      </w:pPr>
      <w:r>
        <w:t xml:space="preserve">Using appropriate futures for each individual stock, we have calculated the optimum hedge ratio for each stock based on daily, </w:t>
      </w:r>
      <w:r w:rsidR="00390D03">
        <w:t>weekly,</w:t>
      </w:r>
      <w:r>
        <w:t xml:space="preserve"> and monthly returns. </w:t>
      </w:r>
      <w:r w:rsidR="00390D03">
        <w:t>The values have been calculated for both</w:t>
      </w:r>
      <w:r w:rsidR="007D6E1B">
        <w:t xml:space="preserve"> 1-year data and 2-year data.</w:t>
      </w:r>
    </w:p>
    <w:p w14:paraId="4A2D2A56" w14:textId="77777777" w:rsidR="00750C1E" w:rsidRDefault="00750C1E" w:rsidP="00181470">
      <w:pPr>
        <w:pStyle w:val="ListParagraph"/>
      </w:pPr>
    </w:p>
    <w:tbl>
      <w:tblPr>
        <w:tblStyle w:val="TableGrid"/>
        <w:tblW w:w="0" w:type="auto"/>
        <w:jc w:val="center"/>
        <w:tblLook w:val="04A0" w:firstRow="1" w:lastRow="0" w:firstColumn="1" w:lastColumn="0" w:noHBand="0" w:noVBand="1"/>
      </w:tblPr>
      <w:tblGrid>
        <w:gridCol w:w="1998"/>
        <w:gridCol w:w="1998"/>
        <w:gridCol w:w="1998"/>
        <w:gridCol w:w="2001"/>
      </w:tblGrid>
      <w:tr w:rsidR="00750C1E" w14:paraId="6769E0A6" w14:textId="77777777" w:rsidTr="001D56EF">
        <w:trPr>
          <w:trHeight w:val="331"/>
          <w:jc w:val="center"/>
        </w:trPr>
        <w:tc>
          <w:tcPr>
            <w:tcW w:w="7995" w:type="dxa"/>
            <w:gridSpan w:val="4"/>
            <w:vAlign w:val="center"/>
          </w:tcPr>
          <w:p w14:paraId="6CED51D9" w14:textId="6CE88DA0" w:rsidR="00750C1E" w:rsidRDefault="00750C1E" w:rsidP="001D56EF">
            <w:pPr>
              <w:jc w:val="both"/>
              <w:rPr>
                <w:lang w:val="en-US"/>
              </w:rPr>
            </w:pPr>
            <w:r>
              <w:rPr>
                <w:lang w:val="en-US"/>
              </w:rPr>
              <w:t>Using 1</w:t>
            </w:r>
            <w:r w:rsidR="00390D03">
              <w:rPr>
                <w:lang w:val="en-US"/>
              </w:rPr>
              <w:t xml:space="preserve"> - </w:t>
            </w:r>
            <w:r>
              <w:rPr>
                <w:lang w:val="en-US"/>
              </w:rPr>
              <w:t>year data</w:t>
            </w:r>
          </w:p>
        </w:tc>
      </w:tr>
      <w:tr w:rsidR="00750C1E" w14:paraId="1D41D86A" w14:textId="77777777" w:rsidTr="0097770C">
        <w:trPr>
          <w:trHeight w:val="331"/>
          <w:jc w:val="center"/>
        </w:trPr>
        <w:tc>
          <w:tcPr>
            <w:tcW w:w="1998" w:type="dxa"/>
          </w:tcPr>
          <w:p w14:paraId="63DC3305" w14:textId="77777777" w:rsidR="00750C1E" w:rsidRPr="007C7312" w:rsidRDefault="00750C1E" w:rsidP="001D56EF">
            <w:pPr>
              <w:jc w:val="both"/>
              <w:rPr>
                <w:lang w:val="en-US"/>
              </w:rPr>
            </w:pPr>
            <w:r>
              <w:rPr>
                <w:lang w:val="en-US"/>
              </w:rPr>
              <w:t>OHR</w:t>
            </w:r>
          </w:p>
        </w:tc>
        <w:tc>
          <w:tcPr>
            <w:tcW w:w="1998" w:type="dxa"/>
          </w:tcPr>
          <w:p w14:paraId="119E242E" w14:textId="77777777" w:rsidR="00750C1E" w:rsidRPr="007C7312" w:rsidRDefault="00750C1E" w:rsidP="001D56EF">
            <w:pPr>
              <w:jc w:val="both"/>
              <w:rPr>
                <w:lang w:val="en-US"/>
              </w:rPr>
            </w:pPr>
            <w:r>
              <w:rPr>
                <w:lang w:val="en-US"/>
              </w:rPr>
              <w:t>Day Returns</w:t>
            </w:r>
          </w:p>
        </w:tc>
        <w:tc>
          <w:tcPr>
            <w:tcW w:w="1998" w:type="dxa"/>
          </w:tcPr>
          <w:p w14:paraId="7ADEB89F" w14:textId="77777777" w:rsidR="00750C1E" w:rsidRPr="007C7312" w:rsidRDefault="00750C1E" w:rsidP="001D56EF">
            <w:pPr>
              <w:jc w:val="both"/>
              <w:rPr>
                <w:lang w:val="en-US"/>
              </w:rPr>
            </w:pPr>
            <w:r>
              <w:rPr>
                <w:lang w:val="en-US"/>
              </w:rPr>
              <w:t>Weekly Returns</w:t>
            </w:r>
          </w:p>
        </w:tc>
        <w:tc>
          <w:tcPr>
            <w:tcW w:w="2001" w:type="dxa"/>
          </w:tcPr>
          <w:p w14:paraId="4D5DA9A4" w14:textId="77777777" w:rsidR="00750C1E" w:rsidRPr="007C7312" w:rsidRDefault="00750C1E" w:rsidP="001D56EF">
            <w:pPr>
              <w:jc w:val="both"/>
              <w:rPr>
                <w:lang w:val="en-US"/>
              </w:rPr>
            </w:pPr>
            <w:r>
              <w:rPr>
                <w:lang w:val="en-US"/>
              </w:rPr>
              <w:t>Monthly Returns</w:t>
            </w:r>
          </w:p>
        </w:tc>
      </w:tr>
      <w:tr w:rsidR="00750C1E" w14:paraId="1CF696C0" w14:textId="77777777" w:rsidTr="0097770C">
        <w:trPr>
          <w:trHeight w:val="331"/>
          <w:jc w:val="center"/>
        </w:trPr>
        <w:tc>
          <w:tcPr>
            <w:tcW w:w="1998" w:type="dxa"/>
          </w:tcPr>
          <w:p w14:paraId="02181A33" w14:textId="2A53B137" w:rsidR="00750C1E" w:rsidRPr="007C7312" w:rsidRDefault="0097770C" w:rsidP="001D56EF">
            <w:pPr>
              <w:jc w:val="both"/>
              <w:rPr>
                <w:lang w:val="en-US"/>
              </w:rPr>
            </w:pPr>
            <w:r>
              <w:rPr>
                <w:lang w:val="en-US"/>
              </w:rPr>
              <w:t>IDBI</w:t>
            </w:r>
          </w:p>
        </w:tc>
        <w:tc>
          <w:tcPr>
            <w:tcW w:w="1998" w:type="dxa"/>
          </w:tcPr>
          <w:p w14:paraId="71B1D923" w14:textId="7D0CCB09" w:rsidR="00750C1E" w:rsidRPr="007C7312" w:rsidRDefault="00750C1E" w:rsidP="001D56EF">
            <w:pPr>
              <w:jc w:val="both"/>
              <w:rPr>
                <w:lang w:val="en-US"/>
              </w:rPr>
            </w:pPr>
            <w:r>
              <w:rPr>
                <w:lang w:val="en-US"/>
              </w:rPr>
              <w:t>0.183</w:t>
            </w:r>
          </w:p>
        </w:tc>
        <w:tc>
          <w:tcPr>
            <w:tcW w:w="1998" w:type="dxa"/>
          </w:tcPr>
          <w:p w14:paraId="4EE3FFEA" w14:textId="3C96F81E" w:rsidR="00750C1E" w:rsidRPr="007C7312" w:rsidRDefault="00750C1E" w:rsidP="001D56EF">
            <w:pPr>
              <w:jc w:val="both"/>
              <w:rPr>
                <w:lang w:val="en-US"/>
              </w:rPr>
            </w:pPr>
            <w:r>
              <w:rPr>
                <w:lang w:val="en-US"/>
              </w:rPr>
              <w:t>0.052</w:t>
            </w:r>
          </w:p>
        </w:tc>
        <w:tc>
          <w:tcPr>
            <w:tcW w:w="2001" w:type="dxa"/>
          </w:tcPr>
          <w:p w14:paraId="1BDD89A7" w14:textId="7416A5CA" w:rsidR="00750C1E" w:rsidRPr="007C7312" w:rsidRDefault="00750C1E" w:rsidP="001D56EF">
            <w:pPr>
              <w:jc w:val="both"/>
              <w:rPr>
                <w:lang w:val="en-US"/>
              </w:rPr>
            </w:pPr>
            <w:r>
              <w:rPr>
                <w:lang w:val="en-US"/>
              </w:rPr>
              <w:t>-0.016</w:t>
            </w:r>
          </w:p>
        </w:tc>
      </w:tr>
      <w:tr w:rsidR="00750C1E" w14:paraId="18E929CA" w14:textId="77777777" w:rsidTr="0097770C">
        <w:trPr>
          <w:trHeight w:val="331"/>
          <w:jc w:val="center"/>
        </w:trPr>
        <w:tc>
          <w:tcPr>
            <w:tcW w:w="1998" w:type="dxa"/>
          </w:tcPr>
          <w:p w14:paraId="3B01F760" w14:textId="7B79B023" w:rsidR="00750C1E" w:rsidRPr="007C7312" w:rsidRDefault="0097770C" w:rsidP="001D56EF">
            <w:pPr>
              <w:jc w:val="both"/>
              <w:rPr>
                <w:lang w:val="en-US"/>
              </w:rPr>
            </w:pPr>
            <w:r>
              <w:rPr>
                <w:lang w:val="en-US"/>
              </w:rPr>
              <w:t>ENDURANCE</w:t>
            </w:r>
          </w:p>
        </w:tc>
        <w:tc>
          <w:tcPr>
            <w:tcW w:w="1998" w:type="dxa"/>
          </w:tcPr>
          <w:p w14:paraId="557BFD7C" w14:textId="10FD8D20" w:rsidR="00750C1E" w:rsidRPr="007C7312" w:rsidRDefault="00750C1E" w:rsidP="001D56EF">
            <w:pPr>
              <w:jc w:val="both"/>
              <w:rPr>
                <w:lang w:val="en-US"/>
              </w:rPr>
            </w:pPr>
            <w:r>
              <w:rPr>
                <w:lang w:val="en-US"/>
              </w:rPr>
              <w:t>0.143</w:t>
            </w:r>
          </w:p>
        </w:tc>
        <w:tc>
          <w:tcPr>
            <w:tcW w:w="1998" w:type="dxa"/>
          </w:tcPr>
          <w:p w14:paraId="10B84F33" w14:textId="1B8C31F1" w:rsidR="00750C1E" w:rsidRPr="007C7312" w:rsidRDefault="00750C1E" w:rsidP="001D56EF">
            <w:pPr>
              <w:jc w:val="both"/>
              <w:rPr>
                <w:lang w:val="en-US"/>
              </w:rPr>
            </w:pPr>
            <w:r>
              <w:rPr>
                <w:lang w:val="en-US"/>
              </w:rPr>
              <w:t>0.154</w:t>
            </w:r>
          </w:p>
        </w:tc>
        <w:tc>
          <w:tcPr>
            <w:tcW w:w="2001" w:type="dxa"/>
          </w:tcPr>
          <w:p w14:paraId="09C30024" w14:textId="01A0F193" w:rsidR="00750C1E" w:rsidRPr="007C7312" w:rsidRDefault="00750C1E" w:rsidP="001D56EF">
            <w:pPr>
              <w:jc w:val="both"/>
              <w:rPr>
                <w:lang w:val="en-US"/>
              </w:rPr>
            </w:pPr>
            <w:r>
              <w:rPr>
                <w:lang w:val="en-US"/>
              </w:rPr>
              <w:t>0.254</w:t>
            </w:r>
          </w:p>
        </w:tc>
      </w:tr>
      <w:tr w:rsidR="00750C1E" w14:paraId="659414F2" w14:textId="77777777" w:rsidTr="0097770C">
        <w:trPr>
          <w:trHeight w:val="331"/>
          <w:jc w:val="center"/>
        </w:trPr>
        <w:tc>
          <w:tcPr>
            <w:tcW w:w="1998" w:type="dxa"/>
          </w:tcPr>
          <w:p w14:paraId="43F4F383" w14:textId="42F3D139" w:rsidR="00750C1E" w:rsidRPr="007C7312" w:rsidRDefault="00750C1E" w:rsidP="001D56EF">
            <w:pPr>
              <w:jc w:val="both"/>
              <w:rPr>
                <w:lang w:val="en-US"/>
              </w:rPr>
            </w:pPr>
            <w:r>
              <w:rPr>
                <w:lang w:val="en-US"/>
              </w:rPr>
              <w:t>S</w:t>
            </w:r>
            <w:r w:rsidR="0097770C">
              <w:rPr>
                <w:lang w:val="en-US"/>
              </w:rPr>
              <w:t>RF</w:t>
            </w:r>
          </w:p>
        </w:tc>
        <w:tc>
          <w:tcPr>
            <w:tcW w:w="1998" w:type="dxa"/>
          </w:tcPr>
          <w:p w14:paraId="272ECD38" w14:textId="5547229F" w:rsidR="00750C1E" w:rsidRPr="007C7312" w:rsidRDefault="00750C1E" w:rsidP="001D56EF">
            <w:pPr>
              <w:jc w:val="both"/>
              <w:rPr>
                <w:lang w:val="en-US"/>
              </w:rPr>
            </w:pPr>
            <w:r>
              <w:rPr>
                <w:lang w:val="en-US"/>
              </w:rPr>
              <w:t>0.373</w:t>
            </w:r>
          </w:p>
        </w:tc>
        <w:tc>
          <w:tcPr>
            <w:tcW w:w="1998" w:type="dxa"/>
          </w:tcPr>
          <w:p w14:paraId="4983B502" w14:textId="5F4E9A7D" w:rsidR="00750C1E" w:rsidRPr="007C7312" w:rsidRDefault="00750C1E" w:rsidP="001D56EF">
            <w:pPr>
              <w:jc w:val="both"/>
              <w:rPr>
                <w:lang w:val="en-US"/>
              </w:rPr>
            </w:pPr>
            <w:r>
              <w:rPr>
                <w:lang w:val="en-US"/>
              </w:rPr>
              <w:t>0.352</w:t>
            </w:r>
          </w:p>
        </w:tc>
        <w:tc>
          <w:tcPr>
            <w:tcW w:w="2001" w:type="dxa"/>
          </w:tcPr>
          <w:p w14:paraId="5CC3FB7F" w14:textId="770A80F1" w:rsidR="00750C1E" w:rsidRPr="007C7312" w:rsidRDefault="00750C1E" w:rsidP="001D56EF">
            <w:pPr>
              <w:jc w:val="both"/>
              <w:rPr>
                <w:lang w:val="en-US"/>
              </w:rPr>
            </w:pPr>
            <w:r>
              <w:rPr>
                <w:lang w:val="en-US"/>
              </w:rPr>
              <w:t>0.194</w:t>
            </w:r>
          </w:p>
        </w:tc>
      </w:tr>
      <w:tr w:rsidR="00750C1E" w14:paraId="018BF247" w14:textId="77777777" w:rsidTr="0097770C">
        <w:trPr>
          <w:trHeight w:val="331"/>
          <w:jc w:val="center"/>
        </w:trPr>
        <w:tc>
          <w:tcPr>
            <w:tcW w:w="1998" w:type="dxa"/>
          </w:tcPr>
          <w:p w14:paraId="7CF471A2" w14:textId="475EDF03" w:rsidR="00750C1E" w:rsidRPr="007C7312" w:rsidRDefault="0097770C" w:rsidP="001D56EF">
            <w:pPr>
              <w:jc w:val="both"/>
              <w:rPr>
                <w:lang w:val="en-US"/>
              </w:rPr>
            </w:pPr>
            <w:r>
              <w:rPr>
                <w:lang w:val="en-US"/>
              </w:rPr>
              <w:t>EXIDE</w:t>
            </w:r>
          </w:p>
        </w:tc>
        <w:tc>
          <w:tcPr>
            <w:tcW w:w="1998" w:type="dxa"/>
          </w:tcPr>
          <w:p w14:paraId="48B85F5E" w14:textId="74DAEBED" w:rsidR="00750C1E" w:rsidRPr="007C7312" w:rsidRDefault="00750C1E" w:rsidP="001D56EF">
            <w:pPr>
              <w:jc w:val="both"/>
              <w:rPr>
                <w:lang w:val="en-US"/>
              </w:rPr>
            </w:pPr>
            <w:r>
              <w:rPr>
                <w:lang w:val="en-US"/>
              </w:rPr>
              <w:t>0.23</w:t>
            </w:r>
          </w:p>
        </w:tc>
        <w:tc>
          <w:tcPr>
            <w:tcW w:w="1998" w:type="dxa"/>
          </w:tcPr>
          <w:p w14:paraId="642F7B61" w14:textId="3B416DBC" w:rsidR="00750C1E" w:rsidRPr="007C7312" w:rsidRDefault="00750C1E" w:rsidP="001D56EF">
            <w:pPr>
              <w:jc w:val="both"/>
              <w:rPr>
                <w:lang w:val="en-US"/>
              </w:rPr>
            </w:pPr>
            <w:r>
              <w:rPr>
                <w:lang w:val="en-US"/>
              </w:rPr>
              <w:t>0.135</w:t>
            </w:r>
          </w:p>
        </w:tc>
        <w:tc>
          <w:tcPr>
            <w:tcW w:w="2001" w:type="dxa"/>
          </w:tcPr>
          <w:p w14:paraId="0C9D171A" w14:textId="108A352C" w:rsidR="00750C1E" w:rsidRPr="007C7312" w:rsidRDefault="00750C1E" w:rsidP="001D56EF">
            <w:pPr>
              <w:jc w:val="both"/>
              <w:rPr>
                <w:lang w:val="en-US"/>
              </w:rPr>
            </w:pPr>
            <w:r>
              <w:rPr>
                <w:lang w:val="en-US"/>
              </w:rPr>
              <w:t>0.124</w:t>
            </w:r>
          </w:p>
        </w:tc>
      </w:tr>
      <w:tr w:rsidR="00750C1E" w14:paraId="7ED33393" w14:textId="77777777" w:rsidTr="001D56EF">
        <w:trPr>
          <w:trHeight w:val="331"/>
          <w:jc w:val="center"/>
        </w:trPr>
        <w:tc>
          <w:tcPr>
            <w:tcW w:w="7995" w:type="dxa"/>
            <w:gridSpan w:val="4"/>
            <w:vAlign w:val="center"/>
          </w:tcPr>
          <w:p w14:paraId="70DA3940" w14:textId="308E17E8" w:rsidR="00750C1E" w:rsidRPr="007C7312" w:rsidRDefault="00750C1E" w:rsidP="001D56EF">
            <w:pPr>
              <w:jc w:val="both"/>
              <w:rPr>
                <w:lang w:val="en-US"/>
              </w:rPr>
            </w:pPr>
            <w:r>
              <w:rPr>
                <w:lang w:val="en-US"/>
              </w:rPr>
              <w:t>Using 2</w:t>
            </w:r>
            <w:r w:rsidR="00390D03">
              <w:rPr>
                <w:lang w:val="en-US"/>
              </w:rPr>
              <w:t xml:space="preserve"> </w:t>
            </w:r>
            <w:r>
              <w:rPr>
                <w:lang w:val="en-US"/>
              </w:rPr>
              <w:t>- years data</w:t>
            </w:r>
          </w:p>
        </w:tc>
      </w:tr>
      <w:tr w:rsidR="00750C1E" w:rsidRPr="007C7312" w14:paraId="0006DDDC" w14:textId="77777777" w:rsidTr="0097770C">
        <w:tblPrEx>
          <w:jc w:val="left"/>
        </w:tblPrEx>
        <w:trPr>
          <w:trHeight w:val="331"/>
        </w:trPr>
        <w:tc>
          <w:tcPr>
            <w:tcW w:w="1998" w:type="dxa"/>
          </w:tcPr>
          <w:p w14:paraId="076E865E" w14:textId="77777777" w:rsidR="00750C1E" w:rsidRPr="007C7312" w:rsidRDefault="00750C1E" w:rsidP="001D56EF">
            <w:pPr>
              <w:jc w:val="both"/>
              <w:rPr>
                <w:lang w:val="en-US"/>
              </w:rPr>
            </w:pPr>
            <w:r>
              <w:rPr>
                <w:lang w:val="en-US"/>
              </w:rPr>
              <w:t>OHR</w:t>
            </w:r>
          </w:p>
        </w:tc>
        <w:tc>
          <w:tcPr>
            <w:tcW w:w="1998" w:type="dxa"/>
          </w:tcPr>
          <w:p w14:paraId="36257048" w14:textId="77777777" w:rsidR="00750C1E" w:rsidRPr="007C7312" w:rsidRDefault="00750C1E" w:rsidP="001D56EF">
            <w:pPr>
              <w:jc w:val="both"/>
              <w:rPr>
                <w:lang w:val="en-US"/>
              </w:rPr>
            </w:pPr>
            <w:r>
              <w:rPr>
                <w:lang w:val="en-US"/>
              </w:rPr>
              <w:t>Day Returns</w:t>
            </w:r>
          </w:p>
        </w:tc>
        <w:tc>
          <w:tcPr>
            <w:tcW w:w="1998" w:type="dxa"/>
          </w:tcPr>
          <w:p w14:paraId="55515378" w14:textId="77777777" w:rsidR="00750C1E" w:rsidRPr="007C7312" w:rsidRDefault="00750C1E" w:rsidP="001D56EF">
            <w:pPr>
              <w:jc w:val="both"/>
              <w:rPr>
                <w:lang w:val="en-US"/>
              </w:rPr>
            </w:pPr>
            <w:r>
              <w:rPr>
                <w:lang w:val="en-US"/>
              </w:rPr>
              <w:t>Weekly Returns</w:t>
            </w:r>
          </w:p>
        </w:tc>
        <w:tc>
          <w:tcPr>
            <w:tcW w:w="2001" w:type="dxa"/>
          </w:tcPr>
          <w:p w14:paraId="2BFC1037" w14:textId="77777777" w:rsidR="00750C1E" w:rsidRPr="007C7312" w:rsidRDefault="00750C1E" w:rsidP="001D56EF">
            <w:pPr>
              <w:jc w:val="both"/>
              <w:rPr>
                <w:lang w:val="en-US"/>
              </w:rPr>
            </w:pPr>
            <w:r>
              <w:rPr>
                <w:lang w:val="en-US"/>
              </w:rPr>
              <w:t>Monthly Returns</w:t>
            </w:r>
          </w:p>
        </w:tc>
      </w:tr>
      <w:tr w:rsidR="0097770C" w:rsidRPr="007C7312" w14:paraId="21A94FF7" w14:textId="77777777" w:rsidTr="0097770C">
        <w:tblPrEx>
          <w:jc w:val="left"/>
        </w:tblPrEx>
        <w:trPr>
          <w:trHeight w:val="331"/>
        </w:trPr>
        <w:tc>
          <w:tcPr>
            <w:tcW w:w="1998" w:type="dxa"/>
          </w:tcPr>
          <w:p w14:paraId="2279E62A" w14:textId="3B9430A8" w:rsidR="0097770C" w:rsidRPr="007C7312" w:rsidRDefault="0097770C" w:rsidP="0097770C">
            <w:pPr>
              <w:jc w:val="both"/>
              <w:rPr>
                <w:lang w:val="en-US"/>
              </w:rPr>
            </w:pPr>
            <w:r>
              <w:rPr>
                <w:lang w:val="en-US"/>
              </w:rPr>
              <w:t>IDBI</w:t>
            </w:r>
          </w:p>
        </w:tc>
        <w:tc>
          <w:tcPr>
            <w:tcW w:w="1998" w:type="dxa"/>
          </w:tcPr>
          <w:p w14:paraId="397F974D" w14:textId="1FC48DF5" w:rsidR="0097770C" w:rsidRPr="007C7312" w:rsidRDefault="0097770C" w:rsidP="0097770C">
            <w:pPr>
              <w:jc w:val="both"/>
              <w:rPr>
                <w:lang w:val="en-US"/>
              </w:rPr>
            </w:pPr>
            <w:r>
              <w:rPr>
                <w:lang w:val="en-US"/>
              </w:rPr>
              <w:t>0.154</w:t>
            </w:r>
          </w:p>
        </w:tc>
        <w:tc>
          <w:tcPr>
            <w:tcW w:w="1998" w:type="dxa"/>
          </w:tcPr>
          <w:p w14:paraId="6EDC355E" w14:textId="7DDBF3BF" w:rsidR="0097770C" w:rsidRPr="007C7312" w:rsidRDefault="0097770C" w:rsidP="0097770C">
            <w:pPr>
              <w:jc w:val="both"/>
              <w:rPr>
                <w:lang w:val="en-US"/>
              </w:rPr>
            </w:pPr>
            <w:r>
              <w:rPr>
                <w:lang w:val="en-US"/>
              </w:rPr>
              <w:t>0.103</w:t>
            </w:r>
          </w:p>
        </w:tc>
        <w:tc>
          <w:tcPr>
            <w:tcW w:w="2001" w:type="dxa"/>
          </w:tcPr>
          <w:p w14:paraId="10F85388" w14:textId="391B6135" w:rsidR="0097770C" w:rsidRPr="007C7312" w:rsidRDefault="0097770C" w:rsidP="0097770C">
            <w:pPr>
              <w:jc w:val="both"/>
              <w:rPr>
                <w:lang w:val="en-US"/>
              </w:rPr>
            </w:pPr>
            <w:r>
              <w:rPr>
                <w:lang w:val="en-US"/>
              </w:rPr>
              <w:t>0.107</w:t>
            </w:r>
          </w:p>
        </w:tc>
      </w:tr>
      <w:tr w:rsidR="0097770C" w:rsidRPr="007C7312" w14:paraId="1DF2D20D" w14:textId="77777777" w:rsidTr="0097770C">
        <w:tblPrEx>
          <w:jc w:val="left"/>
        </w:tblPrEx>
        <w:trPr>
          <w:trHeight w:val="331"/>
        </w:trPr>
        <w:tc>
          <w:tcPr>
            <w:tcW w:w="1998" w:type="dxa"/>
          </w:tcPr>
          <w:p w14:paraId="776D7C1C" w14:textId="1989F342" w:rsidR="0097770C" w:rsidRPr="007C7312" w:rsidRDefault="0097770C" w:rsidP="0097770C">
            <w:pPr>
              <w:jc w:val="both"/>
              <w:rPr>
                <w:lang w:val="en-US"/>
              </w:rPr>
            </w:pPr>
            <w:r>
              <w:rPr>
                <w:lang w:val="en-US"/>
              </w:rPr>
              <w:t>ENDURANCE</w:t>
            </w:r>
          </w:p>
        </w:tc>
        <w:tc>
          <w:tcPr>
            <w:tcW w:w="1998" w:type="dxa"/>
          </w:tcPr>
          <w:p w14:paraId="3E3F4604" w14:textId="3D6533E6" w:rsidR="0097770C" w:rsidRPr="007C7312" w:rsidRDefault="0097770C" w:rsidP="0097770C">
            <w:pPr>
              <w:jc w:val="both"/>
              <w:rPr>
                <w:lang w:val="en-US"/>
              </w:rPr>
            </w:pPr>
            <w:r>
              <w:rPr>
                <w:lang w:val="en-US"/>
              </w:rPr>
              <w:t>0.112</w:t>
            </w:r>
          </w:p>
        </w:tc>
        <w:tc>
          <w:tcPr>
            <w:tcW w:w="1998" w:type="dxa"/>
          </w:tcPr>
          <w:p w14:paraId="1C6DED6F" w14:textId="65C19C54" w:rsidR="0097770C" w:rsidRPr="007C7312" w:rsidRDefault="0097770C" w:rsidP="0097770C">
            <w:pPr>
              <w:jc w:val="both"/>
              <w:rPr>
                <w:lang w:val="en-US"/>
              </w:rPr>
            </w:pPr>
            <w:r>
              <w:rPr>
                <w:lang w:val="en-US"/>
              </w:rPr>
              <w:t>0.184</w:t>
            </w:r>
          </w:p>
        </w:tc>
        <w:tc>
          <w:tcPr>
            <w:tcW w:w="2001" w:type="dxa"/>
          </w:tcPr>
          <w:p w14:paraId="403A76F8" w14:textId="2A48712D" w:rsidR="0097770C" w:rsidRPr="007C7312" w:rsidRDefault="0097770C" w:rsidP="0097770C">
            <w:pPr>
              <w:jc w:val="both"/>
              <w:rPr>
                <w:lang w:val="en-US"/>
              </w:rPr>
            </w:pPr>
            <w:r>
              <w:rPr>
                <w:lang w:val="en-US"/>
              </w:rPr>
              <w:t>0.304</w:t>
            </w:r>
          </w:p>
        </w:tc>
      </w:tr>
      <w:tr w:rsidR="0097770C" w:rsidRPr="007C7312" w14:paraId="3FE53B1A" w14:textId="77777777" w:rsidTr="0097770C">
        <w:tblPrEx>
          <w:jc w:val="left"/>
        </w:tblPrEx>
        <w:trPr>
          <w:trHeight w:val="331"/>
        </w:trPr>
        <w:tc>
          <w:tcPr>
            <w:tcW w:w="1998" w:type="dxa"/>
          </w:tcPr>
          <w:p w14:paraId="0770FAEB" w14:textId="01BE3F6F" w:rsidR="0097770C" w:rsidRPr="007C7312" w:rsidRDefault="0097770C" w:rsidP="0097770C">
            <w:pPr>
              <w:jc w:val="both"/>
              <w:rPr>
                <w:lang w:val="en-US"/>
              </w:rPr>
            </w:pPr>
            <w:r>
              <w:rPr>
                <w:lang w:val="en-US"/>
              </w:rPr>
              <w:t>SRF</w:t>
            </w:r>
          </w:p>
        </w:tc>
        <w:tc>
          <w:tcPr>
            <w:tcW w:w="1998" w:type="dxa"/>
          </w:tcPr>
          <w:p w14:paraId="1456B3B5" w14:textId="6B8C8D5E" w:rsidR="0097770C" w:rsidRPr="007C7312" w:rsidRDefault="0097770C" w:rsidP="0097770C">
            <w:pPr>
              <w:jc w:val="both"/>
              <w:rPr>
                <w:lang w:val="en-US"/>
              </w:rPr>
            </w:pPr>
            <w:r>
              <w:rPr>
                <w:lang w:val="en-US"/>
              </w:rPr>
              <w:t>0.134</w:t>
            </w:r>
          </w:p>
        </w:tc>
        <w:tc>
          <w:tcPr>
            <w:tcW w:w="1998" w:type="dxa"/>
          </w:tcPr>
          <w:p w14:paraId="5D38F248" w14:textId="091095E6" w:rsidR="0097770C" w:rsidRPr="007C7312" w:rsidRDefault="0097770C" w:rsidP="0097770C">
            <w:pPr>
              <w:jc w:val="both"/>
              <w:rPr>
                <w:lang w:val="en-US"/>
              </w:rPr>
            </w:pPr>
            <w:r>
              <w:rPr>
                <w:lang w:val="en-US"/>
              </w:rPr>
              <w:t>0.142</w:t>
            </w:r>
          </w:p>
        </w:tc>
        <w:tc>
          <w:tcPr>
            <w:tcW w:w="2001" w:type="dxa"/>
          </w:tcPr>
          <w:p w14:paraId="6CB39197" w14:textId="53E900BF" w:rsidR="0097770C" w:rsidRPr="007C7312" w:rsidRDefault="0097770C" w:rsidP="0097770C">
            <w:pPr>
              <w:jc w:val="both"/>
              <w:rPr>
                <w:lang w:val="en-US"/>
              </w:rPr>
            </w:pPr>
            <w:r>
              <w:rPr>
                <w:lang w:val="en-US"/>
              </w:rPr>
              <w:t>0.042</w:t>
            </w:r>
          </w:p>
        </w:tc>
      </w:tr>
      <w:tr w:rsidR="0097770C" w:rsidRPr="007C7312" w14:paraId="475BCC4D" w14:textId="77777777" w:rsidTr="0097770C">
        <w:tblPrEx>
          <w:jc w:val="left"/>
        </w:tblPrEx>
        <w:trPr>
          <w:trHeight w:val="331"/>
        </w:trPr>
        <w:tc>
          <w:tcPr>
            <w:tcW w:w="1998" w:type="dxa"/>
          </w:tcPr>
          <w:p w14:paraId="581927FD" w14:textId="23C11D3C" w:rsidR="0097770C" w:rsidRPr="007C7312" w:rsidRDefault="0097770C" w:rsidP="0097770C">
            <w:pPr>
              <w:jc w:val="both"/>
              <w:rPr>
                <w:lang w:val="en-US"/>
              </w:rPr>
            </w:pPr>
            <w:r>
              <w:rPr>
                <w:lang w:val="en-US"/>
              </w:rPr>
              <w:t>EXIDE</w:t>
            </w:r>
          </w:p>
        </w:tc>
        <w:tc>
          <w:tcPr>
            <w:tcW w:w="1998" w:type="dxa"/>
          </w:tcPr>
          <w:p w14:paraId="5820030E" w14:textId="08FFFA5D" w:rsidR="0097770C" w:rsidRPr="007C7312" w:rsidRDefault="0097770C" w:rsidP="0097770C">
            <w:pPr>
              <w:jc w:val="both"/>
              <w:rPr>
                <w:lang w:val="en-US"/>
              </w:rPr>
            </w:pPr>
            <w:r>
              <w:rPr>
                <w:lang w:val="en-US"/>
              </w:rPr>
              <w:t>0.176</w:t>
            </w:r>
          </w:p>
        </w:tc>
        <w:tc>
          <w:tcPr>
            <w:tcW w:w="1998" w:type="dxa"/>
          </w:tcPr>
          <w:p w14:paraId="5F220A5F" w14:textId="64C258E9" w:rsidR="0097770C" w:rsidRPr="007C7312" w:rsidRDefault="0097770C" w:rsidP="0097770C">
            <w:pPr>
              <w:jc w:val="both"/>
              <w:rPr>
                <w:lang w:val="en-US"/>
              </w:rPr>
            </w:pPr>
            <w:r>
              <w:rPr>
                <w:lang w:val="en-US"/>
              </w:rPr>
              <w:t>0.097</w:t>
            </w:r>
          </w:p>
        </w:tc>
        <w:tc>
          <w:tcPr>
            <w:tcW w:w="2001" w:type="dxa"/>
          </w:tcPr>
          <w:p w14:paraId="37F4D9FF" w14:textId="32919097" w:rsidR="0097770C" w:rsidRPr="007C7312" w:rsidRDefault="0097770C" w:rsidP="0097770C">
            <w:pPr>
              <w:jc w:val="both"/>
              <w:rPr>
                <w:lang w:val="en-US"/>
              </w:rPr>
            </w:pPr>
            <w:r>
              <w:rPr>
                <w:lang w:val="en-US"/>
              </w:rPr>
              <w:t>0.181</w:t>
            </w:r>
          </w:p>
        </w:tc>
      </w:tr>
    </w:tbl>
    <w:p w14:paraId="7687E02A" w14:textId="77777777" w:rsidR="00092F29" w:rsidRDefault="00092F29" w:rsidP="00092F29">
      <w:pPr>
        <w:rPr>
          <w:b/>
          <w:bCs/>
          <w:sz w:val="24"/>
          <w:szCs w:val="24"/>
        </w:rPr>
      </w:pPr>
    </w:p>
    <w:p w14:paraId="61BE09B0" w14:textId="6CF10CE0" w:rsidR="007350BD" w:rsidRPr="00092F29" w:rsidRDefault="00C0090D" w:rsidP="00092F29">
      <w:pPr>
        <w:rPr>
          <w:b/>
          <w:bCs/>
          <w:sz w:val="24"/>
          <w:szCs w:val="24"/>
        </w:rPr>
      </w:pPr>
      <w:r w:rsidRPr="00092F29">
        <w:rPr>
          <w:b/>
          <w:bCs/>
          <w:sz w:val="24"/>
          <w:szCs w:val="24"/>
        </w:rPr>
        <w:t>Time Frame Analysis: -</w:t>
      </w:r>
    </w:p>
    <w:p w14:paraId="0BA42575" w14:textId="77777777" w:rsidR="00C0090D" w:rsidRDefault="00C0090D" w:rsidP="007350BD">
      <w:pPr>
        <w:pStyle w:val="ListParagraph"/>
      </w:pPr>
    </w:p>
    <w:p w14:paraId="5A7994C4" w14:textId="7F341204" w:rsidR="007350BD" w:rsidRDefault="007350BD" w:rsidP="007350BD">
      <w:pPr>
        <w:pStyle w:val="ListParagraph"/>
      </w:pPr>
      <w:r w:rsidRPr="007350BD">
        <w:t>Because of variations in volatility, correlation, and the sensitivity of the asset and hedging instrument over various time periods, the optimal hedge ratio usually depends on the time frame of analysis.</w:t>
      </w:r>
      <w:r w:rsidRPr="007350BD">
        <w:br/>
      </w:r>
      <w:r w:rsidRPr="007350BD">
        <w:br/>
      </w:r>
      <w:r w:rsidRPr="00C0090D">
        <w:rPr>
          <w:b/>
          <w:bCs/>
        </w:rPr>
        <w:t>Daily</w:t>
      </w:r>
      <w:r w:rsidRPr="007350BD">
        <w:rPr>
          <w:b/>
          <w:bCs/>
        </w:rPr>
        <w:t xml:space="preserve"> Time Frame</w:t>
      </w:r>
      <w:r w:rsidRPr="007350BD">
        <w:t>: Because short-term price fluctuations are more volatile and noisier, OHRs are typically higher. To properly balance risks, a higher hedge ratio is necessary because daily returns capture rapid market fluctuations.</w:t>
      </w:r>
      <w:r w:rsidRPr="007350BD">
        <w:br/>
      </w:r>
      <w:r w:rsidRPr="007350BD">
        <w:br/>
      </w:r>
      <w:r w:rsidRPr="00C0090D">
        <w:rPr>
          <w:b/>
          <w:bCs/>
        </w:rPr>
        <w:t>Weekly</w:t>
      </w:r>
      <w:r w:rsidRPr="007350BD">
        <w:rPr>
          <w:b/>
          <w:bCs/>
        </w:rPr>
        <w:t xml:space="preserve"> Time Frame</w:t>
      </w:r>
      <w:r w:rsidRPr="007350BD">
        <w:t>: As weekly returns reduce some of the daily volatility, OHRs tend to stabilize. OHRs are marginally reduced because of the more stable correlation between the asset and the hedging tool.</w:t>
      </w:r>
      <w:r w:rsidRPr="007350BD">
        <w:br/>
      </w:r>
      <w:r w:rsidRPr="007350BD">
        <w:br/>
      </w:r>
      <w:r w:rsidRPr="00C0090D">
        <w:rPr>
          <w:b/>
          <w:bCs/>
        </w:rPr>
        <w:t>Monthly</w:t>
      </w:r>
      <w:r w:rsidRPr="007350BD">
        <w:rPr>
          <w:b/>
          <w:bCs/>
        </w:rPr>
        <w:t xml:space="preserve"> Time Frame</w:t>
      </w:r>
      <w:r w:rsidRPr="007350BD">
        <w:t>: Because long-term patterns predominate and short-term changes have less of an impact, OHRs are often the lowest. The lesser frequency, meanwhile, might understate the necessity of careful hedging</w:t>
      </w:r>
      <w:r>
        <w:t xml:space="preserve"> in volatile markets</w:t>
      </w:r>
      <w:r w:rsidRPr="007350BD">
        <w:t>.</w:t>
      </w:r>
    </w:p>
    <w:p w14:paraId="571FFBF1" w14:textId="77777777" w:rsidR="007350BD" w:rsidRDefault="007350BD" w:rsidP="007350BD">
      <w:pPr>
        <w:pStyle w:val="ListParagraph"/>
      </w:pPr>
    </w:p>
    <w:p w14:paraId="0CB51C94" w14:textId="4D75032F" w:rsidR="007350BD" w:rsidRPr="00092F29" w:rsidRDefault="00C0090D" w:rsidP="007350BD">
      <w:pPr>
        <w:pStyle w:val="ListParagraph"/>
        <w:rPr>
          <w:b/>
          <w:bCs/>
          <w:sz w:val="24"/>
          <w:szCs w:val="24"/>
        </w:rPr>
      </w:pPr>
      <w:r w:rsidRPr="00092F29">
        <w:rPr>
          <w:b/>
          <w:bCs/>
          <w:sz w:val="24"/>
          <w:szCs w:val="24"/>
        </w:rPr>
        <w:t xml:space="preserve">Calculating </w:t>
      </w:r>
      <w:r w:rsidR="00092F29" w:rsidRPr="00092F29">
        <w:rPr>
          <w:b/>
          <w:bCs/>
          <w:sz w:val="24"/>
          <w:szCs w:val="24"/>
        </w:rPr>
        <w:t>Optimal Contract</w:t>
      </w:r>
      <w:r w:rsidRPr="00092F29">
        <w:rPr>
          <w:b/>
          <w:bCs/>
          <w:sz w:val="24"/>
          <w:szCs w:val="24"/>
        </w:rPr>
        <w:t>s: -</w:t>
      </w:r>
    </w:p>
    <w:p w14:paraId="22F8FFDB" w14:textId="77777777" w:rsidR="00C0090D" w:rsidRDefault="00C0090D" w:rsidP="007350BD">
      <w:pPr>
        <w:pStyle w:val="ListParagraph"/>
      </w:pPr>
    </w:p>
    <w:p w14:paraId="375D4854" w14:textId="235C320E" w:rsidR="007350BD" w:rsidRPr="007350BD" w:rsidRDefault="007350BD" w:rsidP="007350BD">
      <w:pPr>
        <w:pStyle w:val="ListParagraph"/>
      </w:pPr>
      <w:r>
        <w:lastRenderedPageBreak/>
        <w:t>Now, using the above calculated OHRs, the values of our stocks in our portfolio and the values of our individual future contracts, we calculate optimal number of contracts to by for each time frame for each stock. We use both one-year and two-year data.</w:t>
      </w:r>
    </w:p>
    <w:p w14:paraId="0D640257" w14:textId="77777777" w:rsidR="007350BD" w:rsidRDefault="007350BD" w:rsidP="00C93013">
      <w:pPr>
        <w:pStyle w:val="ListParagraph"/>
      </w:pPr>
    </w:p>
    <w:tbl>
      <w:tblPr>
        <w:tblStyle w:val="TableGrid"/>
        <w:tblW w:w="0" w:type="auto"/>
        <w:jc w:val="center"/>
        <w:tblLook w:val="04A0" w:firstRow="1" w:lastRow="0" w:firstColumn="1" w:lastColumn="0" w:noHBand="0" w:noVBand="1"/>
      </w:tblPr>
      <w:tblGrid>
        <w:gridCol w:w="2336"/>
        <w:gridCol w:w="1918"/>
        <w:gridCol w:w="2127"/>
        <w:gridCol w:w="2131"/>
      </w:tblGrid>
      <w:tr w:rsidR="007350BD" w14:paraId="054763B2" w14:textId="77777777" w:rsidTr="00BA75F0">
        <w:trPr>
          <w:trHeight w:val="340"/>
          <w:jc w:val="center"/>
        </w:trPr>
        <w:tc>
          <w:tcPr>
            <w:tcW w:w="8512" w:type="dxa"/>
            <w:gridSpan w:val="4"/>
            <w:vAlign w:val="center"/>
          </w:tcPr>
          <w:p w14:paraId="01506BE2" w14:textId="77777777" w:rsidR="007350BD" w:rsidRDefault="007350BD" w:rsidP="001D56EF">
            <w:pPr>
              <w:jc w:val="both"/>
              <w:rPr>
                <w:lang w:val="en-US"/>
              </w:rPr>
            </w:pPr>
            <w:r>
              <w:rPr>
                <w:lang w:val="en-US"/>
              </w:rPr>
              <w:t>Using 1 year data</w:t>
            </w:r>
          </w:p>
        </w:tc>
      </w:tr>
      <w:tr w:rsidR="007350BD" w14:paraId="686F0868" w14:textId="77777777" w:rsidTr="0097770C">
        <w:trPr>
          <w:trHeight w:val="340"/>
          <w:jc w:val="center"/>
        </w:trPr>
        <w:tc>
          <w:tcPr>
            <w:tcW w:w="2336" w:type="dxa"/>
          </w:tcPr>
          <w:p w14:paraId="1EC845AF" w14:textId="77777777" w:rsidR="007350BD" w:rsidRPr="007C7312" w:rsidRDefault="007350BD" w:rsidP="001D56EF">
            <w:pPr>
              <w:jc w:val="both"/>
              <w:rPr>
                <w:lang w:val="en-US"/>
              </w:rPr>
            </w:pPr>
            <w:r>
              <w:rPr>
                <w:lang w:val="en-US"/>
              </w:rPr>
              <w:t>Optimal Contracts</w:t>
            </w:r>
          </w:p>
        </w:tc>
        <w:tc>
          <w:tcPr>
            <w:tcW w:w="1918" w:type="dxa"/>
          </w:tcPr>
          <w:p w14:paraId="04261B62" w14:textId="77777777" w:rsidR="007350BD" w:rsidRPr="007C7312" w:rsidRDefault="007350BD" w:rsidP="001D56EF">
            <w:pPr>
              <w:jc w:val="both"/>
              <w:rPr>
                <w:lang w:val="en-US"/>
              </w:rPr>
            </w:pPr>
            <w:r>
              <w:rPr>
                <w:lang w:val="en-US"/>
              </w:rPr>
              <w:t>Day Returns</w:t>
            </w:r>
          </w:p>
        </w:tc>
        <w:tc>
          <w:tcPr>
            <w:tcW w:w="2127" w:type="dxa"/>
          </w:tcPr>
          <w:p w14:paraId="44F539C2" w14:textId="77777777" w:rsidR="007350BD" w:rsidRPr="007C7312" w:rsidRDefault="007350BD" w:rsidP="001D56EF">
            <w:pPr>
              <w:jc w:val="both"/>
              <w:rPr>
                <w:lang w:val="en-US"/>
              </w:rPr>
            </w:pPr>
            <w:r>
              <w:rPr>
                <w:lang w:val="en-US"/>
              </w:rPr>
              <w:t>Weekly Returns</w:t>
            </w:r>
          </w:p>
        </w:tc>
        <w:tc>
          <w:tcPr>
            <w:tcW w:w="2131" w:type="dxa"/>
          </w:tcPr>
          <w:p w14:paraId="0EB59DAF" w14:textId="77777777" w:rsidR="007350BD" w:rsidRPr="007C7312" w:rsidRDefault="007350BD" w:rsidP="001D56EF">
            <w:pPr>
              <w:jc w:val="both"/>
              <w:rPr>
                <w:lang w:val="en-US"/>
              </w:rPr>
            </w:pPr>
            <w:r>
              <w:rPr>
                <w:lang w:val="en-US"/>
              </w:rPr>
              <w:t>Monthly Returns</w:t>
            </w:r>
          </w:p>
        </w:tc>
      </w:tr>
      <w:tr w:rsidR="0097770C" w14:paraId="5C7B531E" w14:textId="77777777" w:rsidTr="0097770C">
        <w:trPr>
          <w:trHeight w:val="356"/>
          <w:jc w:val="center"/>
        </w:trPr>
        <w:tc>
          <w:tcPr>
            <w:tcW w:w="2336" w:type="dxa"/>
          </w:tcPr>
          <w:p w14:paraId="06A262B7" w14:textId="5D821171" w:rsidR="0097770C" w:rsidRPr="007C7312" w:rsidRDefault="0097770C" w:rsidP="0097770C">
            <w:pPr>
              <w:jc w:val="both"/>
              <w:rPr>
                <w:lang w:val="en-US"/>
              </w:rPr>
            </w:pPr>
            <w:r>
              <w:rPr>
                <w:lang w:val="en-US"/>
              </w:rPr>
              <w:t>IDBI</w:t>
            </w:r>
          </w:p>
        </w:tc>
        <w:tc>
          <w:tcPr>
            <w:tcW w:w="1918" w:type="dxa"/>
          </w:tcPr>
          <w:p w14:paraId="1EB1AD4C" w14:textId="7B5B9637" w:rsidR="0097770C" w:rsidRPr="007C7312" w:rsidRDefault="0097770C" w:rsidP="0097770C">
            <w:pPr>
              <w:jc w:val="both"/>
              <w:rPr>
                <w:lang w:val="en-US"/>
              </w:rPr>
            </w:pPr>
            <w:r>
              <w:rPr>
                <w:lang w:val="en-US"/>
              </w:rPr>
              <w:t>4.59</w:t>
            </w:r>
          </w:p>
        </w:tc>
        <w:tc>
          <w:tcPr>
            <w:tcW w:w="2127" w:type="dxa"/>
          </w:tcPr>
          <w:p w14:paraId="2151F389" w14:textId="07073F38" w:rsidR="0097770C" w:rsidRPr="007C7312" w:rsidRDefault="0097770C" w:rsidP="0097770C">
            <w:pPr>
              <w:jc w:val="both"/>
              <w:rPr>
                <w:lang w:val="en-US"/>
              </w:rPr>
            </w:pPr>
            <w:r>
              <w:rPr>
                <w:lang w:val="en-US"/>
              </w:rPr>
              <w:t>1.29</w:t>
            </w:r>
          </w:p>
        </w:tc>
        <w:tc>
          <w:tcPr>
            <w:tcW w:w="2131" w:type="dxa"/>
          </w:tcPr>
          <w:p w14:paraId="5FF887B7" w14:textId="1D1BE93F" w:rsidR="0097770C" w:rsidRPr="007C7312" w:rsidRDefault="0097770C" w:rsidP="0097770C">
            <w:pPr>
              <w:jc w:val="both"/>
              <w:rPr>
                <w:lang w:val="en-US"/>
              </w:rPr>
            </w:pPr>
            <w:r>
              <w:rPr>
                <w:lang w:val="en-US"/>
              </w:rPr>
              <w:t>-0.402</w:t>
            </w:r>
          </w:p>
        </w:tc>
      </w:tr>
      <w:tr w:rsidR="0097770C" w14:paraId="700333F8" w14:textId="77777777" w:rsidTr="0097770C">
        <w:trPr>
          <w:trHeight w:val="340"/>
          <w:jc w:val="center"/>
        </w:trPr>
        <w:tc>
          <w:tcPr>
            <w:tcW w:w="2336" w:type="dxa"/>
          </w:tcPr>
          <w:p w14:paraId="0230855C" w14:textId="03DB20CB" w:rsidR="0097770C" w:rsidRPr="007C7312" w:rsidRDefault="0097770C" w:rsidP="0097770C">
            <w:pPr>
              <w:jc w:val="both"/>
              <w:rPr>
                <w:lang w:val="en-US"/>
              </w:rPr>
            </w:pPr>
            <w:r>
              <w:rPr>
                <w:lang w:val="en-US"/>
              </w:rPr>
              <w:t>ENDURANCE</w:t>
            </w:r>
          </w:p>
        </w:tc>
        <w:tc>
          <w:tcPr>
            <w:tcW w:w="1918" w:type="dxa"/>
          </w:tcPr>
          <w:p w14:paraId="1A78DDA3" w14:textId="732D84DE" w:rsidR="0097770C" w:rsidRPr="007C7312" w:rsidRDefault="0097770C" w:rsidP="0097770C">
            <w:pPr>
              <w:jc w:val="both"/>
              <w:rPr>
                <w:lang w:val="en-US"/>
              </w:rPr>
            </w:pPr>
            <w:r>
              <w:rPr>
                <w:lang w:val="en-US"/>
              </w:rPr>
              <w:t>13.91</w:t>
            </w:r>
          </w:p>
        </w:tc>
        <w:tc>
          <w:tcPr>
            <w:tcW w:w="2127" w:type="dxa"/>
          </w:tcPr>
          <w:p w14:paraId="29DB6712" w14:textId="759CE343" w:rsidR="0097770C" w:rsidRPr="007C7312" w:rsidRDefault="0097770C" w:rsidP="0097770C">
            <w:pPr>
              <w:jc w:val="both"/>
              <w:rPr>
                <w:lang w:val="en-US"/>
              </w:rPr>
            </w:pPr>
            <w:r>
              <w:rPr>
                <w:lang w:val="en-US"/>
              </w:rPr>
              <w:t>14.97</w:t>
            </w:r>
          </w:p>
        </w:tc>
        <w:tc>
          <w:tcPr>
            <w:tcW w:w="2131" w:type="dxa"/>
          </w:tcPr>
          <w:p w14:paraId="610DF880" w14:textId="29361B21" w:rsidR="0097770C" w:rsidRPr="007C7312" w:rsidRDefault="0097770C" w:rsidP="0097770C">
            <w:pPr>
              <w:jc w:val="both"/>
              <w:rPr>
                <w:lang w:val="en-US"/>
              </w:rPr>
            </w:pPr>
            <w:r>
              <w:rPr>
                <w:lang w:val="en-US"/>
              </w:rPr>
              <w:t>24.70</w:t>
            </w:r>
          </w:p>
        </w:tc>
      </w:tr>
      <w:tr w:rsidR="0097770C" w14:paraId="06CB430A" w14:textId="77777777" w:rsidTr="0097770C">
        <w:trPr>
          <w:trHeight w:val="340"/>
          <w:jc w:val="center"/>
        </w:trPr>
        <w:tc>
          <w:tcPr>
            <w:tcW w:w="2336" w:type="dxa"/>
          </w:tcPr>
          <w:p w14:paraId="45ED9965" w14:textId="0ED4B612" w:rsidR="0097770C" w:rsidRPr="007C7312" w:rsidRDefault="0097770C" w:rsidP="0097770C">
            <w:pPr>
              <w:jc w:val="both"/>
              <w:rPr>
                <w:lang w:val="en-US"/>
              </w:rPr>
            </w:pPr>
            <w:r>
              <w:rPr>
                <w:lang w:val="en-US"/>
              </w:rPr>
              <w:t>SRF</w:t>
            </w:r>
          </w:p>
        </w:tc>
        <w:tc>
          <w:tcPr>
            <w:tcW w:w="1918" w:type="dxa"/>
          </w:tcPr>
          <w:p w14:paraId="47228B89" w14:textId="6519C46B" w:rsidR="0097770C" w:rsidRPr="007C7312" w:rsidRDefault="0097770C" w:rsidP="0097770C">
            <w:pPr>
              <w:jc w:val="both"/>
              <w:rPr>
                <w:lang w:val="en-US"/>
              </w:rPr>
            </w:pPr>
            <w:r>
              <w:rPr>
                <w:lang w:val="en-US"/>
              </w:rPr>
              <w:t>12.09</w:t>
            </w:r>
          </w:p>
        </w:tc>
        <w:tc>
          <w:tcPr>
            <w:tcW w:w="2127" w:type="dxa"/>
          </w:tcPr>
          <w:p w14:paraId="134FEA6D" w14:textId="66C192D0" w:rsidR="0097770C" w:rsidRPr="007C7312" w:rsidRDefault="0097770C" w:rsidP="0097770C">
            <w:pPr>
              <w:jc w:val="both"/>
              <w:rPr>
                <w:lang w:val="en-US"/>
              </w:rPr>
            </w:pPr>
            <w:r>
              <w:rPr>
                <w:lang w:val="en-US"/>
              </w:rPr>
              <w:t>11.41</w:t>
            </w:r>
          </w:p>
        </w:tc>
        <w:tc>
          <w:tcPr>
            <w:tcW w:w="2131" w:type="dxa"/>
          </w:tcPr>
          <w:p w14:paraId="7BE12166" w14:textId="65920899" w:rsidR="0097770C" w:rsidRPr="007C7312" w:rsidRDefault="0097770C" w:rsidP="0097770C">
            <w:pPr>
              <w:jc w:val="both"/>
              <w:rPr>
                <w:lang w:val="en-US"/>
              </w:rPr>
            </w:pPr>
            <w:r>
              <w:rPr>
                <w:lang w:val="en-US"/>
              </w:rPr>
              <w:t>6.28</w:t>
            </w:r>
          </w:p>
        </w:tc>
      </w:tr>
      <w:tr w:rsidR="0097770C" w14:paraId="48D61B00" w14:textId="77777777" w:rsidTr="0097770C">
        <w:trPr>
          <w:trHeight w:val="340"/>
          <w:jc w:val="center"/>
        </w:trPr>
        <w:tc>
          <w:tcPr>
            <w:tcW w:w="2336" w:type="dxa"/>
          </w:tcPr>
          <w:p w14:paraId="3ED78936" w14:textId="33A00E50" w:rsidR="0097770C" w:rsidRPr="007C7312" w:rsidRDefault="0097770C" w:rsidP="0097770C">
            <w:pPr>
              <w:jc w:val="both"/>
              <w:rPr>
                <w:lang w:val="en-US"/>
              </w:rPr>
            </w:pPr>
            <w:r>
              <w:rPr>
                <w:lang w:val="en-US"/>
              </w:rPr>
              <w:t>EXIDE</w:t>
            </w:r>
          </w:p>
        </w:tc>
        <w:tc>
          <w:tcPr>
            <w:tcW w:w="1918" w:type="dxa"/>
          </w:tcPr>
          <w:p w14:paraId="6DB7A765" w14:textId="5995A0FF" w:rsidR="0097770C" w:rsidRPr="007C7312" w:rsidRDefault="0097770C" w:rsidP="0097770C">
            <w:pPr>
              <w:jc w:val="both"/>
              <w:rPr>
                <w:lang w:val="en-US"/>
              </w:rPr>
            </w:pPr>
            <w:r>
              <w:rPr>
                <w:lang w:val="en-US"/>
              </w:rPr>
              <w:t>15.06</w:t>
            </w:r>
          </w:p>
        </w:tc>
        <w:tc>
          <w:tcPr>
            <w:tcW w:w="2127" w:type="dxa"/>
          </w:tcPr>
          <w:p w14:paraId="399DB22C" w14:textId="658AABEF" w:rsidR="0097770C" w:rsidRPr="007C7312" w:rsidRDefault="0097770C" w:rsidP="0097770C">
            <w:pPr>
              <w:jc w:val="both"/>
              <w:rPr>
                <w:lang w:val="en-US"/>
              </w:rPr>
            </w:pPr>
            <w:r>
              <w:rPr>
                <w:lang w:val="en-US"/>
              </w:rPr>
              <w:t>8.84</w:t>
            </w:r>
          </w:p>
        </w:tc>
        <w:tc>
          <w:tcPr>
            <w:tcW w:w="2131" w:type="dxa"/>
          </w:tcPr>
          <w:p w14:paraId="71C90BC9" w14:textId="384BC33E" w:rsidR="0097770C" w:rsidRPr="007C7312" w:rsidRDefault="0097770C" w:rsidP="0097770C">
            <w:pPr>
              <w:jc w:val="both"/>
              <w:rPr>
                <w:lang w:val="en-US"/>
              </w:rPr>
            </w:pPr>
            <w:r>
              <w:rPr>
                <w:lang w:val="en-US"/>
              </w:rPr>
              <w:t>8.12</w:t>
            </w:r>
          </w:p>
        </w:tc>
      </w:tr>
      <w:tr w:rsidR="007350BD" w14:paraId="3DF59354" w14:textId="77777777" w:rsidTr="00BA75F0">
        <w:trPr>
          <w:trHeight w:val="356"/>
          <w:jc w:val="center"/>
        </w:trPr>
        <w:tc>
          <w:tcPr>
            <w:tcW w:w="8512" w:type="dxa"/>
            <w:gridSpan w:val="4"/>
            <w:vAlign w:val="center"/>
          </w:tcPr>
          <w:p w14:paraId="58D6A7F0" w14:textId="77777777" w:rsidR="007350BD" w:rsidRPr="007C7312" w:rsidRDefault="007350BD" w:rsidP="001D56EF">
            <w:pPr>
              <w:jc w:val="both"/>
              <w:rPr>
                <w:lang w:val="en-US"/>
              </w:rPr>
            </w:pPr>
            <w:r>
              <w:rPr>
                <w:lang w:val="en-US"/>
              </w:rPr>
              <w:t>Using 2- years data</w:t>
            </w:r>
          </w:p>
        </w:tc>
      </w:tr>
      <w:tr w:rsidR="007350BD" w:rsidRPr="007C7312" w14:paraId="08B23364" w14:textId="77777777" w:rsidTr="0097770C">
        <w:tblPrEx>
          <w:jc w:val="left"/>
        </w:tblPrEx>
        <w:trPr>
          <w:trHeight w:val="340"/>
        </w:trPr>
        <w:tc>
          <w:tcPr>
            <w:tcW w:w="2336" w:type="dxa"/>
          </w:tcPr>
          <w:p w14:paraId="1121E1FF" w14:textId="77777777" w:rsidR="007350BD" w:rsidRPr="007C7312" w:rsidRDefault="007350BD" w:rsidP="001D56EF">
            <w:pPr>
              <w:jc w:val="both"/>
              <w:rPr>
                <w:lang w:val="en-US"/>
              </w:rPr>
            </w:pPr>
            <w:r>
              <w:rPr>
                <w:lang w:val="en-US"/>
              </w:rPr>
              <w:t>Optimal Contracts</w:t>
            </w:r>
          </w:p>
        </w:tc>
        <w:tc>
          <w:tcPr>
            <w:tcW w:w="1918" w:type="dxa"/>
          </w:tcPr>
          <w:p w14:paraId="5BE7BD5D" w14:textId="77777777" w:rsidR="007350BD" w:rsidRPr="007C7312" w:rsidRDefault="007350BD" w:rsidP="001D56EF">
            <w:pPr>
              <w:jc w:val="both"/>
              <w:rPr>
                <w:lang w:val="en-US"/>
              </w:rPr>
            </w:pPr>
            <w:r>
              <w:rPr>
                <w:lang w:val="en-US"/>
              </w:rPr>
              <w:t>Day Returns</w:t>
            </w:r>
          </w:p>
        </w:tc>
        <w:tc>
          <w:tcPr>
            <w:tcW w:w="2127" w:type="dxa"/>
          </w:tcPr>
          <w:p w14:paraId="64588ECC" w14:textId="77777777" w:rsidR="007350BD" w:rsidRPr="007C7312" w:rsidRDefault="007350BD" w:rsidP="001D56EF">
            <w:pPr>
              <w:jc w:val="both"/>
              <w:rPr>
                <w:lang w:val="en-US"/>
              </w:rPr>
            </w:pPr>
            <w:r>
              <w:rPr>
                <w:lang w:val="en-US"/>
              </w:rPr>
              <w:t>Weekly Returns</w:t>
            </w:r>
          </w:p>
        </w:tc>
        <w:tc>
          <w:tcPr>
            <w:tcW w:w="2131" w:type="dxa"/>
          </w:tcPr>
          <w:p w14:paraId="346B052C" w14:textId="77777777" w:rsidR="007350BD" w:rsidRPr="007C7312" w:rsidRDefault="007350BD" w:rsidP="001D56EF">
            <w:pPr>
              <w:jc w:val="both"/>
              <w:rPr>
                <w:lang w:val="en-US"/>
              </w:rPr>
            </w:pPr>
            <w:r>
              <w:rPr>
                <w:lang w:val="en-US"/>
              </w:rPr>
              <w:t>Monthly Returns</w:t>
            </w:r>
          </w:p>
        </w:tc>
      </w:tr>
      <w:tr w:rsidR="0097770C" w:rsidRPr="007C7312" w14:paraId="0F9706A0" w14:textId="77777777" w:rsidTr="0097770C">
        <w:tblPrEx>
          <w:jc w:val="left"/>
        </w:tblPrEx>
        <w:trPr>
          <w:trHeight w:val="340"/>
        </w:trPr>
        <w:tc>
          <w:tcPr>
            <w:tcW w:w="2336" w:type="dxa"/>
          </w:tcPr>
          <w:p w14:paraId="376A44F7" w14:textId="1F4ADCA9" w:rsidR="0097770C" w:rsidRPr="007C7312" w:rsidRDefault="0097770C" w:rsidP="0097770C">
            <w:pPr>
              <w:jc w:val="both"/>
              <w:rPr>
                <w:lang w:val="en-US"/>
              </w:rPr>
            </w:pPr>
            <w:r>
              <w:rPr>
                <w:lang w:val="en-US"/>
              </w:rPr>
              <w:t>IDBI</w:t>
            </w:r>
          </w:p>
        </w:tc>
        <w:tc>
          <w:tcPr>
            <w:tcW w:w="1918" w:type="dxa"/>
          </w:tcPr>
          <w:p w14:paraId="02E49612" w14:textId="00FE8038" w:rsidR="0097770C" w:rsidRPr="007C7312" w:rsidRDefault="0097770C" w:rsidP="0097770C">
            <w:pPr>
              <w:jc w:val="both"/>
              <w:rPr>
                <w:lang w:val="en-US"/>
              </w:rPr>
            </w:pPr>
            <w:r>
              <w:rPr>
                <w:lang w:val="en-US"/>
              </w:rPr>
              <w:t>3.86</w:t>
            </w:r>
          </w:p>
        </w:tc>
        <w:tc>
          <w:tcPr>
            <w:tcW w:w="2127" w:type="dxa"/>
          </w:tcPr>
          <w:p w14:paraId="165DD7F4" w14:textId="26A04A8E" w:rsidR="0097770C" w:rsidRPr="007C7312" w:rsidRDefault="0097770C" w:rsidP="0097770C">
            <w:pPr>
              <w:jc w:val="both"/>
              <w:rPr>
                <w:lang w:val="en-US"/>
              </w:rPr>
            </w:pPr>
            <w:r>
              <w:rPr>
                <w:lang w:val="en-US"/>
              </w:rPr>
              <w:t>2.59</w:t>
            </w:r>
          </w:p>
        </w:tc>
        <w:tc>
          <w:tcPr>
            <w:tcW w:w="2131" w:type="dxa"/>
          </w:tcPr>
          <w:p w14:paraId="293273F3" w14:textId="46F85CFD" w:rsidR="0097770C" w:rsidRPr="007C7312" w:rsidRDefault="0097770C" w:rsidP="0097770C">
            <w:pPr>
              <w:jc w:val="both"/>
              <w:rPr>
                <w:lang w:val="en-US"/>
              </w:rPr>
            </w:pPr>
            <w:r>
              <w:rPr>
                <w:lang w:val="en-US"/>
              </w:rPr>
              <w:t>2.69</w:t>
            </w:r>
          </w:p>
        </w:tc>
      </w:tr>
      <w:tr w:rsidR="0097770C" w:rsidRPr="007C7312" w14:paraId="6CC79977" w14:textId="77777777" w:rsidTr="0097770C">
        <w:tblPrEx>
          <w:jc w:val="left"/>
        </w:tblPrEx>
        <w:trPr>
          <w:trHeight w:val="340"/>
        </w:trPr>
        <w:tc>
          <w:tcPr>
            <w:tcW w:w="2336" w:type="dxa"/>
          </w:tcPr>
          <w:p w14:paraId="2FE5D755" w14:textId="191D6F47" w:rsidR="0097770C" w:rsidRPr="007C7312" w:rsidRDefault="0097770C" w:rsidP="0097770C">
            <w:pPr>
              <w:jc w:val="both"/>
              <w:rPr>
                <w:lang w:val="en-US"/>
              </w:rPr>
            </w:pPr>
            <w:r>
              <w:rPr>
                <w:lang w:val="en-US"/>
              </w:rPr>
              <w:t>ENDURANCE</w:t>
            </w:r>
          </w:p>
        </w:tc>
        <w:tc>
          <w:tcPr>
            <w:tcW w:w="1918" w:type="dxa"/>
          </w:tcPr>
          <w:p w14:paraId="1F829BFE" w14:textId="4097917B" w:rsidR="0097770C" w:rsidRPr="007C7312" w:rsidRDefault="0097770C" w:rsidP="0097770C">
            <w:pPr>
              <w:jc w:val="both"/>
              <w:rPr>
                <w:lang w:val="en-US"/>
              </w:rPr>
            </w:pPr>
            <w:r>
              <w:rPr>
                <w:lang w:val="en-US"/>
              </w:rPr>
              <w:t>10.89</w:t>
            </w:r>
          </w:p>
        </w:tc>
        <w:tc>
          <w:tcPr>
            <w:tcW w:w="2127" w:type="dxa"/>
          </w:tcPr>
          <w:p w14:paraId="70A71704" w14:textId="1DCF05F2" w:rsidR="0097770C" w:rsidRPr="007C7312" w:rsidRDefault="0097770C" w:rsidP="0097770C">
            <w:pPr>
              <w:jc w:val="both"/>
              <w:rPr>
                <w:lang w:val="en-US"/>
              </w:rPr>
            </w:pPr>
            <w:r>
              <w:rPr>
                <w:lang w:val="en-US"/>
              </w:rPr>
              <w:t>17.82</w:t>
            </w:r>
          </w:p>
        </w:tc>
        <w:tc>
          <w:tcPr>
            <w:tcW w:w="2131" w:type="dxa"/>
          </w:tcPr>
          <w:p w14:paraId="552AFA0D" w14:textId="2675668C" w:rsidR="0097770C" w:rsidRPr="007C7312" w:rsidRDefault="0097770C" w:rsidP="0097770C">
            <w:pPr>
              <w:jc w:val="both"/>
              <w:rPr>
                <w:lang w:val="en-US"/>
              </w:rPr>
            </w:pPr>
            <w:r>
              <w:rPr>
                <w:lang w:val="en-US"/>
              </w:rPr>
              <w:t>29.56</w:t>
            </w:r>
          </w:p>
        </w:tc>
      </w:tr>
      <w:tr w:rsidR="0097770C" w:rsidRPr="007C7312" w14:paraId="4BF01AE7" w14:textId="77777777" w:rsidTr="0097770C">
        <w:tblPrEx>
          <w:jc w:val="left"/>
        </w:tblPrEx>
        <w:trPr>
          <w:trHeight w:val="356"/>
        </w:trPr>
        <w:tc>
          <w:tcPr>
            <w:tcW w:w="2336" w:type="dxa"/>
          </w:tcPr>
          <w:p w14:paraId="405754C7" w14:textId="30ACE6A8" w:rsidR="0097770C" w:rsidRPr="007C7312" w:rsidRDefault="0097770C" w:rsidP="0097770C">
            <w:pPr>
              <w:jc w:val="both"/>
              <w:rPr>
                <w:lang w:val="en-US"/>
              </w:rPr>
            </w:pPr>
            <w:r>
              <w:rPr>
                <w:lang w:val="en-US"/>
              </w:rPr>
              <w:t>SRF</w:t>
            </w:r>
          </w:p>
        </w:tc>
        <w:tc>
          <w:tcPr>
            <w:tcW w:w="1918" w:type="dxa"/>
          </w:tcPr>
          <w:p w14:paraId="715C3B85" w14:textId="722DABD3" w:rsidR="0097770C" w:rsidRPr="007C7312" w:rsidRDefault="0097770C" w:rsidP="0097770C">
            <w:pPr>
              <w:jc w:val="both"/>
              <w:rPr>
                <w:lang w:val="en-US"/>
              </w:rPr>
            </w:pPr>
            <w:r>
              <w:rPr>
                <w:lang w:val="en-US"/>
              </w:rPr>
              <w:t>4.34</w:t>
            </w:r>
          </w:p>
        </w:tc>
        <w:tc>
          <w:tcPr>
            <w:tcW w:w="2127" w:type="dxa"/>
          </w:tcPr>
          <w:p w14:paraId="7A64465D" w14:textId="72F71435" w:rsidR="0097770C" w:rsidRPr="007C7312" w:rsidRDefault="0097770C" w:rsidP="0097770C">
            <w:pPr>
              <w:jc w:val="both"/>
              <w:rPr>
                <w:lang w:val="en-US"/>
              </w:rPr>
            </w:pPr>
            <w:r>
              <w:rPr>
                <w:lang w:val="en-US"/>
              </w:rPr>
              <w:t>4.60</w:t>
            </w:r>
          </w:p>
        </w:tc>
        <w:tc>
          <w:tcPr>
            <w:tcW w:w="2131" w:type="dxa"/>
          </w:tcPr>
          <w:p w14:paraId="73EC5119" w14:textId="0A6CF7A0" w:rsidR="0097770C" w:rsidRPr="007C7312" w:rsidRDefault="0097770C" w:rsidP="0097770C">
            <w:pPr>
              <w:jc w:val="both"/>
              <w:rPr>
                <w:lang w:val="en-US"/>
              </w:rPr>
            </w:pPr>
            <w:r>
              <w:rPr>
                <w:lang w:val="en-US"/>
              </w:rPr>
              <w:t>1.36</w:t>
            </w:r>
          </w:p>
        </w:tc>
      </w:tr>
      <w:tr w:rsidR="0097770C" w:rsidRPr="007C7312" w14:paraId="17CCC5AA" w14:textId="77777777" w:rsidTr="0097770C">
        <w:tblPrEx>
          <w:jc w:val="left"/>
        </w:tblPrEx>
        <w:trPr>
          <w:trHeight w:val="340"/>
        </w:trPr>
        <w:tc>
          <w:tcPr>
            <w:tcW w:w="2336" w:type="dxa"/>
          </w:tcPr>
          <w:p w14:paraId="5544DC45" w14:textId="148ADF86" w:rsidR="0097770C" w:rsidRPr="007C7312" w:rsidRDefault="0097770C" w:rsidP="0097770C">
            <w:pPr>
              <w:jc w:val="both"/>
              <w:rPr>
                <w:lang w:val="en-US"/>
              </w:rPr>
            </w:pPr>
            <w:r>
              <w:rPr>
                <w:lang w:val="en-US"/>
              </w:rPr>
              <w:t>EXIDE</w:t>
            </w:r>
          </w:p>
        </w:tc>
        <w:tc>
          <w:tcPr>
            <w:tcW w:w="1918" w:type="dxa"/>
          </w:tcPr>
          <w:p w14:paraId="4DC3206D" w14:textId="087E23E8" w:rsidR="0097770C" w:rsidRPr="007C7312" w:rsidRDefault="0097770C" w:rsidP="0097770C">
            <w:pPr>
              <w:jc w:val="both"/>
              <w:rPr>
                <w:lang w:val="en-US"/>
              </w:rPr>
            </w:pPr>
            <w:r>
              <w:rPr>
                <w:lang w:val="en-US"/>
              </w:rPr>
              <w:t>11.52</w:t>
            </w:r>
          </w:p>
        </w:tc>
        <w:tc>
          <w:tcPr>
            <w:tcW w:w="2127" w:type="dxa"/>
          </w:tcPr>
          <w:p w14:paraId="51BFDBE0" w14:textId="29A232D9" w:rsidR="0097770C" w:rsidRPr="007C7312" w:rsidRDefault="0097770C" w:rsidP="0097770C">
            <w:pPr>
              <w:jc w:val="both"/>
              <w:rPr>
                <w:lang w:val="en-US"/>
              </w:rPr>
            </w:pPr>
            <w:r>
              <w:rPr>
                <w:lang w:val="en-US"/>
              </w:rPr>
              <w:t>6.37</w:t>
            </w:r>
          </w:p>
        </w:tc>
        <w:tc>
          <w:tcPr>
            <w:tcW w:w="2131" w:type="dxa"/>
          </w:tcPr>
          <w:p w14:paraId="4862F7E4" w14:textId="77138685" w:rsidR="0097770C" w:rsidRPr="007C7312" w:rsidRDefault="0097770C" w:rsidP="0097770C">
            <w:pPr>
              <w:jc w:val="both"/>
              <w:rPr>
                <w:lang w:val="en-US"/>
              </w:rPr>
            </w:pPr>
            <w:r>
              <w:rPr>
                <w:lang w:val="en-US"/>
              </w:rPr>
              <w:t>11.85</w:t>
            </w:r>
          </w:p>
        </w:tc>
      </w:tr>
    </w:tbl>
    <w:p w14:paraId="25351AC3" w14:textId="77777777" w:rsidR="007350BD" w:rsidRDefault="007350BD" w:rsidP="00C93013">
      <w:pPr>
        <w:pStyle w:val="ListParagraph"/>
      </w:pPr>
    </w:p>
    <w:p w14:paraId="3A7CB9C6" w14:textId="77777777" w:rsidR="0097770C" w:rsidRDefault="0097770C" w:rsidP="00C93013">
      <w:pPr>
        <w:pStyle w:val="ListParagraph"/>
      </w:pPr>
    </w:p>
    <w:p w14:paraId="4E506698" w14:textId="4C5181E5" w:rsidR="0097770C" w:rsidRDefault="0097770C" w:rsidP="00C93013">
      <w:pPr>
        <w:pStyle w:val="ListParagraph"/>
      </w:pPr>
      <w:r>
        <w:t>Based on daily returns from the past two years, the optimal number of futures contracts to be bought for IDBI, ENDURANCE, SRF, and EXIDE are 3.86, 10.89, 4.34 and 11.52 respectfully.</w:t>
      </w:r>
    </w:p>
    <w:p w14:paraId="0AC8BB9C" w14:textId="77777777" w:rsidR="00DF235E" w:rsidRDefault="00DF235E" w:rsidP="00C93013">
      <w:pPr>
        <w:pStyle w:val="ListParagraph"/>
      </w:pPr>
    </w:p>
    <w:p w14:paraId="34F0D4BE" w14:textId="77777777" w:rsidR="00092F29" w:rsidRDefault="00092F29" w:rsidP="00092F29">
      <w:pPr>
        <w:rPr>
          <w:b/>
          <w:bCs/>
          <w:sz w:val="24"/>
          <w:szCs w:val="24"/>
        </w:rPr>
      </w:pPr>
    </w:p>
    <w:p w14:paraId="03D4D7B1" w14:textId="7B4C3096" w:rsidR="00DF235E" w:rsidRPr="00092F29" w:rsidRDefault="00DF235E" w:rsidP="00092F29">
      <w:pPr>
        <w:rPr>
          <w:b/>
          <w:bCs/>
          <w:sz w:val="24"/>
          <w:szCs w:val="24"/>
        </w:rPr>
      </w:pPr>
      <w:r w:rsidRPr="00092F29">
        <w:rPr>
          <w:b/>
          <w:bCs/>
          <w:sz w:val="24"/>
          <w:szCs w:val="24"/>
        </w:rPr>
        <w:t>Hedging Strategy: -</w:t>
      </w:r>
    </w:p>
    <w:p w14:paraId="11981A75" w14:textId="77777777" w:rsidR="00DF235E" w:rsidRDefault="00DF235E" w:rsidP="00C93013">
      <w:pPr>
        <w:pStyle w:val="ListParagraph"/>
      </w:pPr>
    </w:p>
    <w:p w14:paraId="75ECCC91" w14:textId="3922A607" w:rsidR="00DF235E" w:rsidRDefault="00DF235E" w:rsidP="00C93013">
      <w:pPr>
        <w:pStyle w:val="ListParagraph"/>
      </w:pPr>
      <w:r>
        <w:t>Now that we know the optimum number of future contracts to buy, we can establish an appropriate hedging strategy. The table below details our strategy.</w:t>
      </w:r>
    </w:p>
    <w:p w14:paraId="462EB1E4" w14:textId="77777777" w:rsidR="00DF235E" w:rsidRDefault="00DF235E" w:rsidP="00C93013">
      <w:pPr>
        <w:pStyle w:val="ListParagraph"/>
      </w:pPr>
    </w:p>
    <w:tbl>
      <w:tblPr>
        <w:tblStyle w:val="TableGrid"/>
        <w:tblW w:w="10535" w:type="dxa"/>
        <w:tblInd w:w="-757" w:type="dxa"/>
        <w:tblLook w:val="04A0" w:firstRow="1" w:lastRow="0" w:firstColumn="1" w:lastColumn="0" w:noHBand="0" w:noVBand="1"/>
      </w:tblPr>
      <w:tblGrid>
        <w:gridCol w:w="1723"/>
        <w:gridCol w:w="1516"/>
        <w:gridCol w:w="1434"/>
        <w:gridCol w:w="1447"/>
        <w:gridCol w:w="1417"/>
        <w:gridCol w:w="1436"/>
        <w:gridCol w:w="1562"/>
      </w:tblGrid>
      <w:tr w:rsidR="00452554" w14:paraId="57BFB577" w14:textId="77777777" w:rsidTr="00452554">
        <w:trPr>
          <w:trHeight w:val="844"/>
        </w:trPr>
        <w:tc>
          <w:tcPr>
            <w:tcW w:w="1723" w:type="dxa"/>
          </w:tcPr>
          <w:p w14:paraId="58E353A1" w14:textId="68E38883" w:rsidR="00DF235E" w:rsidRDefault="00DF235E" w:rsidP="00C93013">
            <w:pPr>
              <w:pStyle w:val="ListParagraph"/>
              <w:ind w:left="0"/>
            </w:pPr>
            <w:r>
              <w:t>Stock</w:t>
            </w:r>
            <w:r w:rsidR="00452554">
              <w:t>/Index</w:t>
            </w:r>
          </w:p>
        </w:tc>
        <w:tc>
          <w:tcPr>
            <w:tcW w:w="1516" w:type="dxa"/>
          </w:tcPr>
          <w:p w14:paraId="240C369C" w14:textId="1D6516AF" w:rsidR="00DF235E" w:rsidRDefault="00DF235E" w:rsidP="00C93013">
            <w:pPr>
              <w:pStyle w:val="ListParagraph"/>
              <w:ind w:left="0"/>
            </w:pPr>
            <w:r>
              <w:t>Hedge Position</w:t>
            </w:r>
          </w:p>
        </w:tc>
        <w:tc>
          <w:tcPr>
            <w:tcW w:w="1434" w:type="dxa"/>
          </w:tcPr>
          <w:p w14:paraId="0397C077" w14:textId="38990863" w:rsidR="00DF235E" w:rsidRDefault="00DF235E" w:rsidP="00C93013">
            <w:pPr>
              <w:pStyle w:val="ListParagraph"/>
              <w:ind w:left="0"/>
            </w:pPr>
            <w:r>
              <w:t>Entry Date</w:t>
            </w:r>
          </w:p>
        </w:tc>
        <w:tc>
          <w:tcPr>
            <w:tcW w:w="1447" w:type="dxa"/>
          </w:tcPr>
          <w:p w14:paraId="6FBF34C6" w14:textId="545B88AA" w:rsidR="00DF235E" w:rsidRDefault="00DF235E" w:rsidP="00C93013">
            <w:pPr>
              <w:pStyle w:val="ListParagraph"/>
              <w:ind w:left="0"/>
            </w:pPr>
            <w:r>
              <w:t>Entry Price</w:t>
            </w:r>
          </w:p>
        </w:tc>
        <w:tc>
          <w:tcPr>
            <w:tcW w:w="1417" w:type="dxa"/>
          </w:tcPr>
          <w:p w14:paraId="15587BD4" w14:textId="7D4275FF" w:rsidR="00DF235E" w:rsidRDefault="00DF235E" w:rsidP="00C93013">
            <w:pPr>
              <w:pStyle w:val="ListParagraph"/>
              <w:ind w:left="0"/>
            </w:pPr>
            <w:r>
              <w:t>Exit Date</w:t>
            </w:r>
          </w:p>
        </w:tc>
        <w:tc>
          <w:tcPr>
            <w:tcW w:w="1436" w:type="dxa"/>
          </w:tcPr>
          <w:p w14:paraId="7E933D11" w14:textId="768F29A1" w:rsidR="00DF235E" w:rsidRDefault="00DF235E" w:rsidP="00C93013">
            <w:pPr>
              <w:pStyle w:val="ListParagraph"/>
              <w:ind w:left="0"/>
            </w:pPr>
            <w:r>
              <w:t>Close Out Price</w:t>
            </w:r>
          </w:p>
        </w:tc>
        <w:tc>
          <w:tcPr>
            <w:tcW w:w="1562" w:type="dxa"/>
          </w:tcPr>
          <w:p w14:paraId="719AB932" w14:textId="58360C5C" w:rsidR="00DF235E" w:rsidRDefault="00DF235E" w:rsidP="00C93013">
            <w:pPr>
              <w:pStyle w:val="ListParagraph"/>
              <w:ind w:left="0"/>
            </w:pPr>
            <w:r>
              <w:t>Number of Contracts</w:t>
            </w:r>
          </w:p>
        </w:tc>
      </w:tr>
      <w:tr w:rsidR="00452554" w14:paraId="2748EEDC" w14:textId="77777777" w:rsidTr="00452554">
        <w:trPr>
          <w:trHeight w:val="826"/>
        </w:trPr>
        <w:tc>
          <w:tcPr>
            <w:tcW w:w="1723" w:type="dxa"/>
          </w:tcPr>
          <w:p w14:paraId="35ADBFF9" w14:textId="77777777" w:rsidR="00DF235E" w:rsidRDefault="00452554" w:rsidP="00DF235E">
            <w:pPr>
              <w:pStyle w:val="ListParagraph"/>
              <w:ind w:left="0"/>
            </w:pPr>
            <w:r>
              <w:t>Bank NIFTY</w:t>
            </w:r>
          </w:p>
          <w:p w14:paraId="70A16B45" w14:textId="5FA97D7C" w:rsidR="00452554" w:rsidRDefault="00452554" w:rsidP="00DF235E">
            <w:pPr>
              <w:pStyle w:val="ListParagraph"/>
              <w:ind w:left="0"/>
            </w:pPr>
            <w:r>
              <w:t>(for IDBI)</w:t>
            </w:r>
          </w:p>
        </w:tc>
        <w:tc>
          <w:tcPr>
            <w:tcW w:w="1516" w:type="dxa"/>
          </w:tcPr>
          <w:p w14:paraId="7B9D3C7C" w14:textId="7351CBC7" w:rsidR="00DF235E" w:rsidRDefault="00DF235E" w:rsidP="00DF235E">
            <w:pPr>
              <w:pStyle w:val="ListParagraph"/>
              <w:ind w:left="0"/>
            </w:pPr>
            <w:r>
              <w:t xml:space="preserve">Long </w:t>
            </w:r>
          </w:p>
        </w:tc>
        <w:tc>
          <w:tcPr>
            <w:tcW w:w="1434" w:type="dxa"/>
          </w:tcPr>
          <w:p w14:paraId="5A265C27" w14:textId="11ACDC4F" w:rsidR="00DF235E" w:rsidRDefault="00DF235E" w:rsidP="00DF235E">
            <w:pPr>
              <w:pStyle w:val="ListParagraph"/>
              <w:ind w:left="0"/>
            </w:pPr>
            <w:r w:rsidRPr="00DF235E">
              <w:t>01-Jul-24</w:t>
            </w:r>
          </w:p>
        </w:tc>
        <w:tc>
          <w:tcPr>
            <w:tcW w:w="1447" w:type="dxa"/>
          </w:tcPr>
          <w:p w14:paraId="0CAA2ECB" w14:textId="59A4E626" w:rsidR="00DF235E" w:rsidRDefault="00DF235E" w:rsidP="00DF235E">
            <w:pPr>
              <w:pStyle w:val="ListParagraph"/>
              <w:ind w:left="0"/>
            </w:pPr>
            <w:r>
              <w:t>52,574</w:t>
            </w:r>
          </w:p>
        </w:tc>
        <w:tc>
          <w:tcPr>
            <w:tcW w:w="1417" w:type="dxa"/>
          </w:tcPr>
          <w:p w14:paraId="77D1E76D" w14:textId="3ACD68BC" w:rsidR="00DF235E" w:rsidRDefault="00452554" w:rsidP="00DF235E">
            <w:pPr>
              <w:pStyle w:val="ListParagraph"/>
              <w:ind w:left="0"/>
            </w:pPr>
            <w:r w:rsidRPr="00452554">
              <w:t>25-Sep-24</w:t>
            </w:r>
          </w:p>
        </w:tc>
        <w:tc>
          <w:tcPr>
            <w:tcW w:w="1436" w:type="dxa"/>
          </w:tcPr>
          <w:p w14:paraId="4AA83DF4" w14:textId="72EB51E6" w:rsidR="00DF235E" w:rsidRDefault="00452554" w:rsidP="00DF235E">
            <w:pPr>
              <w:pStyle w:val="ListParagraph"/>
              <w:ind w:left="0"/>
            </w:pPr>
            <w:r>
              <w:t>54,101</w:t>
            </w:r>
          </w:p>
        </w:tc>
        <w:tc>
          <w:tcPr>
            <w:tcW w:w="1562" w:type="dxa"/>
          </w:tcPr>
          <w:p w14:paraId="335D8F23" w14:textId="6546AE91" w:rsidR="00DF235E" w:rsidRDefault="00452554" w:rsidP="00DF235E">
            <w:pPr>
              <w:pStyle w:val="ListParagraph"/>
              <w:ind w:left="0"/>
            </w:pPr>
            <w:r>
              <w:t>4</w:t>
            </w:r>
          </w:p>
        </w:tc>
      </w:tr>
      <w:tr w:rsidR="00452554" w14:paraId="0822CBE8" w14:textId="77777777" w:rsidTr="00452554">
        <w:trPr>
          <w:trHeight w:val="844"/>
        </w:trPr>
        <w:tc>
          <w:tcPr>
            <w:tcW w:w="1723" w:type="dxa"/>
          </w:tcPr>
          <w:p w14:paraId="3A42981C" w14:textId="77777777" w:rsidR="00452554" w:rsidRDefault="00452554" w:rsidP="00DF235E">
            <w:pPr>
              <w:pStyle w:val="ListParagraph"/>
              <w:ind w:left="0"/>
              <w:rPr>
                <w:lang w:val="en-US"/>
              </w:rPr>
            </w:pPr>
            <w:r>
              <w:rPr>
                <w:lang w:val="en-US"/>
              </w:rPr>
              <w:t>NIFTY Midcap</w:t>
            </w:r>
          </w:p>
          <w:p w14:paraId="340029CA" w14:textId="2D51165F" w:rsidR="00452554" w:rsidRPr="00452554" w:rsidRDefault="00452554" w:rsidP="00DF235E">
            <w:pPr>
              <w:pStyle w:val="ListParagraph"/>
              <w:ind w:left="0"/>
              <w:rPr>
                <w:lang w:val="en-US"/>
              </w:rPr>
            </w:pPr>
            <w:r>
              <w:rPr>
                <w:lang w:val="en-US"/>
              </w:rPr>
              <w:t>(for Endurance)</w:t>
            </w:r>
          </w:p>
        </w:tc>
        <w:tc>
          <w:tcPr>
            <w:tcW w:w="1516" w:type="dxa"/>
          </w:tcPr>
          <w:p w14:paraId="0550093F" w14:textId="73B10C9F" w:rsidR="00DF235E" w:rsidRDefault="00DF235E" w:rsidP="00DF235E">
            <w:pPr>
              <w:pStyle w:val="ListParagraph"/>
              <w:ind w:left="0"/>
            </w:pPr>
            <w:r>
              <w:t xml:space="preserve">Long </w:t>
            </w:r>
          </w:p>
        </w:tc>
        <w:tc>
          <w:tcPr>
            <w:tcW w:w="1434" w:type="dxa"/>
          </w:tcPr>
          <w:p w14:paraId="6A7F67B6" w14:textId="2CFDFBA4" w:rsidR="00DF235E" w:rsidRDefault="00DF235E" w:rsidP="00DF235E">
            <w:pPr>
              <w:pStyle w:val="ListParagraph"/>
              <w:ind w:left="0"/>
            </w:pPr>
            <w:r w:rsidRPr="00DF235E">
              <w:t>01-Jul-24</w:t>
            </w:r>
          </w:p>
        </w:tc>
        <w:tc>
          <w:tcPr>
            <w:tcW w:w="1447" w:type="dxa"/>
          </w:tcPr>
          <w:p w14:paraId="34BAA94E" w14:textId="7B898BA5" w:rsidR="00DF235E" w:rsidRDefault="00DF235E" w:rsidP="00DF235E">
            <w:pPr>
              <w:pStyle w:val="ListParagraph"/>
              <w:ind w:left="0"/>
            </w:pPr>
            <w:r>
              <w:t>15,840</w:t>
            </w:r>
          </w:p>
        </w:tc>
        <w:tc>
          <w:tcPr>
            <w:tcW w:w="1417" w:type="dxa"/>
          </w:tcPr>
          <w:p w14:paraId="77FDD64C" w14:textId="2C316D87" w:rsidR="00DF235E" w:rsidRDefault="00452554" w:rsidP="00DF235E">
            <w:pPr>
              <w:pStyle w:val="ListParagraph"/>
              <w:ind w:left="0"/>
            </w:pPr>
            <w:r w:rsidRPr="00452554">
              <w:t>25-Sep-24</w:t>
            </w:r>
          </w:p>
        </w:tc>
        <w:tc>
          <w:tcPr>
            <w:tcW w:w="1436" w:type="dxa"/>
          </w:tcPr>
          <w:p w14:paraId="60130DF4" w14:textId="0447E9CD" w:rsidR="00DF235E" w:rsidRDefault="00452554" w:rsidP="00DF235E">
            <w:pPr>
              <w:pStyle w:val="ListParagraph"/>
              <w:ind w:left="0"/>
            </w:pPr>
            <w:r>
              <w:t>16,913</w:t>
            </w:r>
          </w:p>
        </w:tc>
        <w:tc>
          <w:tcPr>
            <w:tcW w:w="1562" w:type="dxa"/>
          </w:tcPr>
          <w:p w14:paraId="560B3CA8" w14:textId="2237869A" w:rsidR="00DF235E" w:rsidRDefault="00452554" w:rsidP="00DF235E">
            <w:pPr>
              <w:pStyle w:val="ListParagraph"/>
              <w:ind w:left="0"/>
            </w:pPr>
            <w:r>
              <w:t>11</w:t>
            </w:r>
          </w:p>
        </w:tc>
      </w:tr>
      <w:tr w:rsidR="00452554" w14:paraId="64A50F78" w14:textId="77777777" w:rsidTr="00452554">
        <w:trPr>
          <w:trHeight w:val="844"/>
        </w:trPr>
        <w:tc>
          <w:tcPr>
            <w:tcW w:w="1723" w:type="dxa"/>
          </w:tcPr>
          <w:p w14:paraId="110A420D" w14:textId="77777777" w:rsidR="00DF235E" w:rsidRDefault="00452554" w:rsidP="00DF235E">
            <w:pPr>
              <w:pStyle w:val="ListParagraph"/>
              <w:ind w:left="0"/>
            </w:pPr>
            <w:r>
              <w:t>NIFTY Midcap</w:t>
            </w:r>
          </w:p>
          <w:p w14:paraId="39F532B6" w14:textId="35263668" w:rsidR="00452554" w:rsidRDefault="00452554" w:rsidP="00DF235E">
            <w:pPr>
              <w:pStyle w:val="ListParagraph"/>
              <w:ind w:left="0"/>
            </w:pPr>
            <w:r>
              <w:t>(for SRF)</w:t>
            </w:r>
          </w:p>
        </w:tc>
        <w:tc>
          <w:tcPr>
            <w:tcW w:w="1516" w:type="dxa"/>
          </w:tcPr>
          <w:p w14:paraId="0EA74923" w14:textId="722D5CCC" w:rsidR="00DF235E" w:rsidRDefault="00DF235E" w:rsidP="00DF235E">
            <w:pPr>
              <w:pStyle w:val="ListParagraph"/>
              <w:ind w:left="0"/>
            </w:pPr>
            <w:r>
              <w:t>Long</w:t>
            </w:r>
          </w:p>
        </w:tc>
        <w:tc>
          <w:tcPr>
            <w:tcW w:w="1434" w:type="dxa"/>
          </w:tcPr>
          <w:p w14:paraId="42AD6F19" w14:textId="7F58CE98" w:rsidR="00DF235E" w:rsidRDefault="00DF235E" w:rsidP="00DF235E">
            <w:pPr>
              <w:pStyle w:val="ListParagraph"/>
              <w:ind w:left="0"/>
            </w:pPr>
            <w:r w:rsidRPr="00DF235E">
              <w:t>01-Jul-24</w:t>
            </w:r>
          </w:p>
        </w:tc>
        <w:tc>
          <w:tcPr>
            <w:tcW w:w="1447" w:type="dxa"/>
          </w:tcPr>
          <w:p w14:paraId="128BF271" w14:textId="1015DA4A" w:rsidR="00DF235E" w:rsidRDefault="00DF235E" w:rsidP="00DF235E">
            <w:pPr>
              <w:pStyle w:val="ListParagraph"/>
              <w:ind w:left="0"/>
            </w:pPr>
            <w:r>
              <w:t>15,840</w:t>
            </w:r>
          </w:p>
        </w:tc>
        <w:tc>
          <w:tcPr>
            <w:tcW w:w="1417" w:type="dxa"/>
          </w:tcPr>
          <w:p w14:paraId="1DE0A328" w14:textId="4A93E96F" w:rsidR="00DF235E" w:rsidRDefault="00452554" w:rsidP="00DF235E">
            <w:pPr>
              <w:pStyle w:val="ListParagraph"/>
              <w:ind w:left="0"/>
            </w:pPr>
            <w:r w:rsidRPr="00452554">
              <w:t>25-Sep-24</w:t>
            </w:r>
          </w:p>
        </w:tc>
        <w:tc>
          <w:tcPr>
            <w:tcW w:w="1436" w:type="dxa"/>
          </w:tcPr>
          <w:p w14:paraId="4DE001A8" w14:textId="7A15D6D4" w:rsidR="00DF235E" w:rsidRDefault="00452554" w:rsidP="00DF235E">
            <w:pPr>
              <w:pStyle w:val="ListParagraph"/>
              <w:ind w:left="0"/>
            </w:pPr>
            <w:r>
              <w:t>16,913</w:t>
            </w:r>
          </w:p>
        </w:tc>
        <w:tc>
          <w:tcPr>
            <w:tcW w:w="1562" w:type="dxa"/>
          </w:tcPr>
          <w:p w14:paraId="25AC78DA" w14:textId="473399B0" w:rsidR="00DF235E" w:rsidRDefault="00452554" w:rsidP="00DF235E">
            <w:pPr>
              <w:pStyle w:val="ListParagraph"/>
              <w:ind w:left="0"/>
            </w:pPr>
            <w:r>
              <w:t>4</w:t>
            </w:r>
          </w:p>
        </w:tc>
      </w:tr>
      <w:tr w:rsidR="00452554" w14:paraId="7FD425AD" w14:textId="77777777" w:rsidTr="00452554">
        <w:trPr>
          <w:trHeight w:val="826"/>
        </w:trPr>
        <w:tc>
          <w:tcPr>
            <w:tcW w:w="1723" w:type="dxa"/>
          </w:tcPr>
          <w:p w14:paraId="1D2C85EA" w14:textId="77777777" w:rsidR="00452554" w:rsidRDefault="00452554" w:rsidP="00DF235E">
            <w:pPr>
              <w:pStyle w:val="ListParagraph"/>
              <w:ind w:left="0"/>
              <w:rPr>
                <w:lang w:val="en-US"/>
              </w:rPr>
            </w:pPr>
            <w:r>
              <w:rPr>
                <w:lang w:val="en-US"/>
              </w:rPr>
              <w:t>NIFTY 50</w:t>
            </w:r>
          </w:p>
          <w:p w14:paraId="2B4F6B5A" w14:textId="6E0E7DAC" w:rsidR="00452554" w:rsidRPr="00452554" w:rsidRDefault="00452554" w:rsidP="00DF235E">
            <w:pPr>
              <w:pStyle w:val="ListParagraph"/>
              <w:ind w:left="0"/>
              <w:rPr>
                <w:lang w:val="en-US"/>
              </w:rPr>
            </w:pPr>
            <w:r>
              <w:rPr>
                <w:lang w:val="en-US"/>
              </w:rPr>
              <w:t>(for Exide)</w:t>
            </w:r>
          </w:p>
        </w:tc>
        <w:tc>
          <w:tcPr>
            <w:tcW w:w="1516" w:type="dxa"/>
          </w:tcPr>
          <w:p w14:paraId="20D61FBC" w14:textId="52887ACC" w:rsidR="00DF235E" w:rsidRDefault="00DF235E" w:rsidP="00DF235E">
            <w:pPr>
              <w:pStyle w:val="ListParagraph"/>
              <w:ind w:left="0"/>
            </w:pPr>
            <w:r>
              <w:t>Long</w:t>
            </w:r>
          </w:p>
        </w:tc>
        <w:tc>
          <w:tcPr>
            <w:tcW w:w="1434" w:type="dxa"/>
          </w:tcPr>
          <w:p w14:paraId="518C2013" w14:textId="1AEB36A1" w:rsidR="00DF235E" w:rsidRDefault="00DF235E" w:rsidP="00DF235E">
            <w:pPr>
              <w:pStyle w:val="ListParagraph"/>
              <w:ind w:left="0"/>
            </w:pPr>
            <w:r w:rsidRPr="00DF235E">
              <w:t>01-Jul-24</w:t>
            </w:r>
          </w:p>
        </w:tc>
        <w:tc>
          <w:tcPr>
            <w:tcW w:w="1447" w:type="dxa"/>
          </w:tcPr>
          <w:p w14:paraId="07B75C43" w14:textId="2F762B68" w:rsidR="00DF235E" w:rsidRDefault="00DF235E" w:rsidP="00DF235E">
            <w:pPr>
              <w:pStyle w:val="ListParagraph"/>
              <w:ind w:left="0"/>
            </w:pPr>
            <w:r>
              <w:t>24,141</w:t>
            </w:r>
          </w:p>
        </w:tc>
        <w:tc>
          <w:tcPr>
            <w:tcW w:w="1417" w:type="dxa"/>
          </w:tcPr>
          <w:p w14:paraId="205B2446" w14:textId="7DB099AA" w:rsidR="00DF235E" w:rsidRDefault="00452554" w:rsidP="00DF235E">
            <w:pPr>
              <w:pStyle w:val="ListParagraph"/>
              <w:ind w:left="0"/>
            </w:pPr>
            <w:r w:rsidRPr="00452554">
              <w:t>25-Sep-24</w:t>
            </w:r>
          </w:p>
        </w:tc>
        <w:tc>
          <w:tcPr>
            <w:tcW w:w="1436" w:type="dxa"/>
          </w:tcPr>
          <w:p w14:paraId="638B522A" w14:textId="057E9C81" w:rsidR="00DF235E" w:rsidRDefault="00452554" w:rsidP="00DF235E">
            <w:pPr>
              <w:pStyle w:val="ListParagraph"/>
              <w:ind w:left="0"/>
            </w:pPr>
            <w:r>
              <w:t>26,004</w:t>
            </w:r>
          </w:p>
        </w:tc>
        <w:tc>
          <w:tcPr>
            <w:tcW w:w="1562" w:type="dxa"/>
          </w:tcPr>
          <w:p w14:paraId="72DC130F" w14:textId="6FA0ADC0" w:rsidR="00DF235E" w:rsidRDefault="00452554" w:rsidP="00DF235E">
            <w:pPr>
              <w:pStyle w:val="ListParagraph"/>
              <w:ind w:left="0"/>
            </w:pPr>
            <w:r>
              <w:t>12</w:t>
            </w:r>
          </w:p>
        </w:tc>
      </w:tr>
    </w:tbl>
    <w:p w14:paraId="1870C707" w14:textId="77777777" w:rsidR="00DF235E" w:rsidRDefault="00DF235E" w:rsidP="00C93013">
      <w:pPr>
        <w:pStyle w:val="ListParagraph"/>
      </w:pPr>
    </w:p>
    <w:p w14:paraId="32A96BAC" w14:textId="77777777" w:rsidR="00F37EF0" w:rsidRDefault="00F37EF0" w:rsidP="00C93013">
      <w:pPr>
        <w:pStyle w:val="ListParagraph"/>
      </w:pPr>
    </w:p>
    <w:p w14:paraId="3D07F14B" w14:textId="1C1159FB" w:rsidR="00DF235E" w:rsidRDefault="00452554" w:rsidP="00452554">
      <w:pPr>
        <w:pStyle w:val="ListParagraph"/>
        <w:numPr>
          <w:ilvl w:val="0"/>
          <w:numId w:val="2"/>
        </w:numPr>
      </w:pPr>
      <w:r w:rsidRPr="00092F29">
        <w:rPr>
          <w:b/>
          <w:bCs/>
        </w:rPr>
        <w:t>For hedging IDBI Stocks</w:t>
      </w:r>
      <w:r>
        <w:t>, we entered a Bank NIFTY Futures contracts on 01-Jul-24 and took a long position with a strike price of 52,574 INR with expiry on 25-Sep-24. Closed out our position by going short in Bank NIFTY Futures on 01-Aug-24 at a strike price of 54,101 INR</w:t>
      </w:r>
      <w:r w:rsidR="00F37EF0">
        <w:t xml:space="preserve"> with expiry on 25-Sep-24</w:t>
      </w:r>
      <w:r>
        <w:t>.</w:t>
      </w:r>
    </w:p>
    <w:p w14:paraId="1E1B662E" w14:textId="1D0696B0" w:rsidR="00452554" w:rsidRDefault="00452554" w:rsidP="00452554">
      <w:pPr>
        <w:pStyle w:val="ListParagraph"/>
        <w:numPr>
          <w:ilvl w:val="0"/>
          <w:numId w:val="2"/>
        </w:numPr>
      </w:pPr>
      <w:r w:rsidRPr="00092F29">
        <w:rPr>
          <w:b/>
          <w:bCs/>
        </w:rPr>
        <w:t>For hedging ENDURANCE Stocks</w:t>
      </w:r>
      <w:r>
        <w:t xml:space="preserve">, we entered a NIFTY Midcap Index Futures contracts on 01-Jul-24 and took a long position with a strike price of </w:t>
      </w:r>
      <w:r w:rsidR="00F37EF0">
        <w:t>15,840</w:t>
      </w:r>
      <w:r>
        <w:t xml:space="preserve"> INR with expiry on 25-Sep-24. Closed out our position by going short in</w:t>
      </w:r>
      <w:r w:rsidR="00F37EF0">
        <w:t xml:space="preserve"> NIFTY</w:t>
      </w:r>
      <w:r>
        <w:t xml:space="preserve"> </w:t>
      </w:r>
      <w:r w:rsidR="00F37EF0">
        <w:t>Midcap Index</w:t>
      </w:r>
      <w:r>
        <w:t xml:space="preserve"> Futures on </w:t>
      </w:r>
      <w:r w:rsidR="00F37EF0">
        <w:t>31</w:t>
      </w:r>
      <w:r>
        <w:t>-</w:t>
      </w:r>
      <w:r w:rsidR="00F37EF0">
        <w:t>Jul</w:t>
      </w:r>
      <w:r>
        <w:t xml:space="preserve">-24 at a strike price of </w:t>
      </w:r>
      <w:r w:rsidR="00F37EF0">
        <w:t>16,913</w:t>
      </w:r>
      <w:r>
        <w:t xml:space="preserve"> INR</w:t>
      </w:r>
      <w:r w:rsidR="00F37EF0">
        <w:t xml:space="preserve"> with expiry on 25-Sep-24</w:t>
      </w:r>
      <w:r>
        <w:t>.</w:t>
      </w:r>
    </w:p>
    <w:p w14:paraId="04BCFE4B" w14:textId="58044A6B" w:rsidR="00F37EF0" w:rsidRDefault="00F37EF0" w:rsidP="00F37EF0">
      <w:pPr>
        <w:pStyle w:val="ListParagraph"/>
        <w:numPr>
          <w:ilvl w:val="0"/>
          <w:numId w:val="2"/>
        </w:numPr>
      </w:pPr>
      <w:r w:rsidRPr="00092F29">
        <w:rPr>
          <w:b/>
          <w:bCs/>
        </w:rPr>
        <w:t>For hedging SRF Stocks</w:t>
      </w:r>
      <w:r>
        <w:t>, we entered a NIFTY Midcap Index Futures contracts on 01-Jul-24 and took a long position with a strike price of 15,840 INR with expiry on 25-Sep-24. Closed out our position by going short in NIFTY Midcap Index Futures on 31-Jul-24 at a strike price of 16,913 INR with expiry on 25-Sep-24.</w:t>
      </w:r>
    </w:p>
    <w:p w14:paraId="0CC7C753" w14:textId="3AAB065C" w:rsidR="00F37EF0" w:rsidRDefault="00F37EF0" w:rsidP="00F37EF0">
      <w:pPr>
        <w:pStyle w:val="ListParagraph"/>
        <w:numPr>
          <w:ilvl w:val="0"/>
          <w:numId w:val="2"/>
        </w:numPr>
      </w:pPr>
      <w:r w:rsidRPr="00092F29">
        <w:rPr>
          <w:b/>
          <w:bCs/>
        </w:rPr>
        <w:t>For hedging EXIDE Stocks</w:t>
      </w:r>
      <w:r>
        <w:t>, we entered a NIFTY 50 Index Futures contracts on 01-Jul-24 and took a long position with a strike price of 24,141 INR with expiry on 25-Sep-24. Closed out our position by going short in NIFTY Midcap Index Futures on 31-Aug-24 at a strike price of 26,004 INR with expiry on 25-Sep-24.</w:t>
      </w:r>
    </w:p>
    <w:p w14:paraId="4B244FB9" w14:textId="77777777" w:rsidR="00092F29" w:rsidRDefault="00092F29" w:rsidP="00F37EF0">
      <w:pPr>
        <w:pStyle w:val="ListParagraph"/>
        <w:ind w:left="1080"/>
      </w:pPr>
    </w:p>
    <w:p w14:paraId="41A4E7C3" w14:textId="77777777" w:rsidR="00C53F11" w:rsidRDefault="00C53F11" w:rsidP="00F37EF0">
      <w:pPr>
        <w:pStyle w:val="ListParagraph"/>
        <w:ind w:left="1080"/>
        <w:rPr>
          <w:b/>
          <w:bCs/>
          <w:sz w:val="24"/>
          <w:szCs w:val="24"/>
        </w:rPr>
      </w:pPr>
    </w:p>
    <w:p w14:paraId="4B3736A6" w14:textId="606FF207" w:rsidR="00F37EF0" w:rsidRPr="00092F29" w:rsidRDefault="00981862" w:rsidP="00F37EF0">
      <w:pPr>
        <w:pStyle w:val="ListParagraph"/>
        <w:ind w:left="1080"/>
        <w:rPr>
          <w:b/>
          <w:bCs/>
          <w:sz w:val="24"/>
          <w:szCs w:val="24"/>
        </w:rPr>
      </w:pPr>
      <w:r w:rsidRPr="00092F29">
        <w:rPr>
          <w:b/>
          <w:bCs/>
          <w:sz w:val="24"/>
          <w:szCs w:val="24"/>
        </w:rPr>
        <w:t>Portfolio Hedging Returns: -</w:t>
      </w:r>
    </w:p>
    <w:p w14:paraId="4F78CF8D" w14:textId="0F7A67C3" w:rsidR="00981862" w:rsidRDefault="00981862" w:rsidP="00F37EF0">
      <w:pPr>
        <w:pStyle w:val="ListParagraph"/>
        <w:ind w:left="1080"/>
      </w:pPr>
    </w:p>
    <w:tbl>
      <w:tblPr>
        <w:tblStyle w:val="TableGrid"/>
        <w:tblW w:w="7948" w:type="dxa"/>
        <w:tblInd w:w="1080" w:type="dxa"/>
        <w:tblLook w:val="04A0" w:firstRow="1" w:lastRow="0" w:firstColumn="1" w:lastColumn="0" w:noHBand="0" w:noVBand="1"/>
      </w:tblPr>
      <w:tblGrid>
        <w:gridCol w:w="1947"/>
        <w:gridCol w:w="1988"/>
        <w:gridCol w:w="2042"/>
        <w:gridCol w:w="1971"/>
      </w:tblGrid>
      <w:tr w:rsidR="00D614DA" w14:paraId="0F22012E" w14:textId="77777777" w:rsidTr="00287E85">
        <w:trPr>
          <w:trHeight w:val="535"/>
        </w:trPr>
        <w:tc>
          <w:tcPr>
            <w:tcW w:w="1947" w:type="dxa"/>
          </w:tcPr>
          <w:p w14:paraId="727E142E" w14:textId="49A01450" w:rsidR="00D614DA" w:rsidRDefault="00D614DA" w:rsidP="00F37EF0">
            <w:pPr>
              <w:pStyle w:val="ListParagraph"/>
              <w:ind w:left="0"/>
            </w:pPr>
            <w:r>
              <w:t>Stock</w:t>
            </w:r>
          </w:p>
        </w:tc>
        <w:tc>
          <w:tcPr>
            <w:tcW w:w="1988" w:type="dxa"/>
          </w:tcPr>
          <w:p w14:paraId="69D910EF" w14:textId="7A1F79FE" w:rsidR="00D614DA" w:rsidRDefault="00D614DA" w:rsidP="00F37EF0">
            <w:pPr>
              <w:pStyle w:val="ListParagraph"/>
              <w:ind w:left="0"/>
            </w:pPr>
            <w:r>
              <w:t>Stock Returns (INR)</w:t>
            </w:r>
          </w:p>
        </w:tc>
        <w:tc>
          <w:tcPr>
            <w:tcW w:w="2042" w:type="dxa"/>
          </w:tcPr>
          <w:p w14:paraId="476B9424" w14:textId="45B31AAC" w:rsidR="00D614DA" w:rsidRDefault="00D614DA" w:rsidP="00F37EF0">
            <w:pPr>
              <w:pStyle w:val="ListParagraph"/>
              <w:ind w:left="0"/>
            </w:pPr>
            <w:r>
              <w:t>Hedging Profit/Loss (INR)</w:t>
            </w:r>
          </w:p>
        </w:tc>
        <w:tc>
          <w:tcPr>
            <w:tcW w:w="1971" w:type="dxa"/>
          </w:tcPr>
          <w:p w14:paraId="051EF176" w14:textId="4B4E92F9" w:rsidR="00D614DA" w:rsidRDefault="00D614DA" w:rsidP="00F37EF0">
            <w:pPr>
              <w:pStyle w:val="ListParagraph"/>
              <w:ind w:left="0"/>
            </w:pPr>
            <w:r>
              <w:t>Net Return (INR)</w:t>
            </w:r>
          </w:p>
        </w:tc>
      </w:tr>
      <w:tr w:rsidR="00D614DA" w14:paraId="206D5D35" w14:textId="77777777" w:rsidTr="00287E85">
        <w:trPr>
          <w:trHeight w:val="261"/>
        </w:trPr>
        <w:tc>
          <w:tcPr>
            <w:tcW w:w="1947" w:type="dxa"/>
          </w:tcPr>
          <w:p w14:paraId="2693F5DD" w14:textId="0599D85B" w:rsidR="00D614DA" w:rsidRDefault="00D614DA" w:rsidP="00D614DA">
            <w:pPr>
              <w:pStyle w:val="ListParagraph"/>
              <w:ind w:left="0"/>
            </w:pPr>
            <w:r>
              <w:rPr>
                <w:lang w:val="en-US"/>
              </w:rPr>
              <w:t>IDBI</w:t>
            </w:r>
          </w:p>
        </w:tc>
        <w:tc>
          <w:tcPr>
            <w:tcW w:w="1988" w:type="dxa"/>
          </w:tcPr>
          <w:p w14:paraId="154BE2F3" w14:textId="440C8862" w:rsidR="00D614DA" w:rsidRDefault="00D614DA" w:rsidP="00D614DA">
            <w:pPr>
              <w:pStyle w:val="ListParagraph"/>
              <w:ind w:left="0"/>
            </w:pPr>
            <w:r>
              <w:t xml:space="preserve">1,104,396  </w:t>
            </w:r>
          </w:p>
        </w:tc>
        <w:tc>
          <w:tcPr>
            <w:tcW w:w="2042" w:type="dxa"/>
          </w:tcPr>
          <w:p w14:paraId="1B4E3894" w14:textId="3E141183" w:rsidR="00D614DA" w:rsidRDefault="00D614DA" w:rsidP="00D614DA">
            <w:pPr>
              <w:pStyle w:val="ListParagraph"/>
              <w:ind w:left="0"/>
            </w:pPr>
            <w:r>
              <w:t>3,715,416</w:t>
            </w:r>
          </w:p>
        </w:tc>
        <w:tc>
          <w:tcPr>
            <w:tcW w:w="1971" w:type="dxa"/>
          </w:tcPr>
          <w:p w14:paraId="22DD575D" w14:textId="25937282" w:rsidR="00D614DA" w:rsidRDefault="00D614DA" w:rsidP="00D614DA">
            <w:pPr>
              <w:pStyle w:val="ListParagraph"/>
              <w:ind w:left="0"/>
            </w:pPr>
            <w:r>
              <w:t>4,819,812</w:t>
            </w:r>
          </w:p>
        </w:tc>
      </w:tr>
      <w:tr w:rsidR="00D614DA" w14:paraId="3DBBBD64" w14:textId="77777777" w:rsidTr="00287E85">
        <w:trPr>
          <w:trHeight w:val="261"/>
        </w:trPr>
        <w:tc>
          <w:tcPr>
            <w:tcW w:w="1947" w:type="dxa"/>
          </w:tcPr>
          <w:p w14:paraId="1E9D8C9A" w14:textId="7A0DD3DA" w:rsidR="00D614DA" w:rsidRDefault="00D614DA" w:rsidP="00D614DA">
            <w:pPr>
              <w:pStyle w:val="ListParagraph"/>
              <w:ind w:left="0"/>
            </w:pPr>
            <w:r>
              <w:rPr>
                <w:lang w:val="en-US"/>
              </w:rPr>
              <w:t>ENDURANCE</w:t>
            </w:r>
          </w:p>
        </w:tc>
        <w:tc>
          <w:tcPr>
            <w:tcW w:w="1988" w:type="dxa"/>
          </w:tcPr>
          <w:p w14:paraId="1D27BB53" w14:textId="24A96A40" w:rsidR="00D614DA" w:rsidRDefault="00D614DA" w:rsidP="00D614DA">
            <w:pPr>
              <w:pStyle w:val="ListParagraph"/>
              <w:ind w:left="0"/>
            </w:pPr>
            <w:r>
              <w:t>-3,255,517</w:t>
            </w:r>
          </w:p>
        </w:tc>
        <w:tc>
          <w:tcPr>
            <w:tcW w:w="2042" w:type="dxa"/>
          </w:tcPr>
          <w:p w14:paraId="184A2EA7" w14:textId="3A8528A3" w:rsidR="00D614DA" w:rsidRDefault="00D614DA" w:rsidP="00D614DA">
            <w:pPr>
              <w:pStyle w:val="ListParagraph"/>
              <w:ind w:left="0"/>
            </w:pPr>
            <w:r>
              <w:t>53,310</w:t>
            </w:r>
          </w:p>
        </w:tc>
        <w:tc>
          <w:tcPr>
            <w:tcW w:w="1971" w:type="dxa"/>
          </w:tcPr>
          <w:p w14:paraId="70EC8BCA" w14:textId="3A1BF41E" w:rsidR="00D614DA" w:rsidRDefault="00D614DA" w:rsidP="00D614DA">
            <w:pPr>
              <w:pStyle w:val="ListParagraph"/>
              <w:ind w:left="0"/>
            </w:pPr>
            <w:r>
              <w:t>-3,202,206</w:t>
            </w:r>
          </w:p>
        </w:tc>
      </w:tr>
      <w:tr w:rsidR="00D614DA" w14:paraId="7CCADC38" w14:textId="77777777" w:rsidTr="00287E85">
        <w:trPr>
          <w:trHeight w:val="261"/>
        </w:trPr>
        <w:tc>
          <w:tcPr>
            <w:tcW w:w="1947" w:type="dxa"/>
          </w:tcPr>
          <w:p w14:paraId="665D8CA7" w14:textId="7F854641" w:rsidR="00D614DA" w:rsidRDefault="00D614DA" w:rsidP="00D614DA">
            <w:pPr>
              <w:pStyle w:val="ListParagraph"/>
              <w:ind w:left="0"/>
            </w:pPr>
            <w:r>
              <w:rPr>
                <w:lang w:val="en-US"/>
              </w:rPr>
              <w:t>SRF</w:t>
            </w:r>
          </w:p>
        </w:tc>
        <w:tc>
          <w:tcPr>
            <w:tcW w:w="1988" w:type="dxa"/>
          </w:tcPr>
          <w:p w14:paraId="2DE9CF04" w14:textId="049B69CA" w:rsidR="00D614DA" w:rsidRDefault="00D614DA" w:rsidP="00D614DA">
            <w:pPr>
              <w:pStyle w:val="ListParagraph"/>
              <w:ind w:left="0"/>
            </w:pPr>
            <w:r>
              <w:t>-43,250</w:t>
            </w:r>
          </w:p>
        </w:tc>
        <w:tc>
          <w:tcPr>
            <w:tcW w:w="2042" w:type="dxa"/>
          </w:tcPr>
          <w:p w14:paraId="7DB798F4" w14:textId="21080AD9" w:rsidR="00D614DA" w:rsidRDefault="00D614DA" w:rsidP="00D614DA">
            <w:pPr>
              <w:pStyle w:val="ListParagraph"/>
              <w:ind w:left="0"/>
            </w:pPr>
            <w:r>
              <w:t>23,356</w:t>
            </w:r>
          </w:p>
        </w:tc>
        <w:tc>
          <w:tcPr>
            <w:tcW w:w="1971" w:type="dxa"/>
          </w:tcPr>
          <w:p w14:paraId="0773B3F1" w14:textId="5D70FAF0" w:rsidR="00D614DA" w:rsidRDefault="00D614DA" w:rsidP="00D614DA">
            <w:pPr>
              <w:pStyle w:val="ListParagraph"/>
              <w:ind w:left="0"/>
            </w:pPr>
            <w:r>
              <w:t>-19,894</w:t>
            </w:r>
          </w:p>
        </w:tc>
      </w:tr>
      <w:tr w:rsidR="00D614DA" w14:paraId="548471A7" w14:textId="77777777" w:rsidTr="00287E85">
        <w:trPr>
          <w:trHeight w:val="273"/>
        </w:trPr>
        <w:tc>
          <w:tcPr>
            <w:tcW w:w="1947" w:type="dxa"/>
          </w:tcPr>
          <w:p w14:paraId="0D6F4EFA" w14:textId="36E539C1" w:rsidR="00D614DA" w:rsidRDefault="00D614DA" w:rsidP="00D614DA">
            <w:pPr>
              <w:pStyle w:val="ListParagraph"/>
              <w:ind w:left="0"/>
            </w:pPr>
            <w:r>
              <w:rPr>
                <w:lang w:val="en-US"/>
              </w:rPr>
              <w:t>EXIDE</w:t>
            </w:r>
          </w:p>
        </w:tc>
        <w:tc>
          <w:tcPr>
            <w:tcW w:w="1988" w:type="dxa"/>
          </w:tcPr>
          <w:p w14:paraId="02357F67" w14:textId="315BEBA6" w:rsidR="00D614DA" w:rsidRDefault="00D614DA" w:rsidP="00D614DA">
            <w:pPr>
              <w:pStyle w:val="ListParagraph"/>
              <w:ind w:left="0"/>
            </w:pPr>
            <w:r>
              <w:t>-6,722,866</w:t>
            </w:r>
          </w:p>
        </w:tc>
        <w:tc>
          <w:tcPr>
            <w:tcW w:w="2042" w:type="dxa"/>
          </w:tcPr>
          <w:p w14:paraId="596536D5" w14:textId="259AC1E8" w:rsidR="00D614DA" w:rsidRDefault="00D614DA" w:rsidP="00D614DA">
            <w:pPr>
              <w:pStyle w:val="ListParagraph"/>
              <w:ind w:left="0"/>
            </w:pPr>
            <w:r>
              <w:t>921,357</w:t>
            </w:r>
          </w:p>
        </w:tc>
        <w:tc>
          <w:tcPr>
            <w:tcW w:w="1971" w:type="dxa"/>
          </w:tcPr>
          <w:p w14:paraId="1AF56DDD" w14:textId="581B6599" w:rsidR="00D614DA" w:rsidRDefault="00D614DA" w:rsidP="00D614DA">
            <w:pPr>
              <w:pStyle w:val="ListParagraph"/>
              <w:ind w:left="0"/>
            </w:pPr>
            <w:r>
              <w:t>-5,801,508</w:t>
            </w:r>
          </w:p>
        </w:tc>
      </w:tr>
      <w:tr w:rsidR="00D614DA" w14:paraId="60EA74D0" w14:textId="77777777" w:rsidTr="00287E85">
        <w:trPr>
          <w:trHeight w:val="261"/>
        </w:trPr>
        <w:tc>
          <w:tcPr>
            <w:tcW w:w="1947" w:type="dxa"/>
          </w:tcPr>
          <w:p w14:paraId="7809009C" w14:textId="1AC210AD" w:rsidR="00D614DA" w:rsidRDefault="00D614DA" w:rsidP="00D614DA">
            <w:pPr>
              <w:pStyle w:val="ListParagraph"/>
              <w:ind w:left="0"/>
            </w:pPr>
            <w:r>
              <w:t>Total</w:t>
            </w:r>
          </w:p>
        </w:tc>
        <w:tc>
          <w:tcPr>
            <w:tcW w:w="1988" w:type="dxa"/>
          </w:tcPr>
          <w:p w14:paraId="0C6964EC" w14:textId="4DEF3EE0" w:rsidR="00D614DA" w:rsidRDefault="00D614DA" w:rsidP="00D614DA">
            <w:pPr>
              <w:pStyle w:val="ListParagraph"/>
              <w:ind w:left="0"/>
            </w:pPr>
            <w:r>
              <w:t>-8,917,237</w:t>
            </w:r>
          </w:p>
        </w:tc>
        <w:tc>
          <w:tcPr>
            <w:tcW w:w="2042" w:type="dxa"/>
          </w:tcPr>
          <w:p w14:paraId="42517C23" w14:textId="0FA52099" w:rsidR="00D614DA" w:rsidRDefault="00D614DA" w:rsidP="00D614DA">
            <w:pPr>
              <w:pStyle w:val="ListParagraph"/>
              <w:ind w:left="0"/>
            </w:pPr>
            <w:r>
              <w:t>4</w:t>
            </w:r>
            <w:r w:rsidR="00287E85">
              <w:t>,</w:t>
            </w:r>
            <w:r>
              <w:t>713,440</w:t>
            </w:r>
          </w:p>
        </w:tc>
        <w:tc>
          <w:tcPr>
            <w:tcW w:w="1971" w:type="dxa"/>
          </w:tcPr>
          <w:p w14:paraId="4B1432B7" w14:textId="1EC16349" w:rsidR="00D614DA" w:rsidRDefault="00D614DA" w:rsidP="00D614DA">
            <w:pPr>
              <w:pStyle w:val="ListParagraph"/>
              <w:ind w:left="0"/>
            </w:pPr>
            <w:r>
              <w:t>-4,203,796</w:t>
            </w:r>
          </w:p>
        </w:tc>
      </w:tr>
    </w:tbl>
    <w:p w14:paraId="046D03ED" w14:textId="5247E8B3" w:rsidR="00981862" w:rsidRPr="00092F29" w:rsidRDefault="00287E85" w:rsidP="00F37EF0">
      <w:pPr>
        <w:pStyle w:val="ListParagraph"/>
        <w:ind w:left="1080"/>
        <w:rPr>
          <w:b/>
          <w:bCs/>
        </w:rPr>
      </w:pPr>
      <w:r w:rsidRPr="00092F29">
        <w:rPr>
          <w:b/>
          <w:bCs/>
        </w:rPr>
        <w:t>Profit from hedging – 4,713,440 INR</w:t>
      </w:r>
    </w:p>
    <w:p w14:paraId="2880106C" w14:textId="7527C01C" w:rsidR="00287E85" w:rsidRPr="00092F29" w:rsidRDefault="00287E85" w:rsidP="00F37EF0">
      <w:pPr>
        <w:pStyle w:val="ListParagraph"/>
        <w:ind w:left="1080"/>
        <w:rPr>
          <w:b/>
          <w:bCs/>
        </w:rPr>
      </w:pPr>
      <w:r w:rsidRPr="00092F29">
        <w:rPr>
          <w:b/>
          <w:bCs/>
        </w:rPr>
        <w:t>Overall Portfolio Return - -4,203,796 INR</w:t>
      </w:r>
    </w:p>
    <w:p w14:paraId="1029DC51" w14:textId="77777777" w:rsidR="00287E85" w:rsidRDefault="00287E85" w:rsidP="00F37EF0">
      <w:pPr>
        <w:pStyle w:val="ListParagraph"/>
        <w:ind w:left="1080"/>
      </w:pPr>
    </w:p>
    <w:p w14:paraId="20BF3FC3" w14:textId="77777777" w:rsidR="00092F29" w:rsidRDefault="00092F29" w:rsidP="00092F29">
      <w:pPr>
        <w:rPr>
          <w:b/>
          <w:bCs/>
          <w:sz w:val="32"/>
          <w:szCs w:val="32"/>
        </w:rPr>
      </w:pPr>
    </w:p>
    <w:p w14:paraId="1B96E1A2" w14:textId="77777777" w:rsidR="00092F29" w:rsidRDefault="00092F29" w:rsidP="00092F29">
      <w:pPr>
        <w:rPr>
          <w:b/>
          <w:bCs/>
          <w:sz w:val="32"/>
          <w:szCs w:val="32"/>
        </w:rPr>
      </w:pPr>
    </w:p>
    <w:p w14:paraId="64C43A52" w14:textId="77777777" w:rsidR="00092F29" w:rsidRDefault="00092F29" w:rsidP="00092F29">
      <w:pPr>
        <w:rPr>
          <w:b/>
          <w:bCs/>
          <w:sz w:val="32"/>
          <w:szCs w:val="32"/>
        </w:rPr>
      </w:pPr>
    </w:p>
    <w:p w14:paraId="719B7050" w14:textId="77777777" w:rsidR="00092F29" w:rsidRDefault="00092F29" w:rsidP="00092F29">
      <w:pPr>
        <w:rPr>
          <w:b/>
          <w:bCs/>
          <w:sz w:val="32"/>
          <w:szCs w:val="32"/>
        </w:rPr>
      </w:pPr>
    </w:p>
    <w:p w14:paraId="2B4BF448" w14:textId="77777777" w:rsidR="00092F29" w:rsidRDefault="00092F29" w:rsidP="00092F29">
      <w:pPr>
        <w:rPr>
          <w:b/>
          <w:bCs/>
          <w:sz w:val="32"/>
          <w:szCs w:val="32"/>
        </w:rPr>
      </w:pPr>
    </w:p>
    <w:p w14:paraId="1196E0C3" w14:textId="77777777" w:rsidR="00092F29" w:rsidRDefault="00092F29" w:rsidP="00092F29">
      <w:pPr>
        <w:rPr>
          <w:b/>
          <w:bCs/>
          <w:sz w:val="32"/>
          <w:szCs w:val="32"/>
        </w:rPr>
      </w:pPr>
    </w:p>
    <w:p w14:paraId="061D467F" w14:textId="77777777" w:rsidR="00092F29" w:rsidRDefault="00092F29" w:rsidP="00092F29">
      <w:pPr>
        <w:rPr>
          <w:b/>
          <w:bCs/>
          <w:sz w:val="32"/>
          <w:szCs w:val="32"/>
        </w:rPr>
      </w:pPr>
    </w:p>
    <w:p w14:paraId="6E5CC017" w14:textId="77777777" w:rsidR="00AE129F" w:rsidRDefault="00AE129F" w:rsidP="00092F29">
      <w:pPr>
        <w:rPr>
          <w:b/>
          <w:bCs/>
          <w:sz w:val="32"/>
          <w:szCs w:val="32"/>
        </w:rPr>
      </w:pPr>
    </w:p>
    <w:p w14:paraId="712FAD0A" w14:textId="3989966E" w:rsidR="00287E85" w:rsidRPr="00092F29" w:rsidRDefault="00287E85" w:rsidP="00092F29">
      <w:pPr>
        <w:rPr>
          <w:b/>
          <w:bCs/>
          <w:sz w:val="32"/>
          <w:szCs w:val="32"/>
        </w:rPr>
      </w:pPr>
      <w:r w:rsidRPr="00092F29">
        <w:rPr>
          <w:b/>
          <w:bCs/>
          <w:sz w:val="32"/>
          <w:szCs w:val="32"/>
        </w:rPr>
        <w:lastRenderedPageBreak/>
        <w:t>Part 3: Hedging Using Stock Index Futures for the Entire Portfolio-</w:t>
      </w:r>
    </w:p>
    <w:p w14:paraId="5B397EC0" w14:textId="27B562D1" w:rsidR="009743D1" w:rsidRDefault="009743D1" w:rsidP="00F37EF0">
      <w:pPr>
        <w:pStyle w:val="ListParagraph"/>
        <w:ind w:left="1080"/>
      </w:pPr>
    </w:p>
    <w:p w14:paraId="099A5795" w14:textId="1C71A5DD" w:rsidR="00287E85" w:rsidRPr="00AE129F" w:rsidRDefault="00AE129F" w:rsidP="00AE129F">
      <w:pPr>
        <w:rPr>
          <w:b/>
          <w:bCs/>
          <w:sz w:val="24"/>
          <w:szCs w:val="24"/>
        </w:rPr>
      </w:pPr>
      <w:r w:rsidRPr="00AE129F">
        <w:rPr>
          <w:b/>
          <w:bCs/>
          <w:sz w:val="24"/>
          <w:szCs w:val="24"/>
        </w:rPr>
        <w:t>Portfolio and Market Return Analysis: -</w:t>
      </w:r>
    </w:p>
    <w:p w14:paraId="2762DF0A" w14:textId="4EF4D365" w:rsidR="00AE129F" w:rsidRDefault="00AE129F" w:rsidP="00AE129F">
      <w:r w:rsidRPr="00AB1B4C">
        <w:rPr>
          <w:noProof/>
        </w:rPr>
        <w:drawing>
          <wp:anchor distT="0" distB="0" distL="114300" distR="114300" simplePos="0" relativeHeight="251663360" behindDoc="1" locked="0" layoutInCell="1" allowOverlap="1" wp14:anchorId="7A7DDDC2" wp14:editId="285F85A2">
            <wp:simplePos x="0" y="0"/>
            <wp:positionH relativeFrom="page">
              <wp:posOffset>4038876</wp:posOffset>
            </wp:positionH>
            <wp:positionV relativeFrom="paragraph">
              <wp:posOffset>314242</wp:posOffset>
            </wp:positionV>
            <wp:extent cx="3243580" cy="2132330"/>
            <wp:effectExtent l="0" t="0" r="0" b="1270"/>
            <wp:wrapTight wrapText="bothSides">
              <wp:wrapPolygon edited="0">
                <wp:start x="0" y="0"/>
                <wp:lineTo x="0" y="21420"/>
                <wp:lineTo x="21439" y="21420"/>
                <wp:lineTo x="21439" y="0"/>
                <wp:lineTo x="0" y="0"/>
              </wp:wrapPolygon>
            </wp:wrapTight>
            <wp:docPr id="1305142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142122" name=""/>
                    <pic:cNvPicPr/>
                  </pic:nvPicPr>
                  <pic:blipFill>
                    <a:blip r:embed="rId13">
                      <a:extLst>
                        <a:ext uri="{28A0092B-C50C-407E-A947-70E740481C1C}">
                          <a14:useLocalDpi xmlns:a14="http://schemas.microsoft.com/office/drawing/2010/main" val="0"/>
                        </a:ext>
                      </a:extLst>
                    </a:blip>
                    <a:stretch>
                      <a:fillRect/>
                    </a:stretch>
                  </pic:blipFill>
                  <pic:spPr>
                    <a:xfrm>
                      <a:off x="0" y="0"/>
                      <a:ext cx="3243580" cy="2132330"/>
                    </a:xfrm>
                    <a:prstGeom prst="rect">
                      <a:avLst/>
                    </a:prstGeom>
                  </pic:spPr>
                </pic:pic>
              </a:graphicData>
            </a:graphic>
            <wp14:sizeRelH relativeFrom="margin">
              <wp14:pctWidth>0</wp14:pctWidth>
            </wp14:sizeRelH>
            <wp14:sizeRelV relativeFrom="margin">
              <wp14:pctHeight>0</wp14:pctHeight>
            </wp14:sizeRelV>
          </wp:anchor>
        </w:drawing>
      </w:r>
      <w:r w:rsidRPr="009743D1">
        <w:rPr>
          <w:noProof/>
        </w:rPr>
        <w:drawing>
          <wp:anchor distT="0" distB="0" distL="114300" distR="114300" simplePos="0" relativeHeight="251662336" behindDoc="1" locked="0" layoutInCell="1" allowOverlap="1" wp14:anchorId="276955D4" wp14:editId="1FD7067C">
            <wp:simplePos x="0" y="0"/>
            <wp:positionH relativeFrom="column">
              <wp:posOffset>-604492</wp:posOffset>
            </wp:positionH>
            <wp:positionV relativeFrom="paragraph">
              <wp:posOffset>242101</wp:posOffset>
            </wp:positionV>
            <wp:extent cx="3434715" cy="2183765"/>
            <wp:effectExtent l="0" t="0" r="0" b="6985"/>
            <wp:wrapTight wrapText="bothSides">
              <wp:wrapPolygon edited="0">
                <wp:start x="0" y="0"/>
                <wp:lineTo x="0" y="21481"/>
                <wp:lineTo x="21444" y="21481"/>
                <wp:lineTo x="21444" y="0"/>
                <wp:lineTo x="0" y="0"/>
              </wp:wrapPolygon>
            </wp:wrapTight>
            <wp:docPr id="1506843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843872" name=""/>
                    <pic:cNvPicPr/>
                  </pic:nvPicPr>
                  <pic:blipFill>
                    <a:blip r:embed="rId14">
                      <a:extLst>
                        <a:ext uri="{28A0092B-C50C-407E-A947-70E740481C1C}">
                          <a14:useLocalDpi xmlns:a14="http://schemas.microsoft.com/office/drawing/2010/main" val="0"/>
                        </a:ext>
                      </a:extLst>
                    </a:blip>
                    <a:stretch>
                      <a:fillRect/>
                    </a:stretch>
                  </pic:blipFill>
                  <pic:spPr>
                    <a:xfrm>
                      <a:off x="0" y="0"/>
                      <a:ext cx="3434715" cy="2183765"/>
                    </a:xfrm>
                    <a:prstGeom prst="rect">
                      <a:avLst/>
                    </a:prstGeom>
                  </pic:spPr>
                </pic:pic>
              </a:graphicData>
            </a:graphic>
            <wp14:sizeRelH relativeFrom="margin">
              <wp14:pctWidth>0</wp14:pctWidth>
            </wp14:sizeRelH>
            <wp14:sizeRelV relativeFrom="margin">
              <wp14:pctHeight>0</wp14:pctHeight>
            </wp14:sizeRelV>
          </wp:anchor>
        </w:drawing>
      </w:r>
    </w:p>
    <w:p w14:paraId="101A1CEE" w14:textId="2868F5B8" w:rsidR="00287E85" w:rsidRDefault="00287E85" w:rsidP="00F37EF0">
      <w:pPr>
        <w:pStyle w:val="ListParagraph"/>
        <w:ind w:left="1080"/>
      </w:pPr>
    </w:p>
    <w:p w14:paraId="3ECA8B5C" w14:textId="5FD2BE38" w:rsidR="00AB1B4C" w:rsidRDefault="00AB1B4C" w:rsidP="00F37EF0">
      <w:pPr>
        <w:pStyle w:val="ListParagraph"/>
        <w:ind w:left="1080"/>
      </w:pPr>
    </w:p>
    <w:p w14:paraId="06C48E54" w14:textId="508D1260" w:rsidR="00287E85" w:rsidRDefault="00DA0854" w:rsidP="00AB1B4C">
      <w:r>
        <w:t>Th</w:t>
      </w:r>
      <w:r w:rsidR="00AB1B4C">
        <w:t>ese</w:t>
      </w:r>
      <w:r>
        <w:t xml:space="preserve"> graph</w:t>
      </w:r>
      <w:r w:rsidR="00AB1B4C">
        <w:t>s</w:t>
      </w:r>
      <w:r w:rsidR="005E0990">
        <w:t xml:space="preserve"> sho</w:t>
      </w:r>
      <w:r w:rsidR="00AB1B4C">
        <w:t>w</w:t>
      </w:r>
      <w:r w:rsidR="005E0990">
        <w:t xml:space="preserve"> the trend in excess returns for our portfolio and the excess returns from the market index</w:t>
      </w:r>
      <w:r>
        <w:t>. We can see that even though our portfolio returns fluctuate a lot more compared to market, they both follow very similar trends, our portfolio follows the market trend quite consistently.</w:t>
      </w:r>
    </w:p>
    <w:p w14:paraId="5080FD7B" w14:textId="0792315F" w:rsidR="00AB1B4C" w:rsidRPr="00AE129F" w:rsidRDefault="00AE129F" w:rsidP="00AB1B4C">
      <w:pPr>
        <w:rPr>
          <w:b/>
          <w:bCs/>
          <w:sz w:val="24"/>
          <w:szCs w:val="24"/>
        </w:rPr>
      </w:pPr>
      <w:r w:rsidRPr="00AE129F">
        <w:rPr>
          <w:b/>
          <w:bCs/>
          <w:sz w:val="24"/>
          <w:szCs w:val="24"/>
        </w:rPr>
        <w:t>Hedging Strategy: -</w:t>
      </w:r>
    </w:p>
    <w:p w14:paraId="4F711A01" w14:textId="76F33004" w:rsidR="00AB1B4C" w:rsidRDefault="00AB1B4C" w:rsidP="00E87E98">
      <w:pPr>
        <w:pStyle w:val="ListParagraph"/>
        <w:numPr>
          <w:ilvl w:val="0"/>
          <w:numId w:val="3"/>
        </w:numPr>
      </w:pPr>
      <w:r>
        <w:t>By using the Capital Asset Pricing Model, we have calculated the optimal hedging ratio and optimal number of contracts to buy to hedge our entire portfolio with the help of NIFTY 50 Index Futures.</w:t>
      </w:r>
    </w:p>
    <w:p w14:paraId="3435B7E2" w14:textId="28DE411A" w:rsidR="00E87E98" w:rsidRDefault="00E87E98" w:rsidP="00E87E98">
      <w:pPr>
        <w:pStyle w:val="ListParagraph"/>
        <w:numPr>
          <w:ilvl w:val="0"/>
          <w:numId w:val="3"/>
        </w:numPr>
      </w:pPr>
      <w:r>
        <w:t>CAPM gives us a beta value for our portfolio which tells using about the portfolio’s sensitivity to market movements. By our calculations, we got a beta value of 0.915, which indicates that our portfolio returns are highly correlated with the market. This evident from the graphs shown above as well.</w:t>
      </w:r>
    </w:p>
    <w:p w14:paraId="15A3C99D" w14:textId="57E95050" w:rsidR="00E87E98" w:rsidRDefault="00E87E98" w:rsidP="00E87E98">
      <w:pPr>
        <w:pStyle w:val="ListParagraph"/>
        <w:numPr>
          <w:ilvl w:val="0"/>
          <w:numId w:val="3"/>
        </w:numPr>
      </w:pPr>
      <w:r>
        <w:t>Using this beta value, we calculated the optimal number of index futures contracts to hedge our entire portfolio, which came out to be 152 contracts.</w:t>
      </w:r>
    </w:p>
    <w:p w14:paraId="62C624DB" w14:textId="2A0E1BD2" w:rsidR="00E87E98" w:rsidRDefault="004E4DB0" w:rsidP="00E87E98">
      <w:pPr>
        <w:pStyle w:val="ListParagraph"/>
        <w:numPr>
          <w:ilvl w:val="0"/>
          <w:numId w:val="3"/>
        </w:numPr>
      </w:pPr>
      <w:r>
        <w:t xml:space="preserve">To complete our hedging strategy, we entered </w:t>
      </w:r>
      <w:r w:rsidR="00BF0565">
        <w:t xml:space="preserve">152 </w:t>
      </w:r>
      <w:r>
        <w:t>NIFTY 50 Index Futures contract in a long position on 1</w:t>
      </w:r>
      <w:r w:rsidRPr="004E4DB0">
        <w:rPr>
          <w:vertAlign w:val="superscript"/>
        </w:rPr>
        <w:t>st</w:t>
      </w:r>
      <w:r>
        <w:t xml:space="preserve"> July 2024 at a</w:t>
      </w:r>
      <w:r w:rsidR="00BF0565">
        <w:t xml:space="preserve"> strike</w:t>
      </w:r>
      <w:r>
        <w:t xml:space="preserve"> price of 24141.95 INR with an expiry date of 25</w:t>
      </w:r>
      <w:r w:rsidRPr="004E4DB0">
        <w:rPr>
          <w:vertAlign w:val="superscript"/>
        </w:rPr>
        <w:t>th</w:t>
      </w:r>
      <w:r>
        <w:t xml:space="preserve"> September 2024. The position was </w:t>
      </w:r>
      <w:r w:rsidR="00BF0565">
        <w:t>closed out by shorting 152 NIFTY 50 Index Futures on 31</w:t>
      </w:r>
      <w:r w:rsidR="00BF0565" w:rsidRPr="00BF0565">
        <w:rPr>
          <w:vertAlign w:val="superscript"/>
        </w:rPr>
        <w:t>st</w:t>
      </w:r>
      <w:r w:rsidR="00BF0565">
        <w:t xml:space="preserve"> August with an expiry date of 25</w:t>
      </w:r>
      <w:r w:rsidR="00BF0565" w:rsidRPr="00BF0565">
        <w:rPr>
          <w:vertAlign w:val="superscript"/>
        </w:rPr>
        <w:t>th</w:t>
      </w:r>
      <w:r w:rsidR="00BF0565">
        <w:t xml:space="preserve"> September 2024 with a strike price of 26004.15 INR.</w:t>
      </w:r>
    </w:p>
    <w:p w14:paraId="6ABBDCC5" w14:textId="7B06F7E3" w:rsidR="009743D1" w:rsidRDefault="00BF0565" w:rsidP="00BF0565">
      <w:pPr>
        <w:pStyle w:val="ListParagraph"/>
        <w:numPr>
          <w:ilvl w:val="0"/>
          <w:numId w:val="3"/>
        </w:numPr>
      </w:pPr>
      <w:r>
        <w:t>By applying this hedging strategy, we had a futures profit of 7,029,805 INR but it was insufficient in protecting the portfolio values as we ended up with an overall loss of 4,035,802 INR.</w:t>
      </w:r>
    </w:p>
    <w:p w14:paraId="7AE1BC0F" w14:textId="77777777" w:rsidR="00AE129F" w:rsidRDefault="00AE129F" w:rsidP="00BF0565">
      <w:pPr>
        <w:rPr>
          <w:b/>
          <w:bCs/>
          <w:sz w:val="24"/>
          <w:szCs w:val="24"/>
        </w:rPr>
      </w:pPr>
    </w:p>
    <w:p w14:paraId="19BEFB3E" w14:textId="77777777" w:rsidR="00AE129F" w:rsidRDefault="00AE129F" w:rsidP="00BF0565">
      <w:pPr>
        <w:rPr>
          <w:b/>
          <w:bCs/>
          <w:sz w:val="24"/>
          <w:szCs w:val="24"/>
        </w:rPr>
      </w:pPr>
    </w:p>
    <w:p w14:paraId="36583C97" w14:textId="40F8897B" w:rsidR="00BF0565" w:rsidRPr="00092F29" w:rsidRDefault="00BF0565" w:rsidP="00BF0565">
      <w:pPr>
        <w:rPr>
          <w:b/>
          <w:bCs/>
          <w:sz w:val="24"/>
          <w:szCs w:val="24"/>
        </w:rPr>
      </w:pPr>
      <w:r w:rsidRPr="00092F29">
        <w:rPr>
          <w:b/>
          <w:bCs/>
          <w:sz w:val="24"/>
          <w:szCs w:val="24"/>
        </w:rPr>
        <w:lastRenderedPageBreak/>
        <w:t>Hedging Returns Using Index Futures (Results): -</w:t>
      </w:r>
    </w:p>
    <w:p w14:paraId="4F525B51" w14:textId="77777777" w:rsidR="00BF0565" w:rsidRDefault="00BF0565" w:rsidP="00BF0565"/>
    <w:tbl>
      <w:tblPr>
        <w:tblStyle w:val="TableGrid"/>
        <w:tblW w:w="8423" w:type="dxa"/>
        <w:tblInd w:w="1080" w:type="dxa"/>
        <w:tblLook w:val="04A0" w:firstRow="1" w:lastRow="0" w:firstColumn="1" w:lastColumn="0" w:noHBand="0" w:noVBand="1"/>
      </w:tblPr>
      <w:tblGrid>
        <w:gridCol w:w="2123"/>
        <w:gridCol w:w="2123"/>
        <w:gridCol w:w="2083"/>
        <w:gridCol w:w="2094"/>
      </w:tblGrid>
      <w:tr w:rsidR="0017562D" w14:paraId="3B01FC5B" w14:textId="77777777" w:rsidTr="00E241E5">
        <w:trPr>
          <w:trHeight w:val="651"/>
        </w:trPr>
        <w:tc>
          <w:tcPr>
            <w:tcW w:w="2123" w:type="dxa"/>
          </w:tcPr>
          <w:p w14:paraId="7173F502" w14:textId="00E54838" w:rsidR="0017562D" w:rsidRDefault="00E241E5" w:rsidP="00F37EF0">
            <w:pPr>
              <w:pStyle w:val="ListParagraph"/>
              <w:ind w:left="0"/>
            </w:pPr>
            <w:r>
              <w:t>Using Stock Index</w:t>
            </w:r>
            <w:r w:rsidR="00997B9D">
              <w:t xml:space="preserve"> Futures</w:t>
            </w:r>
          </w:p>
        </w:tc>
        <w:tc>
          <w:tcPr>
            <w:tcW w:w="2123" w:type="dxa"/>
          </w:tcPr>
          <w:p w14:paraId="088B4E62" w14:textId="24D5E961" w:rsidR="0017562D" w:rsidRDefault="0017562D" w:rsidP="00F37EF0">
            <w:pPr>
              <w:pStyle w:val="ListParagraph"/>
              <w:ind w:left="0"/>
            </w:pPr>
            <w:r>
              <w:t>Portfolio Profits</w:t>
            </w:r>
            <w:r w:rsidR="00E241E5">
              <w:t xml:space="preserve"> (INR)</w:t>
            </w:r>
          </w:p>
        </w:tc>
        <w:tc>
          <w:tcPr>
            <w:tcW w:w="2083" w:type="dxa"/>
          </w:tcPr>
          <w:p w14:paraId="634AB46E" w14:textId="2CE3056C" w:rsidR="0017562D" w:rsidRDefault="0017562D" w:rsidP="00F37EF0">
            <w:pPr>
              <w:pStyle w:val="ListParagraph"/>
              <w:ind w:left="0"/>
            </w:pPr>
            <w:r>
              <w:t>Hedge Profits</w:t>
            </w:r>
            <w:r w:rsidR="00E241E5">
              <w:t xml:space="preserve"> (INR)</w:t>
            </w:r>
          </w:p>
        </w:tc>
        <w:tc>
          <w:tcPr>
            <w:tcW w:w="2094" w:type="dxa"/>
          </w:tcPr>
          <w:p w14:paraId="43F8CDF5" w14:textId="6B8AA167" w:rsidR="0017562D" w:rsidRDefault="0017562D" w:rsidP="00F37EF0">
            <w:pPr>
              <w:pStyle w:val="ListParagraph"/>
              <w:ind w:left="0"/>
            </w:pPr>
            <w:r>
              <w:t>Overall Profits</w:t>
            </w:r>
            <w:r w:rsidR="00E241E5">
              <w:t xml:space="preserve"> (INR)</w:t>
            </w:r>
          </w:p>
        </w:tc>
      </w:tr>
      <w:tr w:rsidR="0017562D" w14:paraId="16165353" w14:textId="77777777" w:rsidTr="00E241E5">
        <w:trPr>
          <w:trHeight w:val="318"/>
        </w:trPr>
        <w:tc>
          <w:tcPr>
            <w:tcW w:w="2123" w:type="dxa"/>
          </w:tcPr>
          <w:p w14:paraId="75FBC87F" w14:textId="72C91BD5" w:rsidR="0017562D" w:rsidRDefault="00E241E5" w:rsidP="00F37EF0">
            <w:pPr>
              <w:pStyle w:val="ListParagraph"/>
              <w:ind w:left="0"/>
            </w:pPr>
            <w:r>
              <w:t>Overall Return</w:t>
            </w:r>
          </w:p>
        </w:tc>
        <w:tc>
          <w:tcPr>
            <w:tcW w:w="2123" w:type="dxa"/>
          </w:tcPr>
          <w:p w14:paraId="57479A29" w14:textId="1443C5F7" w:rsidR="0017562D" w:rsidRDefault="00E241E5" w:rsidP="00F37EF0">
            <w:pPr>
              <w:pStyle w:val="ListParagraph"/>
              <w:ind w:left="0"/>
            </w:pPr>
            <w:r>
              <w:t>-11,065,607</w:t>
            </w:r>
          </w:p>
        </w:tc>
        <w:tc>
          <w:tcPr>
            <w:tcW w:w="2083" w:type="dxa"/>
          </w:tcPr>
          <w:p w14:paraId="70F1F1A1" w14:textId="3ACA7193" w:rsidR="0017562D" w:rsidRDefault="00E241E5" w:rsidP="00F37EF0">
            <w:pPr>
              <w:pStyle w:val="ListParagraph"/>
              <w:ind w:left="0"/>
            </w:pPr>
            <w:r>
              <w:t>7,029,805</w:t>
            </w:r>
          </w:p>
        </w:tc>
        <w:tc>
          <w:tcPr>
            <w:tcW w:w="2094" w:type="dxa"/>
          </w:tcPr>
          <w:p w14:paraId="0CCFAC6C" w14:textId="64EEBCB6" w:rsidR="0017562D" w:rsidRDefault="00E241E5" w:rsidP="00F37EF0">
            <w:pPr>
              <w:pStyle w:val="ListParagraph"/>
              <w:ind w:left="0"/>
            </w:pPr>
            <w:r>
              <w:t>-4,35,802</w:t>
            </w:r>
          </w:p>
        </w:tc>
      </w:tr>
    </w:tbl>
    <w:p w14:paraId="18FD0036" w14:textId="79E56FDB" w:rsidR="009743D1" w:rsidRDefault="00997B9D" w:rsidP="00F37EF0">
      <w:pPr>
        <w:pStyle w:val="ListParagraph"/>
        <w:ind w:left="1080"/>
      </w:pPr>
      <w:r>
        <w:tab/>
      </w:r>
    </w:p>
    <w:p w14:paraId="33AF2BC4" w14:textId="77777777" w:rsidR="00AE129F" w:rsidRDefault="00AE129F" w:rsidP="00997B9D">
      <w:pPr>
        <w:rPr>
          <w:b/>
          <w:bCs/>
          <w:sz w:val="32"/>
          <w:szCs w:val="32"/>
        </w:rPr>
      </w:pPr>
    </w:p>
    <w:p w14:paraId="3631FD10" w14:textId="77777777" w:rsidR="00AE129F" w:rsidRDefault="00AE129F" w:rsidP="00997B9D">
      <w:pPr>
        <w:rPr>
          <w:b/>
          <w:bCs/>
          <w:sz w:val="32"/>
          <w:szCs w:val="32"/>
        </w:rPr>
      </w:pPr>
    </w:p>
    <w:p w14:paraId="694F14A4" w14:textId="77777777" w:rsidR="00AE129F" w:rsidRDefault="00AE129F" w:rsidP="00997B9D">
      <w:pPr>
        <w:rPr>
          <w:b/>
          <w:bCs/>
          <w:sz w:val="32"/>
          <w:szCs w:val="32"/>
        </w:rPr>
      </w:pPr>
    </w:p>
    <w:p w14:paraId="07A64F08" w14:textId="77777777" w:rsidR="00AE129F" w:rsidRDefault="00AE129F" w:rsidP="00997B9D">
      <w:pPr>
        <w:rPr>
          <w:b/>
          <w:bCs/>
          <w:sz w:val="32"/>
          <w:szCs w:val="32"/>
        </w:rPr>
      </w:pPr>
    </w:p>
    <w:p w14:paraId="3A75334D" w14:textId="77777777" w:rsidR="00AE129F" w:rsidRDefault="00AE129F" w:rsidP="00997B9D">
      <w:pPr>
        <w:rPr>
          <w:b/>
          <w:bCs/>
          <w:sz w:val="32"/>
          <w:szCs w:val="32"/>
        </w:rPr>
      </w:pPr>
    </w:p>
    <w:p w14:paraId="089FFF2E" w14:textId="77777777" w:rsidR="00AE129F" w:rsidRDefault="00AE129F" w:rsidP="00997B9D">
      <w:pPr>
        <w:rPr>
          <w:b/>
          <w:bCs/>
          <w:sz w:val="32"/>
          <w:szCs w:val="32"/>
        </w:rPr>
      </w:pPr>
    </w:p>
    <w:p w14:paraId="02A3EF95" w14:textId="77777777" w:rsidR="00AE129F" w:rsidRDefault="00AE129F" w:rsidP="00997B9D">
      <w:pPr>
        <w:rPr>
          <w:b/>
          <w:bCs/>
          <w:sz w:val="32"/>
          <w:szCs w:val="32"/>
        </w:rPr>
      </w:pPr>
    </w:p>
    <w:p w14:paraId="16D7698D" w14:textId="77777777" w:rsidR="00AE129F" w:rsidRDefault="00AE129F" w:rsidP="00997B9D">
      <w:pPr>
        <w:rPr>
          <w:b/>
          <w:bCs/>
          <w:sz w:val="32"/>
          <w:szCs w:val="32"/>
        </w:rPr>
      </w:pPr>
    </w:p>
    <w:p w14:paraId="6AAAE7C0" w14:textId="77777777" w:rsidR="00AE129F" w:rsidRDefault="00AE129F" w:rsidP="00997B9D">
      <w:pPr>
        <w:rPr>
          <w:b/>
          <w:bCs/>
          <w:sz w:val="32"/>
          <w:szCs w:val="32"/>
        </w:rPr>
      </w:pPr>
    </w:p>
    <w:p w14:paraId="02F25668" w14:textId="77777777" w:rsidR="00AE129F" w:rsidRDefault="00AE129F" w:rsidP="00997B9D">
      <w:pPr>
        <w:rPr>
          <w:b/>
          <w:bCs/>
          <w:sz w:val="32"/>
          <w:szCs w:val="32"/>
        </w:rPr>
      </w:pPr>
    </w:p>
    <w:p w14:paraId="0D1333D6" w14:textId="77777777" w:rsidR="00AE129F" w:rsidRDefault="00AE129F" w:rsidP="00997B9D">
      <w:pPr>
        <w:rPr>
          <w:b/>
          <w:bCs/>
          <w:sz w:val="32"/>
          <w:szCs w:val="32"/>
        </w:rPr>
      </w:pPr>
    </w:p>
    <w:p w14:paraId="209F5BEE" w14:textId="77777777" w:rsidR="00AE129F" w:rsidRDefault="00AE129F" w:rsidP="00997B9D">
      <w:pPr>
        <w:rPr>
          <w:b/>
          <w:bCs/>
          <w:sz w:val="32"/>
          <w:szCs w:val="32"/>
        </w:rPr>
      </w:pPr>
    </w:p>
    <w:p w14:paraId="56C4BC68" w14:textId="77777777" w:rsidR="00AE129F" w:rsidRDefault="00AE129F" w:rsidP="00997B9D">
      <w:pPr>
        <w:rPr>
          <w:b/>
          <w:bCs/>
          <w:sz w:val="32"/>
          <w:szCs w:val="32"/>
        </w:rPr>
      </w:pPr>
    </w:p>
    <w:p w14:paraId="53A79CC2" w14:textId="77777777" w:rsidR="00AE129F" w:rsidRDefault="00AE129F" w:rsidP="00997B9D">
      <w:pPr>
        <w:rPr>
          <w:b/>
          <w:bCs/>
          <w:sz w:val="32"/>
          <w:szCs w:val="32"/>
        </w:rPr>
      </w:pPr>
    </w:p>
    <w:p w14:paraId="02F8EEEA" w14:textId="77777777" w:rsidR="00AE129F" w:rsidRDefault="00AE129F" w:rsidP="00997B9D">
      <w:pPr>
        <w:rPr>
          <w:b/>
          <w:bCs/>
          <w:sz w:val="32"/>
          <w:szCs w:val="32"/>
        </w:rPr>
      </w:pPr>
    </w:p>
    <w:p w14:paraId="3ECF1A59" w14:textId="77777777" w:rsidR="00AE129F" w:rsidRDefault="00AE129F" w:rsidP="00997B9D">
      <w:pPr>
        <w:rPr>
          <w:b/>
          <w:bCs/>
          <w:sz w:val="32"/>
          <w:szCs w:val="32"/>
        </w:rPr>
      </w:pPr>
    </w:p>
    <w:p w14:paraId="70BE4399" w14:textId="77777777" w:rsidR="00AE129F" w:rsidRDefault="00AE129F" w:rsidP="00997B9D">
      <w:pPr>
        <w:rPr>
          <w:b/>
          <w:bCs/>
          <w:sz w:val="32"/>
          <w:szCs w:val="32"/>
        </w:rPr>
      </w:pPr>
    </w:p>
    <w:p w14:paraId="437F6487" w14:textId="77777777" w:rsidR="00AE129F" w:rsidRDefault="00AE129F" w:rsidP="00997B9D">
      <w:pPr>
        <w:rPr>
          <w:b/>
          <w:bCs/>
          <w:sz w:val="32"/>
          <w:szCs w:val="32"/>
        </w:rPr>
      </w:pPr>
    </w:p>
    <w:p w14:paraId="051EADA2" w14:textId="77777777" w:rsidR="00AE129F" w:rsidRDefault="00AE129F" w:rsidP="00997B9D">
      <w:pPr>
        <w:rPr>
          <w:b/>
          <w:bCs/>
          <w:sz w:val="32"/>
          <w:szCs w:val="32"/>
        </w:rPr>
      </w:pPr>
    </w:p>
    <w:p w14:paraId="3344E5BF" w14:textId="77777777" w:rsidR="00AE129F" w:rsidRDefault="00AE129F" w:rsidP="00997B9D">
      <w:pPr>
        <w:rPr>
          <w:b/>
          <w:bCs/>
          <w:sz w:val="32"/>
          <w:szCs w:val="32"/>
        </w:rPr>
      </w:pPr>
    </w:p>
    <w:p w14:paraId="0A54DB7E" w14:textId="04F7D8CD" w:rsidR="00997B9D" w:rsidRPr="00092F29" w:rsidRDefault="00997B9D" w:rsidP="00997B9D">
      <w:pPr>
        <w:rPr>
          <w:b/>
          <w:bCs/>
          <w:sz w:val="32"/>
          <w:szCs w:val="32"/>
        </w:rPr>
      </w:pPr>
      <w:r w:rsidRPr="00092F29">
        <w:rPr>
          <w:b/>
          <w:bCs/>
          <w:sz w:val="32"/>
          <w:szCs w:val="32"/>
        </w:rPr>
        <w:lastRenderedPageBreak/>
        <w:t>Part 4: Conclusion</w:t>
      </w:r>
    </w:p>
    <w:p w14:paraId="10A290BD" w14:textId="7D486FE3" w:rsidR="00997B9D" w:rsidRDefault="00997B9D" w:rsidP="00997B9D">
      <w:r>
        <w:t>The following table shows are overall returns from both individual stock hedging as well as hedging for the entire portfolio.</w:t>
      </w:r>
    </w:p>
    <w:tbl>
      <w:tblPr>
        <w:tblStyle w:val="TableGrid"/>
        <w:tblW w:w="9088" w:type="dxa"/>
        <w:tblLook w:val="04A0" w:firstRow="1" w:lastRow="0" w:firstColumn="1" w:lastColumn="0" w:noHBand="0" w:noVBand="1"/>
      </w:tblPr>
      <w:tblGrid>
        <w:gridCol w:w="2272"/>
        <w:gridCol w:w="2272"/>
        <w:gridCol w:w="2272"/>
        <w:gridCol w:w="2272"/>
      </w:tblGrid>
      <w:tr w:rsidR="00997B9D" w14:paraId="0B1E40BE" w14:textId="77777777" w:rsidTr="00997B9D">
        <w:trPr>
          <w:trHeight w:val="268"/>
        </w:trPr>
        <w:tc>
          <w:tcPr>
            <w:tcW w:w="2272" w:type="dxa"/>
          </w:tcPr>
          <w:p w14:paraId="51EF6589" w14:textId="23C1DD53" w:rsidR="00997B9D" w:rsidRDefault="00997B9D" w:rsidP="00997B9D">
            <w:r>
              <w:t>Using Individual Stock Futures</w:t>
            </w:r>
          </w:p>
        </w:tc>
        <w:tc>
          <w:tcPr>
            <w:tcW w:w="2272" w:type="dxa"/>
          </w:tcPr>
          <w:p w14:paraId="68170FAF" w14:textId="2B369F87" w:rsidR="00997B9D" w:rsidRDefault="00997B9D" w:rsidP="00997B9D">
            <w:r>
              <w:t>Stock Profits</w:t>
            </w:r>
          </w:p>
        </w:tc>
        <w:tc>
          <w:tcPr>
            <w:tcW w:w="2272" w:type="dxa"/>
          </w:tcPr>
          <w:p w14:paraId="57C1A163" w14:textId="1B101B2C" w:rsidR="00997B9D" w:rsidRDefault="00997B9D" w:rsidP="00997B9D">
            <w:r>
              <w:t>Hedge Profits</w:t>
            </w:r>
          </w:p>
        </w:tc>
        <w:tc>
          <w:tcPr>
            <w:tcW w:w="2272" w:type="dxa"/>
          </w:tcPr>
          <w:p w14:paraId="3A59339F" w14:textId="23CD90F2" w:rsidR="00997B9D" w:rsidRDefault="00997B9D" w:rsidP="00997B9D">
            <w:r>
              <w:t>Overall Profits</w:t>
            </w:r>
          </w:p>
        </w:tc>
      </w:tr>
      <w:tr w:rsidR="00997B9D" w14:paraId="0256166C" w14:textId="77777777" w:rsidTr="00997B9D">
        <w:trPr>
          <w:trHeight w:val="268"/>
        </w:trPr>
        <w:tc>
          <w:tcPr>
            <w:tcW w:w="2272" w:type="dxa"/>
          </w:tcPr>
          <w:p w14:paraId="22A674AB" w14:textId="19FE3916" w:rsidR="00997B9D" w:rsidRDefault="00997B9D" w:rsidP="00997B9D">
            <w:r>
              <w:rPr>
                <w:lang w:val="en-US"/>
              </w:rPr>
              <w:t>IDBI</w:t>
            </w:r>
          </w:p>
        </w:tc>
        <w:tc>
          <w:tcPr>
            <w:tcW w:w="2272" w:type="dxa"/>
          </w:tcPr>
          <w:p w14:paraId="66D68E13" w14:textId="48E0D057" w:rsidR="00997B9D" w:rsidRDefault="00997B9D" w:rsidP="00997B9D">
            <w:r>
              <w:t xml:space="preserve">1,104,396  </w:t>
            </w:r>
          </w:p>
        </w:tc>
        <w:tc>
          <w:tcPr>
            <w:tcW w:w="2272" w:type="dxa"/>
          </w:tcPr>
          <w:p w14:paraId="50155375" w14:textId="73A58127" w:rsidR="00997B9D" w:rsidRDefault="00997B9D" w:rsidP="00997B9D">
            <w:r>
              <w:t>3,715,416</w:t>
            </w:r>
          </w:p>
        </w:tc>
        <w:tc>
          <w:tcPr>
            <w:tcW w:w="2272" w:type="dxa"/>
          </w:tcPr>
          <w:p w14:paraId="5D2F8033" w14:textId="2F58B66C" w:rsidR="00997B9D" w:rsidRDefault="00997B9D" w:rsidP="00997B9D">
            <w:r>
              <w:t>4,819,812</w:t>
            </w:r>
          </w:p>
        </w:tc>
      </w:tr>
      <w:tr w:rsidR="00997B9D" w14:paraId="76545B6D" w14:textId="77777777" w:rsidTr="00997B9D">
        <w:trPr>
          <w:trHeight w:val="280"/>
        </w:trPr>
        <w:tc>
          <w:tcPr>
            <w:tcW w:w="2272" w:type="dxa"/>
          </w:tcPr>
          <w:p w14:paraId="3BA6E44F" w14:textId="795B0D72" w:rsidR="00997B9D" w:rsidRDefault="00997B9D" w:rsidP="00997B9D">
            <w:r>
              <w:rPr>
                <w:lang w:val="en-US"/>
              </w:rPr>
              <w:t>ENDURANCE</w:t>
            </w:r>
          </w:p>
        </w:tc>
        <w:tc>
          <w:tcPr>
            <w:tcW w:w="2272" w:type="dxa"/>
          </w:tcPr>
          <w:p w14:paraId="0C917196" w14:textId="351FC1CE" w:rsidR="00997B9D" w:rsidRDefault="00997B9D" w:rsidP="00997B9D">
            <w:r>
              <w:t>-3,255,517</w:t>
            </w:r>
          </w:p>
        </w:tc>
        <w:tc>
          <w:tcPr>
            <w:tcW w:w="2272" w:type="dxa"/>
          </w:tcPr>
          <w:p w14:paraId="42BF4B87" w14:textId="1E5ACB30" w:rsidR="00997B9D" w:rsidRDefault="00997B9D" w:rsidP="00997B9D">
            <w:r>
              <w:t>53,310</w:t>
            </w:r>
          </w:p>
        </w:tc>
        <w:tc>
          <w:tcPr>
            <w:tcW w:w="2272" w:type="dxa"/>
          </w:tcPr>
          <w:p w14:paraId="3FC1512F" w14:textId="1C31B1A1" w:rsidR="00997B9D" w:rsidRDefault="00997B9D" w:rsidP="00997B9D">
            <w:r>
              <w:t>-3,202,206</w:t>
            </w:r>
          </w:p>
        </w:tc>
      </w:tr>
      <w:tr w:rsidR="00997B9D" w14:paraId="5AA723F5" w14:textId="77777777" w:rsidTr="00997B9D">
        <w:trPr>
          <w:trHeight w:val="268"/>
        </w:trPr>
        <w:tc>
          <w:tcPr>
            <w:tcW w:w="2272" w:type="dxa"/>
          </w:tcPr>
          <w:p w14:paraId="1D445F42" w14:textId="39782204" w:rsidR="00997B9D" w:rsidRDefault="00997B9D" w:rsidP="00997B9D">
            <w:r>
              <w:rPr>
                <w:lang w:val="en-US"/>
              </w:rPr>
              <w:t>SRF</w:t>
            </w:r>
          </w:p>
        </w:tc>
        <w:tc>
          <w:tcPr>
            <w:tcW w:w="2272" w:type="dxa"/>
          </w:tcPr>
          <w:p w14:paraId="630727CA" w14:textId="50BDB397" w:rsidR="00997B9D" w:rsidRDefault="00997B9D" w:rsidP="00997B9D">
            <w:r>
              <w:t>-43,250</w:t>
            </w:r>
          </w:p>
        </w:tc>
        <w:tc>
          <w:tcPr>
            <w:tcW w:w="2272" w:type="dxa"/>
          </w:tcPr>
          <w:p w14:paraId="248E4ECB" w14:textId="189F9448" w:rsidR="00997B9D" w:rsidRDefault="00997B9D" w:rsidP="00997B9D">
            <w:r>
              <w:t>23,356</w:t>
            </w:r>
          </w:p>
        </w:tc>
        <w:tc>
          <w:tcPr>
            <w:tcW w:w="2272" w:type="dxa"/>
          </w:tcPr>
          <w:p w14:paraId="0271967E" w14:textId="3D083B43" w:rsidR="00997B9D" w:rsidRDefault="00997B9D" w:rsidP="00997B9D">
            <w:r>
              <w:t>-19,894</w:t>
            </w:r>
          </w:p>
        </w:tc>
      </w:tr>
      <w:tr w:rsidR="00997B9D" w14:paraId="57443DA4" w14:textId="77777777" w:rsidTr="00997B9D">
        <w:trPr>
          <w:trHeight w:val="268"/>
        </w:trPr>
        <w:tc>
          <w:tcPr>
            <w:tcW w:w="2272" w:type="dxa"/>
          </w:tcPr>
          <w:p w14:paraId="591B5315" w14:textId="7FD66083" w:rsidR="00997B9D" w:rsidRDefault="00997B9D" w:rsidP="00997B9D">
            <w:r>
              <w:rPr>
                <w:lang w:val="en-US"/>
              </w:rPr>
              <w:t>EXIDE</w:t>
            </w:r>
          </w:p>
        </w:tc>
        <w:tc>
          <w:tcPr>
            <w:tcW w:w="2272" w:type="dxa"/>
          </w:tcPr>
          <w:p w14:paraId="084F3EC0" w14:textId="5E41865C" w:rsidR="00997B9D" w:rsidRDefault="00997B9D" w:rsidP="00997B9D">
            <w:r>
              <w:t>-6,722,866</w:t>
            </w:r>
          </w:p>
        </w:tc>
        <w:tc>
          <w:tcPr>
            <w:tcW w:w="2272" w:type="dxa"/>
          </w:tcPr>
          <w:p w14:paraId="6326F15D" w14:textId="12CC7288" w:rsidR="00997B9D" w:rsidRDefault="00997B9D" w:rsidP="00997B9D">
            <w:r>
              <w:t>921,357</w:t>
            </w:r>
          </w:p>
        </w:tc>
        <w:tc>
          <w:tcPr>
            <w:tcW w:w="2272" w:type="dxa"/>
          </w:tcPr>
          <w:p w14:paraId="68065DAA" w14:textId="48528F97" w:rsidR="00997B9D" w:rsidRDefault="00997B9D" w:rsidP="00997B9D">
            <w:r>
              <w:t>-5,801,508</w:t>
            </w:r>
          </w:p>
        </w:tc>
      </w:tr>
      <w:tr w:rsidR="00997B9D" w14:paraId="0A21C00C" w14:textId="77777777" w:rsidTr="00997B9D">
        <w:trPr>
          <w:trHeight w:val="548"/>
        </w:trPr>
        <w:tc>
          <w:tcPr>
            <w:tcW w:w="2272" w:type="dxa"/>
          </w:tcPr>
          <w:p w14:paraId="6FFD9238" w14:textId="4CBDB9F9" w:rsidR="00997B9D" w:rsidRDefault="00997B9D" w:rsidP="00997B9D">
            <w:r>
              <w:t>Overall Return</w:t>
            </w:r>
          </w:p>
        </w:tc>
        <w:tc>
          <w:tcPr>
            <w:tcW w:w="2272" w:type="dxa"/>
          </w:tcPr>
          <w:p w14:paraId="6DDF5FC8" w14:textId="2A3B43F0" w:rsidR="00997B9D" w:rsidRDefault="00997B9D" w:rsidP="00997B9D">
            <w:r>
              <w:t>-8,917,237</w:t>
            </w:r>
          </w:p>
        </w:tc>
        <w:tc>
          <w:tcPr>
            <w:tcW w:w="2272" w:type="dxa"/>
          </w:tcPr>
          <w:p w14:paraId="2D6A7C29" w14:textId="3EAA233B" w:rsidR="00997B9D" w:rsidRDefault="00997B9D" w:rsidP="00997B9D">
            <w:r>
              <w:t>4,713,440</w:t>
            </w:r>
          </w:p>
        </w:tc>
        <w:tc>
          <w:tcPr>
            <w:tcW w:w="2272" w:type="dxa"/>
          </w:tcPr>
          <w:p w14:paraId="6929F826" w14:textId="20166E7E" w:rsidR="00997B9D" w:rsidRDefault="00997B9D" w:rsidP="00997B9D">
            <w:r>
              <w:t>-4,203,796</w:t>
            </w:r>
          </w:p>
        </w:tc>
      </w:tr>
      <w:tr w:rsidR="00997B9D" w14:paraId="4138AE4D" w14:textId="77777777" w:rsidTr="00997B9D">
        <w:trPr>
          <w:trHeight w:val="268"/>
        </w:trPr>
        <w:tc>
          <w:tcPr>
            <w:tcW w:w="2272" w:type="dxa"/>
          </w:tcPr>
          <w:p w14:paraId="4BD13199" w14:textId="77777777" w:rsidR="00997B9D" w:rsidRDefault="00997B9D" w:rsidP="00997B9D"/>
        </w:tc>
        <w:tc>
          <w:tcPr>
            <w:tcW w:w="2272" w:type="dxa"/>
          </w:tcPr>
          <w:p w14:paraId="33689EFD" w14:textId="77777777" w:rsidR="00997B9D" w:rsidRDefault="00997B9D" w:rsidP="00997B9D"/>
        </w:tc>
        <w:tc>
          <w:tcPr>
            <w:tcW w:w="2272" w:type="dxa"/>
          </w:tcPr>
          <w:p w14:paraId="4FA812AC" w14:textId="77777777" w:rsidR="00997B9D" w:rsidRDefault="00997B9D" w:rsidP="00997B9D"/>
        </w:tc>
        <w:tc>
          <w:tcPr>
            <w:tcW w:w="2272" w:type="dxa"/>
          </w:tcPr>
          <w:p w14:paraId="7DE12440" w14:textId="77777777" w:rsidR="00997B9D" w:rsidRDefault="00997B9D" w:rsidP="00997B9D"/>
        </w:tc>
      </w:tr>
      <w:tr w:rsidR="00997B9D" w14:paraId="1F658515" w14:textId="77777777" w:rsidTr="00997B9D">
        <w:trPr>
          <w:trHeight w:val="268"/>
        </w:trPr>
        <w:tc>
          <w:tcPr>
            <w:tcW w:w="2272" w:type="dxa"/>
          </w:tcPr>
          <w:p w14:paraId="1ADA14BE" w14:textId="77777777" w:rsidR="00997B9D" w:rsidRDefault="00997B9D" w:rsidP="00997B9D">
            <w:r>
              <w:t>Using Index Futures</w:t>
            </w:r>
          </w:p>
          <w:p w14:paraId="36838DF9" w14:textId="67DE8EBD" w:rsidR="00407999" w:rsidRDefault="00407999" w:rsidP="00997B9D">
            <w:r>
              <w:t>(Entire Portfolio)</w:t>
            </w:r>
          </w:p>
        </w:tc>
        <w:tc>
          <w:tcPr>
            <w:tcW w:w="2272" w:type="dxa"/>
          </w:tcPr>
          <w:p w14:paraId="6FEA66AA" w14:textId="24DC39ED" w:rsidR="00997B9D" w:rsidRDefault="00997B9D" w:rsidP="00997B9D">
            <w:r>
              <w:t>Portfolio Profits</w:t>
            </w:r>
          </w:p>
        </w:tc>
        <w:tc>
          <w:tcPr>
            <w:tcW w:w="2272" w:type="dxa"/>
          </w:tcPr>
          <w:p w14:paraId="0E718677" w14:textId="7BA3ABFF" w:rsidR="00997B9D" w:rsidRDefault="00997B9D" w:rsidP="00997B9D">
            <w:r>
              <w:t>Hedge Profits</w:t>
            </w:r>
          </w:p>
        </w:tc>
        <w:tc>
          <w:tcPr>
            <w:tcW w:w="2272" w:type="dxa"/>
          </w:tcPr>
          <w:p w14:paraId="34403CB4" w14:textId="2532AC96" w:rsidR="00997B9D" w:rsidRDefault="00997B9D" w:rsidP="00997B9D">
            <w:r>
              <w:t>Overall Profits</w:t>
            </w:r>
          </w:p>
        </w:tc>
      </w:tr>
      <w:tr w:rsidR="00997B9D" w14:paraId="4CB66DF1" w14:textId="77777777" w:rsidTr="00997B9D">
        <w:trPr>
          <w:trHeight w:val="268"/>
        </w:trPr>
        <w:tc>
          <w:tcPr>
            <w:tcW w:w="2272" w:type="dxa"/>
          </w:tcPr>
          <w:p w14:paraId="0F75D143" w14:textId="456ED246" w:rsidR="00997B9D" w:rsidRDefault="00997B9D" w:rsidP="00997B9D">
            <w:r>
              <w:t>Overall Returns</w:t>
            </w:r>
          </w:p>
        </w:tc>
        <w:tc>
          <w:tcPr>
            <w:tcW w:w="2272" w:type="dxa"/>
          </w:tcPr>
          <w:p w14:paraId="35E9AC64" w14:textId="56768966" w:rsidR="00997B9D" w:rsidRDefault="00997B9D" w:rsidP="00997B9D">
            <w:r>
              <w:t>-11,065,607</w:t>
            </w:r>
          </w:p>
        </w:tc>
        <w:tc>
          <w:tcPr>
            <w:tcW w:w="2272" w:type="dxa"/>
          </w:tcPr>
          <w:p w14:paraId="608742E1" w14:textId="1C820066" w:rsidR="00997B9D" w:rsidRDefault="00997B9D" w:rsidP="00997B9D">
            <w:r>
              <w:t>7,029,805</w:t>
            </w:r>
          </w:p>
        </w:tc>
        <w:tc>
          <w:tcPr>
            <w:tcW w:w="2272" w:type="dxa"/>
          </w:tcPr>
          <w:p w14:paraId="401DA7AD" w14:textId="379CD13A" w:rsidR="00997B9D" w:rsidRDefault="00997B9D" w:rsidP="00997B9D">
            <w:r>
              <w:t>-4,</w:t>
            </w:r>
            <w:r w:rsidR="00407999">
              <w:t>0</w:t>
            </w:r>
            <w:r>
              <w:t>35,802</w:t>
            </w:r>
          </w:p>
        </w:tc>
      </w:tr>
    </w:tbl>
    <w:p w14:paraId="1CC7E257" w14:textId="77777777" w:rsidR="00997B9D" w:rsidRDefault="00997B9D" w:rsidP="00997B9D"/>
    <w:p w14:paraId="045EF226" w14:textId="6C1A8B0D" w:rsidR="00407999" w:rsidRPr="00092F29" w:rsidRDefault="00407999" w:rsidP="00997B9D">
      <w:pPr>
        <w:rPr>
          <w:b/>
          <w:bCs/>
          <w:sz w:val="24"/>
          <w:szCs w:val="24"/>
        </w:rPr>
      </w:pPr>
      <w:r w:rsidRPr="00092F29">
        <w:rPr>
          <w:b/>
          <w:bCs/>
          <w:sz w:val="24"/>
          <w:szCs w:val="24"/>
        </w:rPr>
        <w:t>Analysing our overall returns from both approaches: -</w:t>
      </w:r>
    </w:p>
    <w:p w14:paraId="53DB5B78" w14:textId="0A9FCE4A" w:rsidR="00407999" w:rsidRPr="00092F29" w:rsidRDefault="00407999" w:rsidP="00407999">
      <w:pPr>
        <w:pStyle w:val="ListParagraph"/>
        <w:numPr>
          <w:ilvl w:val="0"/>
          <w:numId w:val="4"/>
        </w:numPr>
        <w:rPr>
          <w:b/>
          <w:bCs/>
        </w:rPr>
      </w:pPr>
      <w:r w:rsidRPr="00092F29">
        <w:rPr>
          <w:b/>
          <w:bCs/>
        </w:rPr>
        <w:t>Stock Futures Hedging: -</w:t>
      </w:r>
    </w:p>
    <w:p w14:paraId="7F273CA4" w14:textId="33C03CE0" w:rsidR="00407999" w:rsidRDefault="00407999" w:rsidP="00407999">
      <w:pPr>
        <w:pStyle w:val="ListParagraph"/>
        <w:numPr>
          <w:ilvl w:val="0"/>
          <w:numId w:val="5"/>
        </w:numPr>
      </w:pPr>
      <w:r>
        <w:t xml:space="preserve">IDBI stock performed the best on </w:t>
      </w:r>
      <w:r w:rsidR="00107CDE">
        <w:t>its</w:t>
      </w:r>
      <w:r>
        <w:t xml:space="preserve"> own but the hedging profits outperformed the stocks and hence gave us a significant profit.</w:t>
      </w:r>
    </w:p>
    <w:p w14:paraId="5E4A239C" w14:textId="043E3706" w:rsidR="00407999" w:rsidRDefault="00407999" w:rsidP="00407999">
      <w:pPr>
        <w:pStyle w:val="ListParagraph"/>
        <w:numPr>
          <w:ilvl w:val="0"/>
          <w:numId w:val="5"/>
        </w:numPr>
      </w:pPr>
      <w:r>
        <w:t xml:space="preserve">In the case if ENDURACE, SRF and EXIDE, major losses in the stock market were incurred which </w:t>
      </w:r>
      <w:r w:rsidR="00107CDE">
        <w:t>were not</w:t>
      </w:r>
      <w:r>
        <w:t xml:space="preserve"> sufficiently protected by our he</w:t>
      </w:r>
      <w:r w:rsidR="00107CDE">
        <w:t>dging strategy. This is especially true for the EXIDE stock which suffered the largest amongst the four.</w:t>
      </w:r>
    </w:p>
    <w:p w14:paraId="66DC58CF" w14:textId="77B2D5C0" w:rsidR="00107CDE" w:rsidRDefault="00107CDE" w:rsidP="00407999">
      <w:pPr>
        <w:pStyle w:val="ListParagraph"/>
        <w:numPr>
          <w:ilvl w:val="0"/>
          <w:numId w:val="5"/>
        </w:numPr>
      </w:pPr>
      <w:r>
        <w:t>The total overall return from stock hedging is negative, indicating limited effectiveness.</w:t>
      </w:r>
    </w:p>
    <w:p w14:paraId="18C221C6" w14:textId="1760AEF0" w:rsidR="00107CDE" w:rsidRDefault="00107CDE" w:rsidP="00107CDE">
      <w:pPr>
        <w:ind w:left="360"/>
      </w:pPr>
    </w:p>
    <w:p w14:paraId="431B6A40" w14:textId="77777777" w:rsidR="00107CDE" w:rsidRDefault="00107CDE" w:rsidP="00107CDE">
      <w:pPr>
        <w:ind w:left="360"/>
      </w:pPr>
    </w:p>
    <w:p w14:paraId="673603E1" w14:textId="61872CEA" w:rsidR="00107CDE" w:rsidRPr="00092F29" w:rsidRDefault="00107CDE" w:rsidP="00107CDE">
      <w:pPr>
        <w:pStyle w:val="ListParagraph"/>
        <w:numPr>
          <w:ilvl w:val="0"/>
          <w:numId w:val="4"/>
        </w:numPr>
        <w:rPr>
          <w:b/>
          <w:bCs/>
        </w:rPr>
      </w:pPr>
      <w:r w:rsidRPr="00092F29">
        <w:rPr>
          <w:b/>
          <w:bCs/>
        </w:rPr>
        <w:t>Index Futures Hedging: -</w:t>
      </w:r>
    </w:p>
    <w:p w14:paraId="55804201" w14:textId="710C147B" w:rsidR="00107CDE" w:rsidRDefault="00107CDE" w:rsidP="00107CDE">
      <w:pPr>
        <w:pStyle w:val="ListParagraph"/>
        <w:numPr>
          <w:ilvl w:val="0"/>
          <w:numId w:val="6"/>
        </w:numPr>
      </w:pPr>
      <w:r>
        <w:t>The portfolio on its own suffered a huge loss of 11,065,607 INR.</w:t>
      </w:r>
    </w:p>
    <w:p w14:paraId="143A79AB" w14:textId="77777777" w:rsidR="00107CDE" w:rsidRDefault="00107CDE" w:rsidP="00107CDE">
      <w:pPr>
        <w:pStyle w:val="ListParagraph"/>
        <w:numPr>
          <w:ilvl w:val="0"/>
          <w:numId w:val="6"/>
        </w:numPr>
      </w:pPr>
      <w:r>
        <w:t>Yet the hedge was able to recuperate much of that loss by giving us a profit of 7,029,805 INR.</w:t>
      </w:r>
    </w:p>
    <w:p w14:paraId="6B57EC2F" w14:textId="34E42F0A" w:rsidR="00107CDE" w:rsidRDefault="00107CDE" w:rsidP="00107CDE">
      <w:pPr>
        <w:pStyle w:val="ListParagraph"/>
        <w:numPr>
          <w:ilvl w:val="0"/>
          <w:numId w:val="6"/>
        </w:numPr>
      </w:pPr>
      <w:r>
        <w:t>We end with a negative profit which could suggest that the hedge was ineffective but the profits it made to offset the initial lose should not be ignored.</w:t>
      </w:r>
    </w:p>
    <w:p w14:paraId="1DA10411" w14:textId="77777777" w:rsidR="00107CDE" w:rsidRDefault="00107CDE" w:rsidP="00107CDE"/>
    <w:p w14:paraId="7EAE1162" w14:textId="20CEF4D1" w:rsidR="00C0090D" w:rsidRDefault="00C0090D" w:rsidP="00C0090D">
      <w:r w:rsidRPr="00092F29">
        <w:rPr>
          <w:b/>
          <w:bCs/>
        </w:rPr>
        <w:t xml:space="preserve">        3.   Comparison and Conclusion</w:t>
      </w:r>
      <w:r>
        <w:t>: - Index futures hedging provided us with higher hedge profits and overall were more adept at hedging our portfolio risk as we end with lower losses in the case of index futures hedging. It is often more ideal to perform individual stock hedges because it allows us to mitigate risks specific to each stock and is hence more granular but is also more time consuming. But in this case the ease of implementation and higher returns of index hedging makes it the clear choice.</w:t>
      </w:r>
    </w:p>
    <w:p w14:paraId="498C3934" w14:textId="77777777" w:rsidR="00C0090D" w:rsidRDefault="00C0090D" w:rsidP="00C0090D"/>
    <w:p w14:paraId="5FB0F554" w14:textId="53B4920D" w:rsidR="00C0090D" w:rsidRDefault="00C0090D" w:rsidP="00C0090D">
      <w:r>
        <w:t xml:space="preserve">             </w:t>
      </w:r>
    </w:p>
    <w:p w14:paraId="334F12C8" w14:textId="77777777" w:rsidR="00C0090D" w:rsidRDefault="00C0090D" w:rsidP="00C0090D"/>
    <w:p w14:paraId="5DBEF0B7" w14:textId="76C6B518" w:rsidR="00107CDE" w:rsidRDefault="00107CDE" w:rsidP="00C0090D">
      <w:r>
        <w:t xml:space="preserve"> </w:t>
      </w:r>
    </w:p>
    <w:sectPr w:rsidR="00107CDE" w:rsidSect="00FE1FC9">
      <w:headerReference w:type="default" r:id="rId15"/>
      <w:footerReference w:type="default" r:id="rId16"/>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B302E4" w14:textId="77777777" w:rsidR="00641407" w:rsidRDefault="00641407" w:rsidP="00FE1FC9">
      <w:pPr>
        <w:spacing w:after="0" w:line="240" w:lineRule="auto"/>
      </w:pPr>
      <w:r>
        <w:separator/>
      </w:r>
    </w:p>
  </w:endnote>
  <w:endnote w:type="continuationSeparator" w:id="0">
    <w:p w14:paraId="53D02A24" w14:textId="77777777" w:rsidR="00641407" w:rsidRDefault="00641407" w:rsidP="00FE1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8759899"/>
      <w:docPartObj>
        <w:docPartGallery w:val="Page Numbers (Bottom of Page)"/>
        <w:docPartUnique/>
      </w:docPartObj>
    </w:sdtPr>
    <w:sdtEndPr>
      <w:rPr>
        <w:noProof/>
      </w:rPr>
    </w:sdtEndPr>
    <w:sdtContent>
      <w:p w14:paraId="65E00324" w14:textId="602CD51D" w:rsidR="00FE1FC9" w:rsidRDefault="00FE1F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063264" w14:textId="77777777" w:rsidR="00FE1FC9" w:rsidRDefault="00FE1F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C77AB0" w14:textId="77777777" w:rsidR="00641407" w:rsidRDefault="00641407" w:rsidP="00FE1FC9">
      <w:pPr>
        <w:spacing w:after="0" w:line="240" w:lineRule="auto"/>
      </w:pPr>
      <w:r>
        <w:separator/>
      </w:r>
    </w:p>
  </w:footnote>
  <w:footnote w:type="continuationSeparator" w:id="0">
    <w:p w14:paraId="4CE62E84" w14:textId="77777777" w:rsidR="00641407" w:rsidRDefault="00641407" w:rsidP="00FE1F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F6ECB3" w14:textId="77777777" w:rsidR="00FE1FC9" w:rsidRDefault="00FE1FC9">
    <w:pPr>
      <w:pStyle w:val="Header"/>
    </w:pPr>
  </w:p>
  <w:p w14:paraId="02D38EB2" w14:textId="77777777" w:rsidR="00FE1FC9" w:rsidRDefault="00FE1F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AD16BA"/>
    <w:multiLevelType w:val="hybridMultilevel"/>
    <w:tmpl w:val="5B82DE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E7351D"/>
    <w:multiLevelType w:val="hybridMultilevel"/>
    <w:tmpl w:val="18FCE238"/>
    <w:lvl w:ilvl="0" w:tplc="CDCCA9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E5D1CD4"/>
    <w:multiLevelType w:val="hybridMultilevel"/>
    <w:tmpl w:val="D7487D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CF130D"/>
    <w:multiLevelType w:val="hybridMultilevel"/>
    <w:tmpl w:val="8530FE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762978"/>
    <w:multiLevelType w:val="hybridMultilevel"/>
    <w:tmpl w:val="428A1EDE"/>
    <w:lvl w:ilvl="0" w:tplc="D3A4B8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9A47994"/>
    <w:multiLevelType w:val="hybridMultilevel"/>
    <w:tmpl w:val="47784A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8C3F6A"/>
    <w:multiLevelType w:val="hybridMultilevel"/>
    <w:tmpl w:val="4C3C0722"/>
    <w:lvl w:ilvl="0" w:tplc="3850CC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965963265">
    <w:abstractNumId w:val="0"/>
  </w:num>
  <w:num w:numId="2" w16cid:durableId="1629124157">
    <w:abstractNumId w:val="1"/>
  </w:num>
  <w:num w:numId="3" w16cid:durableId="1886600241">
    <w:abstractNumId w:val="2"/>
  </w:num>
  <w:num w:numId="4" w16cid:durableId="1089547500">
    <w:abstractNumId w:val="5"/>
  </w:num>
  <w:num w:numId="5" w16cid:durableId="1894003001">
    <w:abstractNumId w:val="6"/>
  </w:num>
  <w:num w:numId="6" w16cid:durableId="99643425">
    <w:abstractNumId w:val="4"/>
  </w:num>
  <w:num w:numId="7" w16cid:durableId="4642755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107"/>
    <w:rsid w:val="000243E7"/>
    <w:rsid w:val="00091E16"/>
    <w:rsid w:val="00092F29"/>
    <w:rsid w:val="000C3AD4"/>
    <w:rsid w:val="00107CDE"/>
    <w:rsid w:val="001208D5"/>
    <w:rsid w:val="0017562D"/>
    <w:rsid w:val="00181470"/>
    <w:rsid w:val="00287E85"/>
    <w:rsid w:val="002D1E56"/>
    <w:rsid w:val="0031742F"/>
    <w:rsid w:val="003350F9"/>
    <w:rsid w:val="003557CB"/>
    <w:rsid w:val="00356AA8"/>
    <w:rsid w:val="00390D03"/>
    <w:rsid w:val="00407999"/>
    <w:rsid w:val="00452554"/>
    <w:rsid w:val="00485107"/>
    <w:rsid w:val="004E4DB0"/>
    <w:rsid w:val="00505BEB"/>
    <w:rsid w:val="00565FBD"/>
    <w:rsid w:val="005E0990"/>
    <w:rsid w:val="006377C1"/>
    <w:rsid w:val="00641407"/>
    <w:rsid w:val="006835FA"/>
    <w:rsid w:val="007350BD"/>
    <w:rsid w:val="00750C1E"/>
    <w:rsid w:val="007746DE"/>
    <w:rsid w:val="007941B5"/>
    <w:rsid w:val="007D6E1B"/>
    <w:rsid w:val="00866BB7"/>
    <w:rsid w:val="009743D1"/>
    <w:rsid w:val="0097770C"/>
    <w:rsid w:val="00981862"/>
    <w:rsid w:val="00997B9D"/>
    <w:rsid w:val="00A12263"/>
    <w:rsid w:val="00A86B35"/>
    <w:rsid w:val="00AB1B4C"/>
    <w:rsid w:val="00AE129F"/>
    <w:rsid w:val="00BA75F0"/>
    <w:rsid w:val="00BF0565"/>
    <w:rsid w:val="00C001CA"/>
    <w:rsid w:val="00C0090D"/>
    <w:rsid w:val="00C53F11"/>
    <w:rsid w:val="00C93013"/>
    <w:rsid w:val="00D314C7"/>
    <w:rsid w:val="00D614DA"/>
    <w:rsid w:val="00DA0854"/>
    <w:rsid w:val="00DC2A07"/>
    <w:rsid w:val="00DF235E"/>
    <w:rsid w:val="00E241E5"/>
    <w:rsid w:val="00E87E98"/>
    <w:rsid w:val="00EF31F6"/>
    <w:rsid w:val="00F01DD2"/>
    <w:rsid w:val="00F37EF0"/>
    <w:rsid w:val="00F71976"/>
    <w:rsid w:val="00FA503A"/>
    <w:rsid w:val="00FE1FC9"/>
    <w:rsid w:val="00FF57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9A156"/>
  <w15:chartTrackingRefBased/>
  <w15:docId w15:val="{8FCEBEAF-00C2-4898-A2B0-CFC912259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D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5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08D5"/>
    <w:pPr>
      <w:ind w:left="720"/>
      <w:contextualSpacing/>
    </w:pPr>
  </w:style>
  <w:style w:type="paragraph" w:styleId="Header">
    <w:name w:val="header"/>
    <w:basedOn w:val="Normal"/>
    <w:link w:val="HeaderChar"/>
    <w:uiPriority w:val="99"/>
    <w:unhideWhenUsed/>
    <w:rsid w:val="00FE1F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FC9"/>
  </w:style>
  <w:style w:type="paragraph" w:styleId="Footer">
    <w:name w:val="footer"/>
    <w:basedOn w:val="Normal"/>
    <w:link w:val="FooterChar"/>
    <w:uiPriority w:val="99"/>
    <w:unhideWhenUsed/>
    <w:rsid w:val="00FE1F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FC9"/>
  </w:style>
  <w:style w:type="character" w:customStyle="1" w:styleId="Heading1Char">
    <w:name w:val="Heading 1 Char"/>
    <w:basedOn w:val="DefaultParagraphFont"/>
    <w:link w:val="Heading1"/>
    <w:uiPriority w:val="9"/>
    <w:rsid w:val="00F01DD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01DD2"/>
    <w:pPr>
      <w:outlineLvl w:val="9"/>
    </w:pPr>
    <w:rPr>
      <w:kern w:val="0"/>
      <w:lang w:val="en-US"/>
      <w14:ligatures w14:val="none"/>
    </w:rPr>
  </w:style>
  <w:style w:type="paragraph" w:styleId="TOC2">
    <w:name w:val="toc 2"/>
    <w:basedOn w:val="Normal"/>
    <w:next w:val="Normal"/>
    <w:autoRedefine/>
    <w:uiPriority w:val="39"/>
    <w:unhideWhenUsed/>
    <w:rsid w:val="00F01DD2"/>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F01DD2"/>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F01DD2"/>
    <w:pPr>
      <w:spacing w:after="100"/>
      <w:ind w:left="440"/>
    </w:pPr>
    <w:rPr>
      <w:rFonts w:eastAsiaTheme="minorEastAsi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819276">
      <w:bodyDiv w:val="1"/>
      <w:marLeft w:val="0"/>
      <w:marRight w:val="0"/>
      <w:marTop w:val="0"/>
      <w:marBottom w:val="0"/>
      <w:divBdr>
        <w:top w:val="none" w:sz="0" w:space="0" w:color="auto"/>
        <w:left w:val="none" w:sz="0" w:space="0" w:color="auto"/>
        <w:bottom w:val="none" w:sz="0" w:space="0" w:color="auto"/>
        <w:right w:val="none" w:sz="0" w:space="0" w:color="auto"/>
      </w:divBdr>
    </w:div>
    <w:div w:id="144009933">
      <w:bodyDiv w:val="1"/>
      <w:marLeft w:val="0"/>
      <w:marRight w:val="0"/>
      <w:marTop w:val="0"/>
      <w:marBottom w:val="0"/>
      <w:divBdr>
        <w:top w:val="none" w:sz="0" w:space="0" w:color="auto"/>
        <w:left w:val="none" w:sz="0" w:space="0" w:color="auto"/>
        <w:bottom w:val="none" w:sz="0" w:space="0" w:color="auto"/>
        <w:right w:val="none" w:sz="0" w:space="0" w:color="auto"/>
      </w:divBdr>
    </w:div>
    <w:div w:id="334577256">
      <w:bodyDiv w:val="1"/>
      <w:marLeft w:val="0"/>
      <w:marRight w:val="0"/>
      <w:marTop w:val="0"/>
      <w:marBottom w:val="0"/>
      <w:divBdr>
        <w:top w:val="none" w:sz="0" w:space="0" w:color="auto"/>
        <w:left w:val="none" w:sz="0" w:space="0" w:color="auto"/>
        <w:bottom w:val="none" w:sz="0" w:space="0" w:color="auto"/>
        <w:right w:val="none" w:sz="0" w:space="0" w:color="auto"/>
      </w:divBdr>
    </w:div>
    <w:div w:id="567493031">
      <w:bodyDiv w:val="1"/>
      <w:marLeft w:val="0"/>
      <w:marRight w:val="0"/>
      <w:marTop w:val="0"/>
      <w:marBottom w:val="0"/>
      <w:divBdr>
        <w:top w:val="none" w:sz="0" w:space="0" w:color="auto"/>
        <w:left w:val="none" w:sz="0" w:space="0" w:color="auto"/>
        <w:bottom w:val="none" w:sz="0" w:space="0" w:color="auto"/>
        <w:right w:val="none" w:sz="0" w:space="0" w:color="auto"/>
      </w:divBdr>
    </w:div>
    <w:div w:id="617419152">
      <w:bodyDiv w:val="1"/>
      <w:marLeft w:val="0"/>
      <w:marRight w:val="0"/>
      <w:marTop w:val="0"/>
      <w:marBottom w:val="0"/>
      <w:divBdr>
        <w:top w:val="none" w:sz="0" w:space="0" w:color="auto"/>
        <w:left w:val="none" w:sz="0" w:space="0" w:color="auto"/>
        <w:bottom w:val="none" w:sz="0" w:space="0" w:color="auto"/>
        <w:right w:val="none" w:sz="0" w:space="0" w:color="auto"/>
      </w:divBdr>
    </w:div>
    <w:div w:id="639846564">
      <w:bodyDiv w:val="1"/>
      <w:marLeft w:val="0"/>
      <w:marRight w:val="0"/>
      <w:marTop w:val="0"/>
      <w:marBottom w:val="0"/>
      <w:divBdr>
        <w:top w:val="none" w:sz="0" w:space="0" w:color="auto"/>
        <w:left w:val="none" w:sz="0" w:space="0" w:color="auto"/>
        <w:bottom w:val="none" w:sz="0" w:space="0" w:color="auto"/>
        <w:right w:val="none" w:sz="0" w:space="0" w:color="auto"/>
      </w:divBdr>
    </w:div>
    <w:div w:id="1344084998">
      <w:bodyDiv w:val="1"/>
      <w:marLeft w:val="0"/>
      <w:marRight w:val="0"/>
      <w:marTop w:val="0"/>
      <w:marBottom w:val="0"/>
      <w:divBdr>
        <w:top w:val="none" w:sz="0" w:space="0" w:color="auto"/>
        <w:left w:val="none" w:sz="0" w:space="0" w:color="auto"/>
        <w:bottom w:val="none" w:sz="0" w:space="0" w:color="auto"/>
        <w:right w:val="none" w:sz="0" w:space="0" w:color="auto"/>
      </w:divBdr>
    </w:div>
    <w:div w:id="1744328271">
      <w:bodyDiv w:val="1"/>
      <w:marLeft w:val="0"/>
      <w:marRight w:val="0"/>
      <w:marTop w:val="0"/>
      <w:marBottom w:val="0"/>
      <w:divBdr>
        <w:top w:val="none" w:sz="0" w:space="0" w:color="auto"/>
        <w:left w:val="none" w:sz="0" w:space="0" w:color="auto"/>
        <w:bottom w:val="none" w:sz="0" w:space="0" w:color="auto"/>
        <w:right w:val="none" w:sz="0" w:space="0" w:color="auto"/>
      </w:divBdr>
    </w:div>
    <w:div w:id="1837454314">
      <w:bodyDiv w:val="1"/>
      <w:marLeft w:val="0"/>
      <w:marRight w:val="0"/>
      <w:marTop w:val="0"/>
      <w:marBottom w:val="0"/>
      <w:divBdr>
        <w:top w:val="none" w:sz="0" w:space="0" w:color="auto"/>
        <w:left w:val="none" w:sz="0" w:space="0" w:color="auto"/>
        <w:bottom w:val="none" w:sz="0" w:space="0" w:color="auto"/>
        <w:right w:val="none" w:sz="0" w:space="0" w:color="auto"/>
      </w:divBdr>
    </w:div>
    <w:div w:id="208039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15</Pages>
  <Words>2257</Words>
  <Characters>12868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Ishaan Singh</dc:creator>
  <cp:keywords/>
  <dc:description/>
  <cp:lastModifiedBy>Ishaan Singh</cp:lastModifiedBy>
  <cp:revision>3</cp:revision>
  <dcterms:created xsi:type="dcterms:W3CDTF">2024-11-16T14:52:00Z</dcterms:created>
  <dcterms:modified xsi:type="dcterms:W3CDTF">2024-11-19T18:14:00Z</dcterms:modified>
</cp:coreProperties>
</file>