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after="280"/>
        <w:jc w:val="left"/>
      </w:pPr>
      <w:r>
        <w:t>MET-001 — Metodologia de Avaliação e Cálculo de Riscos de Soluções de Inteligência Artificial</w:t>
      </w:r>
    </w:p>
    <w:p>
      <w:pPr>
        <w:pStyle w:val="Subtitle"/>
        <w:spacing w:after="520"/>
      </w:pPr>
      <w:r>
        <w:t>Uso Interno | Versão 1.2 | Minuta para revisão</w:t>
      </w:r>
    </w:p>
    <w:tbl>
      <w:tblPr>
        <w:tblW w:type="auto" w:w="0"/>
        <w:jc w:val="left"/>
        <w:tblLook w:firstColumn="1" w:firstRow="1" w:lastColumn="0" w:lastRow="0" w:noHBand="0" w:noVBand="1" w:val="04A0"/>
      </w:tblPr>
      <w:tblGrid>
        <w:gridCol w:w="9524"/>
      </w:tblGrid>
      <w:tr>
        <w:tc>
          <w:tcPr>
            <w:tcW w:type="dxa" w:w="9524"/>
            <w:shd w:fill="EAF0F4"/>
            <w:tcMar>
              <w:top w:w="150" w:type="dxa"/>
              <w:start w:w="160" w:type="dxa"/>
              <w:bottom w:w="150" w:type="dxa"/>
              <w:end w:w="160" w:type="dxa"/>
            </w:tcMar>
          </w:tcPr>
          <w:p>
            <w:r>
              <w:rPr>
                <w:b w:val="0"/>
                <w:color w:val="28465C"/>
              </w:rPr>
              <w:t>Documento corporativo para classificação H1-H4, cálculo de impacto e probabilidade, seleção cumulativa de controles e projeção do risco residual de soluções de Inteligência Artificial.</w:t>
            </w:r>
          </w:p>
        </w:tc>
      </w:tr>
    </w:tbl>
    <w:p>
      <w:r>
        <w:br w:type="page"/>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4762"/>
            <w:vAlign w:val="top"/>
            <w:tcMar>
              <w:top w:w="80" w:type="dxa"/>
              <w:start w:w="100" w:type="dxa"/>
              <w:bottom w:w="80" w:type="dxa"/>
              <w:end w:w="100" w:type="dxa"/>
            </w:tcMar>
            <w:shd w:fill="28465C"/>
          </w:tcPr>
          <w:p>
            <w:r>
              <w:rPr>
                <w:b/>
                <w:color w:val="FFFFFF"/>
                <w:sz w:val="18"/>
              </w:rPr>
              <w:t>Campo</w:t>
            </w:r>
          </w:p>
        </w:tc>
        <w:tc>
          <w:tcPr>
            <w:tcW w:type="dxa" w:w="4762"/>
            <w:vAlign w:val="top"/>
            <w:tcMar>
              <w:top w:w="80" w:type="dxa"/>
              <w:start w:w="100" w:type="dxa"/>
              <w:bottom w:w="80" w:type="dxa"/>
              <w:end w:w="100" w:type="dxa"/>
            </w:tcMar>
            <w:shd w:fill="28465C"/>
          </w:tcPr>
          <w:p>
            <w:r>
              <w:rPr>
                <w:b/>
                <w:color w:val="FFFFFF"/>
                <w:sz w:val="18"/>
              </w:rPr>
              <w:t>Valor</w:t>
            </w:r>
          </w:p>
        </w:tc>
      </w:tr>
      <w:tr>
        <w:tc>
          <w:tcPr>
            <w:tcW w:type="dxa" w:w="4762"/>
            <w:vAlign w:val="top"/>
            <w:tcMar>
              <w:top w:w="80" w:type="dxa"/>
              <w:start w:w="100" w:type="dxa"/>
              <w:bottom w:w="80" w:type="dxa"/>
              <w:end w:w="100" w:type="dxa"/>
            </w:tcMar>
          </w:tcPr>
          <w:p>
            <w:r>
              <w:rPr>
                <w:b w:val="0"/>
                <w:sz w:val="18"/>
              </w:rPr>
              <w:t>Código</w:t>
            </w:r>
          </w:p>
        </w:tc>
        <w:tc>
          <w:tcPr>
            <w:tcW w:type="dxa" w:w="4762"/>
            <w:vAlign w:val="top"/>
            <w:tcMar>
              <w:top w:w="80" w:type="dxa"/>
              <w:start w:w="100" w:type="dxa"/>
              <w:bottom w:w="80" w:type="dxa"/>
              <w:end w:w="100" w:type="dxa"/>
            </w:tcMar>
          </w:tcPr>
          <w:p>
            <w:r>
              <w:rPr>
                <w:b w:val="0"/>
                <w:sz w:val="18"/>
              </w:rPr>
              <w:t>MET-001</w:t>
            </w:r>
          </w:p>
        </w:tc>
      </w:tr>
      <w:tr>
        <w:tc>
          <w:tcPr>
            <w:tcW w:type="dxa" w:w="4762"/>
            <w:vAlign w:val="top"/>
            <w:tcMar>
              <w:top w:w="80" w:type="dxa"/>
              <w:start w:w="100" w:type="dxa"/>
              <w:bottom w:w="80" w:type="dxa"/>
              <w:end w:w="100" w:type="dxa"/>
            </w:tcMar>
            <w:shd w:fill="F7F9FA"/>
          </w:tcPr>
          <w:p>
            <w:r>
              <w:rPr>
                <w:b w:val="0"/>
                <w:sz w:val="18"/>
              </w:rPr>
              <w:t>Nome</w:t>
            </w:r>
          </w:p>
        </w:tc>
        <w:tc>
          <w:tcPr>
            <w:tcW w:type="dxa" w:w="4762"/>
            <w:vAlign w:val="top"/>
            <w:tcMar>
              <w:top w:w="80" w:type="dxa"/>
              <w:start w:w="100" w:type="dxa"/>
              <w:bottom w:w="80" w:type="dxa"/>
              <w:end w:w="100" w:type="dxa"/>
            </w:tcMar>
            <w:shd w:fill="F7F9FA"/>
          </w:tcPr>
          <w:p>
            <w:r>
              <w:rPr>
                <w:b w:val="0"/>
                <w:sz w:val="18"/>
              </w:rPr>
              <w:t>Metodologia de Avaliação e Cálculo de Riscos de Soluções de Inteligência Artificial</w:t>
            </w:r>
          </w:p>
        </w:tc>
      </w:tr>
      <w:tr>
        <w:tc>
          <w:tcPr>
            <w:tcW w:type="dxa" w:w="4762"/>
            <w:vAlign w:val="top"/>
            <w:tcMar>
              <w:top w:w="80" w:type="dxa"/>
              <w:start w:w="100" w:type="dxa"/>
              <w:bottom w:w="80" w:type="dxa"/>
              <w:end w:w="100" w:type="dxa"/>
            </w:tcMar>
          </w:tcPr>
          <w:p>
            <w:r>
              <w:rPr>
                <w:b w:val="0"/>
                <w:sz w:val="18"/>
              </w:rPr>
              <w:t>Tipo documental</w:t>
            </w:r>
          </w:p>
        </w:tc>
        <w:tc>
          <w:tcPr>
            <w:tcW w:type="dxa" w:w="4762"/>
            <w:vAlign w:val="top"/>
            <w:tcMar>
              <w:top w:w="80" w:type="dxa"/>
              <w:start w:w="100" w:type="dxa"/>
              <w:bottom w:w="80" w:type="dxa"/>
              <w:end w:w="100" w:type="dxa"/>
            </w:tcMar>
          </w:tcPr>
          <w:p>
            <w:r>
              <w:rPr>
                <w:b w:val="0"/>
                <w:sz w:val="18"/>
              </w:rPr>
              <w:t>Metodologia</w:t>
            </w:r>
          </w:p>
        </w:tc>
      </w:tr>
      <w:tr>
        <w:tc>
          <w:tcPr>
            <w:tcW w:type="dxa" w:w="4762"/>
            <w:vAlign w:val="top"/>
            <w:tcMar>
              <w:top w:w="80" w:type="dxa"/>
              <w:start w:w="100" w:type="dxa"/>
              <w:bottom w:w="80" w:type="dxa"/>
              <w:end w:w="100" w:type="dxa"/>
            </w:tcMar>
            <w:shd w:fill="F7F9FA"/>
          </w:tcPr>
          <w:p>
            <w:r>
              <w:rPr>
                <w:b w:val="0"/>
                <w:sz w:val="18"/>
              </w:rPr>
              <w:t>Domínio sugerido</w:t>
            </w:r>
          </w:p>
        </w:tc>
        <w:tc>
          <w:tcPr>
            <w:tcW w:type="dxa" w:w="4762"/>
            <w:vAlign w:val="top"/>
            <w:tcMar>
              <w:top w:w="80" w:type="dxa"/>
              <w:start w:w="100" w:type="dxa"/>
              <w:bottom w:w="80" w:type="dxa"/>
              <w:end w:w="100" w:type="dxa"/>
            </w:tcMar>
            <w:shd w:fill="F7F9FA"/>
          </w:tcPr>
          <w:p>
            <w:r>
              <w:rPr>
                <w:b w:val="0"/>
                <w:sz w:val="18"/>
              </w:rPr>
              <w:t>Segurança de IA &gt; Metodologias</w:t>
            </w:r>
          </w:p>
        </w:tc>
      </w:tr>
      <w:tr>
        <w:tc>
          <w:tcPr>
            <w:tcW w:type="dxa" w:w="4762"/>
            <w:vAlign w:val="top"/>
            <w:tcMar>
              <w:top w:w="80" w:type="dxa"/>
              <w:start w:w="100" w:type="dxa"/>
              <w:bottom w:w="80" w:type="dxa"/>
              <w:end w:w="100" w:type="dxa"/>
            </w:tcMar>
          </w:tcPr>
          <w:p>
            <w:r>
              <w:rPr>
                <w:b w:val="0"/>
                <w:sz w:val="18"/>
              </w:rPr>
              <w:t>Classificação da informação</w:t>
            </w:r>
          </w:p>
        </w:tc>
        <w:tc>
          <w:tcPr>
            <w:tcW w:type="dxa" w:w="4762"/>
            <w:vAlign w:val="top"/>
            <w:tcMar>
              <w:top w:w="80" w:type="dxa"/>
              <w:start w:w="100" w:type="dxa"/>
              <w:bottom w:w="80" w:type="dxa"/>
              <w:end w:w="100" w:type="dxa"/>
            </w:tcMar>
          </w:tcPr>
          <w:p>
            <w:r>
              <w:rPr>
                <w:b w:val="0"/>
                <w:sz w:val="18"/>
              </w:rPr>
              <w:t>Uso Interno</w:t>
            </w:r>
          </w:p>
        </w:tc>
      </w:tr>
      <w:tr>
        <w:tc>
          <w:tcPr>
            <w:tcW w:type="dxa" w:w="4762"/>
            <w:vAlign w:val="top"/>
            <w:tcMar>
              <w:top w:w="80" w:type="dxa"/>
              <w:start w:w="100" w:type="dxa"/>
              <w:bottom w:w="80" w:type="dxa"/>
              <w:end w:w="100" w:type="dxa"/>
            </w:tcMar>
            <w:shd w:fill="F7F9FA"/>
          </w:tcPr>
          <w:p>
            <w:r>
              <w:rPr>
                <w:b w:val="0"/>
                <w:sz w:val="18"/>
              </w:rPr>
              <w:t>Prioridade</w:t>
            </w:r>
          </w:p>
        </w:tc>
        <w:tc>
          <w:tcPr>
            <w:tcW w:type="dxa" w:w="4762"/>
            <w:vAlign w:val="top"/>
            <w:tcMar>
              <w:top w:w="80" w:type="dxa"/>
              <w:start w:w="100" w:type="dxa"/>
              <w:bottom w:w="80" w:type="dxa"/>
              <w:end w:w="100" w:type="dxa"/>
            </w:tcMar>
            <w:shd w:fill="F7F9FA"/>
          </w:tcPr>
          <w:p>
            <w:r>
              <w:rPr>
                <w:b w:val="0"/>
                <w:sz w:val="18"/>
              </w:rPr>
              <w:t>P0</w:t>
            </w:r>
          </w:p>
        </w:tc>
      </w:tr>
      <w:tr>
        <w:tc>
          <w:tcPr>
            <w:tcW w:type="dxa" w:w="4762"/>
            <w:vAlign w:val="top"/>
            <w:tcMar>
              <w:top w:w="80" w:type="dxa"/>
              <w:start w:w="100" w:type="dxa"/>
              <w:bottom w:w="80" w:type="dxa"/>
              <w:end w:w="100" w:type="dxa"/>
            </w:tcMar>
          </w:tcPr>
          <w:p>
            <w:r>
              <w:rPr>
                <w:b w:val="0"/>
                <w:sz w:val="18"/>
              </w:rPr>
              <w:t>Status</w:t>
            </w:r>
          </w:p>
        </w:tc>
        <w:tc>
          <w:tcPr>
            <w:tcW w:type="dxa" w:w="4762"/>
            <w:vAlign w:val="top"/>
            <w:tcMar>
              <w:top w:w="80" w:type="dxa"/>
              <w:start w:w="100" w:type="dxa"/>
              <w:bottom w:w="80" w:type="dxa"/>
              <w:end w:w="100" w:type="dxa"/>
            </w:tcMar>
          </w:tcPr>
          <w:p>
            <w:r>
              <w:rPr>
                <w:b w:val="0"/>
                <w:sz w:val="18"/>
              </w:rPr>
              <w:t>Minuta para revisão</w:t>
            </w:r>
          </w:p>
        </w:tc>
      </w:tr>
      <w:tr>
        <w:tc>
          <w:tcPr>
            <w:tcW w:type="dxa" w:w="4762"/>
            <w:vAlign w:val="top"/>
            <w:tcMar>
              <w:top w:w="80" w:type="dxa"/>
              <w:start w:w="100" w:type="dxa"/>
              <w:bottom w:w="80" w:type="dxa"/>
              <w:end w:w="100" w:type="dxa"/>
            </w:tcMar>
            <w:shd w:fill="F7F9FA"/>
          </w:tcPr>
          <w:p>
            <w:r>
              <w:rPr>
                <w:b w:val="0"/>
                <w:sz w:val="18"/>
              </w:rPr>
              <w:t>Versão</w:t>
            </w:r>
          </w:p>
        </w:tc>
        <w:tc>
          <w:tcPr>
            <w:tcW w:type="dxa" w:w="4762"/>
            <w:vAlign w:val="top"/>
            <w:tcMar>
              <w:top w:w="80" w:type="dxa"/>
              <w:start w:w="100" w:type="dxa"/>
              <w:bottom w:w="80" w:type="dxa"/>
              <w:end w:w="100" w:type="dxa"/>
            </w:tcMar>
            <w:shd w:fill="F7F9FA"/>
          </w:tcPr>
          <w:p>
            <w:r>
              <w:rPr>
                <w:b w:val="0"/>
                <w:sz w:val="18"/>
              </w:rPr>
              <w:t>1.2</w:t>
            </w:r>
          </w:p>
        </w:tc>
      </w:tr>
      <w:tr>
        <w:tc>
          <w:tcPr>
            <w:tcW w:type="dxa" w:w="4762"/>
            <w:vAlign w:val="top"/>
            <w:tcMar>
              <w:top w:w="80" w:type="dxa"/>
              <w:start w:w="100" w:type="dxa"/>
              <w:bottom w:w="80" w:type="dxa"/>
              <w:end w:w="100" w:type="dxa"/>
            </w:tcMar>
          </w:tcPr>
          <w:p>
            <w:r>
              <w:rPr>
                <w:b w:val="0"/>
                <w:sz w:val="18"/>
              </w:rPr>
              <w:t>Data</w:t>
            </w:r>
          </w:p>
        </w:tc>
        <w:tc>
          <w:tcPr>
            <w:tcW w:type="dxa" w:w="4762"/>
            <w:vAlign w:val="top"/>
            <w:tcMar>
              <w:top w:w="80" w:type="dxa"/>
              <w:start w:w="100" w:type="dxa"/>
              <w:bottom w:w="80" w:type="dxa"/>
              <w:end w:w="100" w:type="dxa"/>
            </w:tcMar>
          </w:tcPr>
          <w:p>
            <w:r>
              <w:rPr>
                <w:b w:val="0"/>
                <w:sz w:val="18"/>
              </w:rPr>
              <w:t>15/07/2026</w:t>
            </w:r>
          </w:p>
        </w:tc>
      </w:tr>
      <w:tr>
        <w:tc>
          <w:tcPr>
            <w:tcW w:type="dxa" w:w="4762"/>
            <w:vAlign w:val="top"/>
            <w:tcMar>
              <w:top w:w="80" w:type="dxa"/>
              <w:start w:w="100" w:type="dxa"/>
              <w:bottom w:w="80" w:type="dxa"/>
              <w:end w:w="100" w:type="dxa"/>
            </w:tcMar>
            <w:shd w:fill="F7F9FA"/>
          </w:tcPr>
          <w:p>
            <w:r>
              <w:rPr>
                <w:b w:val="0"/>
                <w:sz w:val="18"/>
              </w:rPr>
              <w:t>Vigência</w:t>
            </w:r>
          </w:p>
        </w:tc>
        <w:tc>
          <w:tcPr>
            <w:tcW w:type="dxa" w:w="4762"/>
            <w:vAlign w:val="top"/>
            <w:tcMar>
              <w:top w:w="80" w:type="dxa"/>
              <w:start w:w="100" w:type="dxa"/>
              <w:bottom w:w="80" w:type="dxa"/>
              <w:end w:w="100" w:type="dxa"/>
            </w:tcMar>
            <w:shd w:fill="F7F9FA"/>
          </w:tcPr>
          <w:p>
            <w:r>
              <w:rPr>
                <w:b w:val="0"/>
                <w:sz w:val="18"/>
              </w:rPr>
              <w:t>Após aprovação formal</w:t>
            </w:r>
          </w:p>
        </w:tc>
      </w:tr>
      <w:tr>
        <w:tc>
          <w:tcPr>
            <w:tcW w:type="dxa" w:w="4762"/>
            <w:vAlign w:val="top"/>
            <w:tcMar>
              <w:top w:w="80" w:type="dxa"/>
              <w:start w:w="100" w:type="dxa"/>
              <w:bottom w:w="80" w:type="dxa"/>
              <w:end w:w="100" w:type="dxa"/>
            </w:tcMar>
          </w:tcPr>
          <w:p>
            <w:r>
              <w:rPr>
                <w:b w:val="0"/>
                <w:sz w:val="18"/>
              </w:rPr>
              <w:t>Periodicidade mínima de revisão</w:t>
            </w:r>
          </w:p>
        </w:tc>
        <w:tc>
          <w:tcPr>
            <w:tcW w:type="dxa" w:w="4762"/>
            <w:vAlign w:val="top"/>
            <w:tcMar>
              <w:top w:w="80" w:type="dxa"/>
              <w:start w:w="100" w:type="dxa"/>
              <w:bottom w:w="80" w:type="dxa"/>
              <w:end w:w="100" w:type="dxa"/>
            </w:tcMar>
          </w:tcPr>
          <w:p>
            <w:r>
              <w:rPr>
                <w:b w:val="0"/>
                <w:sz w:val="18"/>
              </w:rPr>
              <w:t>Semestral, ou extraordinária em caso de mudança regulatória, alteração do apetite de risco, incidente relevante, nova classe de ameaça, mudança material nos baselines ou alteração do método de cálculo</w:t>
            </w:r>
          </w:p>
        </w:tc>
      </w:tr>
      <w:tr>
        <w:tc>
          <w:tcPr>
            <w:tcW w:type="dxa" w:w="4762"/>
            <w:vAlign w:val="top"/>
            <w:tcMar>
              <w:top w:w="80" w:type="dxa"/>
              <w:start w:w="100" w:type="dxa"/>
              <w:bottom w:w="80" w:type="dxa"/>
              <w:end w:w="100" w:type="dxa"/>
            </w:tcMar>
            <w:shd w:fill="F7F9FA"/>
          </w:tcPr>
          <w:p>
            <w:r>
              <w:rPr>
                <w:b w:val="0"/>
                <w:sz w:val="18"/>
              </w:rPr>
              <w:t>Owner institucional</w:t>
            </w:r>
          </w:p>
        </w:tc>
        <w:tc>
          <w:tcPr>
            <w:tcW w:type="dxa" w:w="4762"/>
            <w:vAlign w:val="top"/>
            <w:tcMar>
              <w:top w:w="80" w:type="dxa"/>
              <w:start w:w="100" w:type="dxa"/>
              <w:bottom w:w="80" w:type="dxa"/>
              <w:end w:w="100" w:type="dxa"/>
            </w:tcMar>
            <w:shd w:fill="F7F9FA"/>
          </w:tcPr>
          <w:p>
            <w:r>
              <w:rPr>
                <w:b w:val="0"/>
                <w:sz w:val="18"/>
              </w:rPr>
              <w:t>GRC / Riscos Operacionais / Segurança da Informação</w:t>
            </w:r>
          </w:p>
        </w:tc>
      </w:tr>
      <w:tr>
        <w:tc>
          <w:tcPr>
            <w:tcW w:type="dxa" w:w="4762"/>
            <w:vAlign w:val="top"/>
            <w:tcMar>
              <w:top w:w="80" w:type="dxa"/>
              <w:start w:w="100" w:type="dxa"/>
              <w:bottom w:w="80" w:type="dxa"/>
              <w:end w:w="100" w:type="dxa"/>
            </w:tcMar>
          </w:tcPr>
          <w:p>
            <w:r>
              <w:rPr>
                <w:b w:val="0"/>
                <w:sz w:val="18"/>
              </w:rPr>
              <w:t>Custodiante técnico</w:t>
            </w:r>
          </w:p>
        </w:tc>
        <w:tc>
          <w:tcPr>
            <w:tcW w:type="dxa" w:w="4762"/>
            <w:vAlign w:val="top"/>
            <w:tcMar>
              <w:top w:w="80" w:type="dxa"/>
              <w:start w:w="100" w:type="dxa"/>
              <w:bottom w:w="80" w:type="dxa"/>
              <w:end w:w="100" w:type="dxa"/>
            </w:tcMar>
          </w:tcPr>
          <w:p>
            <w:r>
              <w:rPr>
                <w:b w:val="0"/>
                <w:sz w:val="18"/>
              </w:rPr>
              <w:t>Segurança de IA / Arquitetura de Segurança da Informação</w:t>
            </w:r>
          </w:p>
        </w:tc>
      </w:tr>
      <w:tr>
        <w:tc>
          <w:tcPr>
            <w:tcW w:type="dxa" w:w="4762"/>
            <w:vAlign w:val="top"/>
            <w:tcMar>
              <w:top w:w="80" w:type="dxa"/>
              <w:start w:w="100" w:type="dxa"/>
              <w:bottom w:w="80" w:type="dxa"/>
              <w:end w:w="100" w:type="dxa"/>
            </w:tcMar>
            <w:shd w:fill="F7F9FA"/>
          </w:tcPr>
          <w:p>
            <w:r>
              <w:rPr>
                <w:b w:val="0"/>
                <w:sz w:val="18"/>
              </w:rPr>
              <w:t>Corresponsáveis</w:t>
            </w:r>
          </w:p>
        </w:tc>
        <w:tc>
          <w:tcPr>
            <w:tcW w:type="dxa" w:w="4762"/>
            <w:vAlign w:val="top"/>
            <w:tcMar>
              <w:top w:w="80" w:type="dxa"/>
              <w:start w:w="100" w:type="dxa"/>
              <w:bottom w:w="80" w:type="dxa"/>
              <w:end w:w="100" w:type="dxa"/>
            </w:tcMar>
            <w:shd w:fill="F7F9FA"/>
          </w:tcPr>
          <w:p>
            <w:r>
              <w:rPr>
                <w:b w:val="0"/>
                <w:sz w:val="18"/>
              </w:rPr>
              <w:t>Arquitetura Corporativa; Jurídico Regulatório; DPO/Privacidade; IAM/PAM; Cloud Security; AppSec; Dados; SOC/Blue Team; Red Team; Continuidade; Gestão de Terceiros; Compras; Owners de Plataforma de IA; Owners de Negócio e Tecnologia</w:t>
            </w:r>
          </w:p>
        </w:tc>
      </w:tr>
      <w:tr>
        <w:tc>
          <w:tcPr>
            <w:tcW w:type="dxa" w:w="4762"/>
            <w:vAlign w:val="top"/>
            <w:tcMar>
              <w:top w:w="80" w:type="dxa"/>
              <w:start w:w="100" w:type="dxa"/>
              <w:bottom w:w="80" w:type="dxa"/>
              <w:end w:w="100" w:type="dxa"/>
            </w:tcMar>
          </w:tcPr>
          <w:p>
            <w:r>
              <w:rPr>
                <w:b w:val="0"/>
                <w:sz w:val="18"/>
              </w:rPr>
              <w:t>Público-alvo</w:t>
            </w:r>
          </w:p>
        </w:tc>
        <w:tc>
          <w:tcPr>
            <w:tcW w:type="dxa" w:w="4762"/>
            <w:vAlign w:val="top"/>
            <w:tcMar>
              <w:top w:w="80" w:type="dxa"/>
              <w:start w:w="100" w:type="dxa"/>
              <w:bottom w:w="80" w:type="dxa"/>
              <w:end w:w="100" w:type="dxa"/>
            </w:tcMar>
          </w:tcPr>
          <w:p>
            <w:r>
              <w:rPr>
                <w:b w:val="0"/>
                <w:sz w:val="18"/>
              </w:rPr>
              <w:t>Áreas demandantes, product owners, squads, arquitetos, segurança, GRC, jurídico, privacidade, dados, cloud, IAM, AppSec, SOC, compras, fornecedores, auditoria e terceiros envolvidos na avaliação de soluções de IA</w:t>
            </w:r>
          </w:p>
        </w:tc>
      </w:tr>
      <w:tr>
        <w:tc>
          <w:tcPr>
            <w:tcW w:type="dxa" w:w="4762"/>
            <w:vAlign w:val="top"/>
            <w:tcMar>
              <w:top w:w="80" w:type="dxa"/>
              <w:start w:w="100" w:type="dxa"/>
              <w:bottom w:w="80" w:type="dxa"/>
              <w:end w:w="100" w:type="dxa"/>
            </w:tcMar>
            <w:shd w:fill="F7F9FA"/>
          </w:tcPr>
          <w:p>
            <w:r>
              <w:rPr>
                <w:b w:val="0"/>
                <w:sz w:val="18"/>
              </w:rPr>
              <w:t>Documento superior relacionado</w:t>
            </w:r>
          </w:p>
        </w:tc>
        <w:tc>
          <w:tcPr>
            <w:tcW w:type="dxa" w:w="4762"/>
            <w:vAlign w:val="top"/>
            <w:tcMar>
              <w:top w:w="80" w:type="dxa"/>
              <w:start w:w="100" w:type="dxa"/>
              <w:bottom w:w="80" w:type="dxa"/>
              <w:end w:w="100" w:type="dxa"/>
            </w:tcMar>
            <w:shd w:fill="F7F9FA"/>
          </w:tcPr>
          <w:p>
            <w:r>
              <w:rPr>
                <w:b w:val="0"/>
                <w:sz w:val="18"/>
              </w:rPr>
              <w:t>POL-001 — Política Corporativa de Segurança para Inteligência Artificial e Tecnologias Associadas</w:t>
            </w:r>
          </w:p>
        </w:tc>
      </w:tr>
      <w:tr>
        <w:tc>
          <w:tcPr>
            <w:tcW w:type="dxa" w:w="4762"/>
            <w:vAlign w:val="top"/>
            <w:tcMar>
              <w:top w:w="80" w:type="dxa"/>
              <w:start w:w="100" w:type="dxa"/>
              <w:bottom w:w="80" w:type="dxa"/>
              <w:end w:w="100" w:type="dxa"/>
            </w:tcMar>
          </w:tcPr>
          <w:p>
            <w:r>
              <w:rPr>
                <w:b w:val="0"/>
                <w:sz w:val="18"/>
              </w:rPr>
              <w:t>Documentos correlatos</w:t>
            </w:r>
          </w:p>
        </w:tc>
        <w:tc>
          <w:tcPr>
            <w:tcW w:type="dxa" w:w="4762"/>
            <w:vAlign w:val="top"/>
            <w:tcMar>
              <w:top w:w="80" w:type="dxa"/>
              <w:start w:w="100" w:type="dxa"/>
              <w:bottom w:w="80" w:type="dxa"/>
              <w:end w:w="100" w:type="dxa"/>
            </w:tcMar>
          </w:tcPr>
          <w:p>
            <w:r>
              <w:rPr>
                <w:b w:val="0"/>
                <w:sz w:val="18"/>
              </w:rPr>
              <w:t>FRM-001; MTR-001; BAS-001 a BAS-006; PRC-001; PRC-003; PRC-004; PRC-005; PRC-008</w:t>
            </w:r>
          </w:p>
        </w:tc>
      </w:tr>
      <w:tr>
        <w:tc>
          <w:tcPr>
            <w:tcW w:type="dxa" w:w="4762"/>
            <w:vAlign w:val="top"/>
            <w:tcMar>
              <w:top w:w="80" w:type="dxa"/>
              <w:start w:w="100" w:type="dxa"/>
              <w:bottom w:w="80" w:type="dxa"/>
              <w:end w:w="100" w:type="dxa"/>
            </w:tcMar>
            <w:shd w:fill="F7F9FA"/>
          </w:tcPr>
          <w:p>
            <w:r>
              <w:rPr>
                <w:b w:val="0"/>
                <w:sz w:val="18"/>
              </w:rPr>
              <w:t>Fonte primária para</w:t>
            </w:r>
          </w:p>
        </w:tc>
        <w:tc>
          <w:tcPr>
            <w:tcW w:type="dxa" w:w="4762"/>
            <w:vAlign w:val="top"/>
            <w:tcMar>
              <w:top w:w="80" w:type="dxa"/>
              <w:start w:w="100" w:type="dxa"/>
              <w:bottom w:w="80" w:type="dxa"/>
              <w:end w:w="100" w:type="dxa"/>
            </w:tcMar>
            <w:shd w:fill="F7F9FA"/>
          </w:tcPr>
          <w:p>
            <w:r>
              <w:rPr>
                <w:b w:val="0"/>
                <w:sz w:val="18"/>
              </w:rPr>
              <w:t>Classificação do rigor de homologação, cálculo do risco inerente, seleção de controles, projeção do risco residual e geração do Parecer de Segurança para soluções internas ou de terceiros</w:t>
            </w:r>
          </w:p>
        </w:tc>
      </w:tr>
    </w:tbl>
    <w:p>
      <w:pPr>
        <w:spacing w:after="20"/>
      </w:pPr>
    </w:p>
    <w:p>
      <w:pPr>
        <w:pStyle w:val="Heading1"/>
        <w:keepNext/>
      </w:pPr>
      <w:r>
        <w:t>Sumário</w:t>
      </w:r>
    </w:p>
    <w:p>
      <w:r>
        <w:fldChar w:fldCharType="begin"/>
        <w:instrText xml:space="preserve">TOC \o "1-3" \h \z \u</w:instrText>
        <w:fldChar w:fldCharType="separate"/>
        <w:t>O sumário será atualizado ao abrir no Microsoft Word.</w:t>
        <w:fldChar w:fldCharType="end"/>
      </w:r>
    </w:p>
    <w:p>
      <w:r>
        <w:br w:type="page"/>
      </w:r>
    </w:p>
    <w:p>
      <w:pPr>
        <w:pStyle w:val="Heading1"/>
      </w:pPr>
      <w:r>
        <w:rPr>
          <w:b w:val="0"/>
        </w:rPr>
        <w:t>1. Finalidade</w:t>
      </w:r>
    </w:p>
    <w:p>
      <w:r>
        <w:rPr>
          <w:b w:val="0"/>
        </w:rPr>
        <w:t>Esta metodologia estabelece um método corporativo simples, reproduzível e auditável para avaliar riscos associados ao uso de Inteligência Artificial, independentemente de a solução ter sido desenvolvida internamente, contratada, incorporada a um produto de terceiro ou utilizada pelo fornecedor na prestação de um serviço.</w:t>
      </w:r>
    </w:p>
    <w:p>
      <w:r>
        <w:rPr>
          <w:b w:val="0"/>
        </w:rPr>
        <w:t>A avaliação deve considerar conjuntamente:</w:t>
      </w:r>
    </w:p>
    <w:p>
      <w:pPr>
        <w:pStyle w:val="ListBullet"/>
      </w:pPr>
      <w:r>
        <w:rPr>
          <w:b w:val="0"/>
        </w:rPr>
        <w:t>o cenário de uso;</w:t>
      </w:r>
    </w:p>
    <w:p>
      <w:pPr>
        <w:pStyle w:val="ListBullet"/>
      </w:pPr>
      <w:r>
        <w:rPr>
          <w:b w:val="0"/>
        </w:rPr>
        <w:t>a solução tecnológica;</w:t>
      </w:r>
    </w:p>
    <w:p>
      <w:pPr>
        <w:pStyle w:val="ListBullet"/>
      </w:pPr>
      <w:r>
        <w:rPr>
          <w:b w:val="0"/>
        </w:rPr>
        <w:t>o modelo de fornecimento e hospedagem;</w:t>
      </w:r>
    </w:p>
    <w:p>
      <w:pPr>
        <w:pStyle w:val="ListBullet"/>
      </w:pPr>
      <w:r>
        <w:rPr>
          <w:b w:val="0"/>
        </w:rPr>
        <w:t>os dados processados;</w:t>
      </w:r>
    </w:p>
    <w:p>
      <w:pPr>
        <w:pStyle w:val="ListBullet"/>
      </w:pPr>
      <w:r>
        <w:rPr>
          <w:b w:val="0"/>
        </w:rPr>
        <w:t>as capacidades habilitadas;</w:t>
      </w:r>
    </w:p>
    <w:p>
      <w:pPr>
        <w:pStyle w:val="ListBullet"/>
      </w:pPr>
      <w:r>
        <w:rPr>
          <w:b w:val="0"/>
        </w:rPr>
        <w:t>as integrações e ações executáveis;</w:t>
      </w:r>
    </w:p>
    <w:p>
      <w:pPr>
        <w:pStyle w:val="ListBullet"/>
      </w:pPr>
      <w:r>
        <w:rPr>
          <w:b w:val="0"/>
        </w:rPr>
        <w:t>as responsabilidades da organização e do fornecedor;</w:t>
      </w:r>
    </w:p>
    <w:p>
      <w:pPr>
        <w:pStyle w:val="ListBullet"/>
      </w:pPr>
      <w:r>
        <w:rPr>
          <w:b w:val="0"/>
        </w:rPr>
        <w:t>os controles técnicos selecionados para o cenário.</w:t>
      </w:r>
    </w:p>
    <w:p>
      <w:r>
        <w:rPr>
          <w:b w:val="0"/>
        </w:rPr>
        <w:t>A unidade de avaliação é:</w:t>
      </w:r>
    </w:p>
    <w:tbl>
      <w:tblPr>
        <w:tblW w:type="auto" w:w="0"/>
        <w:jc w:val="left"/>
        <w:tblLook w:firstColumn="1" w:firstRow="1" w:lastColumn="0" w:lastRow="0" w:noHBand="0" w:noVBand="1" w:val="04A0"/>
      </w:tblPr>
      <w:tblGrid>
        <w:gridCol w:w="9524"/>
      </w:tblGrid>
      <w:tr>
        <w:tc>
          <w:tcPr>
            <w:tcW w:type="dxa" w:w="9524"/>
            <w:shd w:fill="EEF3F6"/>
            <w:tcMar>
              <w:top w:w="120" w:type="dxa"/>
              <w:start w:w="140" w:type="dxa"/>
              <w:bottom w:w="120" w:type="dxa"/>
              <w:end w:w="140" w:type="dxa"/>
            </w:tcMar>
          </w:tcPr>
          <w:p>
            <w:r>
              <w:rPr>
                <w:rFonts w:ascii="Consolas" w:hAnsi="Consolas"/>
                <w:color w:val="182939"/>
                <w:sz w:val="17"/>
              </w:rPr>
              <w:t>Cenário de uso + solução tecnológica + modelo de fornecimento + dados + capacidades</w:t>
            </w:r>
          </w:p>
        </w:tc>
      </w:tr>
    </w:tbl>
    <w:p>
      <w:r>
        <w:rPr>
          <w:b w:val="0"/>
        </w:rPr>
        <w:t>O mesmo produto pode receber classificações diferentes quando utilizado em contextos diferentes. Um SaaS empregado para resumir conteúdo público não deve ser avaliado da mesma forma quando processa dados bancários, apoia decisões sobre clientes ou executa ações em sistemas corporativos.</w:t>
      </w:r>
    </w:p>
    <w:p>
      <w:r>
        <w:rPr>
          <w:b w:val="0"/>
        </w:rPr>
        <w:t>O resultado desta metodologia é prospectivo: o risco residual representa a exposição esperada caso todos os controles aplicáveis selecionados sejam implementados integralmente antes da homologação ou entrada em produção.</w:t>
      </w:r>
    </w:p>
    <w:p>
      <w:pPr>
        <w:pStyle w:val="Heading1"/>
        <w:pageBreakBefore/>
      </w:pPr>
      <w:r>
        <w:rPr>
          <w:b w:val="0"/>
        </w:rPr>
        <w:t>2. Posicionamento documental</w:t>
      </w:r>
    </w:p>
    <w:p>
      <w:r>
        <w:rPr>
          <w:b w:val="0"/>
        </w:rPr>
        <w:t xml:space="preserve">A Metodologia de Avaliação e Cálculo de Riscos de Soluções de Inteligência Artificial define </w:t>
      </w:r>
      <w:r>
        <w:rPr>
          <w:b/>
        </w:rPr>
        <w:t>como a classificação e os riscos são calculados</w:t>
      </w:r>
      <w:r>
        <w:rPr>
          <w:b w:val="0"/>
        </w:rPr>
        <w:t>. Ela não substitui processos corporativos de homologação, contratação, aceite, exceção, monitoramento ou resposta a incidentes.</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4762"/>
            <w:vAlign w:val="top"/>
            <w:tcMar>
              <w:top w:w="80" w:type="dxa"/>
              <w:start w:w="100" w:type="dxa"/>
              <w:bottom w:w="80" w:type="dxa"/>
              <w:end w:w="100" w:type="dxa"/>
            </w:tcMar>
            <w:shd w:fill="28465C"/>
          </w:tcPr>
          <w:p>
            <w:r>
              <w:rPr>
                <w:b/>
                <w:color w:val="FFFFFF"/>
                <w:sz w:val="18"/>
              </w:rPr>
              <w:t>Documento</w:t>
            </w:r>
          </w:p>
        </w:tc>
        <w:tc>
          <w:tcPr>
            <w:tcW w:type="dxa" w:w="4762"/>
            <w:vAlign w:val="top"/>
            <w:tcMar>
              <w:top w:w="80" w:type="dxa"/>
              <w:start w:w="100" w:type="dxa"/>
              <w:bottom w:w="80" w:type="dxa"/>
              <w:end w:w="100" w:type="dxa"/>
            </w:tcMar>
            <w:shd w:fill="28465C"/>
          </w:tcPr>
          <w:p>
            <w:r>
              <w:rPr>
                <w:b/>
                <w:color w:val="FFFFFF"/>
                <w:sz w:val="18"/>
              </w:rPr>
              <w:t>Responsabilidade principal</w:t>
            </w:r>
          </w:p>
        </w:tc>
      </w:tr>
      <w:tr>
        <w:tc>
          <w:tcPr>
            <w:tcW w:type="dxa" w:w="4762"/>
            <w:vAlign w:val="top"/>
            <w:tcMar>
              <w:top w:w="80" w:type="dxa"/>
              <w:start w:w="100" w:type="dxa"/>
              <w:bottom w:w="80" w:type="dxa"/>
              <w:end w:w="100" w:type="dxa"/>
            </w:tcMar>
          </w:tcPr>
          <w:p>
            <w:r>
              <w:rPr>
                <w:b w:val="0"/>
                <w:sz w:val="18"/>
              </w:rPr>
              <w:t>FRM-001 — Formulário de Avaliação de Risco e Aplicabilidade de Controles de Inteligência Artificial</w:t>
            </w:r>
          </w:p>
        </w:tc>
        <w:tc>
          <w:tcPr>
            <w:tcW w:type="dxa" w:w="4762"/>
            <w:vAlign w:val="top"/>
            <w:tcMar>
              <w:top w:w="80" w:type="dxa"/>
              <w:start w:w="100" w:type="dxa"/>
              <w:bottom w:w="80" w:type="dxa"/>
              <w:end w:w="100" w:type="dxa"/>
            </w:tcMar>
          </w:tcPr>
          <w:p>
            <w:r>
              <w:rPr>
                <w:b w:val="0"/>
                <w:sz w:val="18"/>
              </w:rPr>
              <w:t>Documento autossuficiente para coleta das informações, caracterização do cenário, classificação, cálculo e geração do Parecer de Segurança.</w:t>
            </w:r>
          </w:p>
        </w:tc>
      </w:tr>
      <w:tr>
        <w:tc>
          <w:tcPr>
            <w:tcW w:type="dxa" w:w="4762"/>
            <w:vAlign w:val="top"/>
            <w:tcMar>
              <w:top w:w="80" w:type="dxa"/>
              <w:start w:w="100" w:type="dxa"/>
              <w:bottom w:w="80" w:type="dxa"/>
              <w:end w:w="100" w:type="dxa"/>
            </w:tcMar>
            <w:shd w:fill="F7F9FA"/>
          </w:tcPr>
          <w:p>
            <w:r>
              <w:rPr>
                <w:b w:val="0"/>
                <w:sz w:val="18"/>
              </w:rPr>
              <w:t>MTR-001 — Matriz de Aplicabilidade de Baselines e Controles Técnicos de Inteligência Artificial</w:t>
            </w:r>
          </w:p>
        </w:tc>
        <w:tc>
          <w:tcPr>
            <w:tcW w:type="dxa" w:w="4762"/>
            <w:vAlign w:val="top"/>
            <w:tcMar>
              <w:top w:w="80" w:type="dxa"/>
              <w:start w:w="100" w:type="dxa"/>
              <w:bottom w:w="80" w:type="dxa"/>
              <w:end w:w="100" w:type="dxa"/>
            </w:tcMar>
            <w:shd w:fill="F7F9FA"/>
          </w:tcPr>
          <w:p>
            <w:r>
              <w:rPr>
                <w:b w:val="0"/>
                <w:sz w:val="18"/>
              </w:rPr>
              <w:t>Converte as respostas do FRM-001 em baselines, perfis e controles técnicos aplicáveis.</w:t>
            </w:r>
          </w:p>
        </w:tc>
      </w:tr>
      <w:tr>
        <w:tc>
          <w:tcPr>
            <w:tcW w:type="dxa" w:w="4762"/>
            <w:vAlign w:val="top"/>
            <w:tcMar>
              <w:top w:w="80" w:type="dxa"/>
              <w:start w:w="100" w:type="dxa"/>
              <w:bottom w:w="80" w:type="dxa"/>
              <w:end w:w="100" w:type="dxa"/>
            </w:tcMar>
          </w:tcPr>
          <w:p>
            <w:r>
              <w:rPr>
                <w:b w:val="0"/>
                <w:sz w:val="18"/>
              </w:rPr>
              <w:t>BAS-001 a BAS-006</w:t>
            </w:r>
          </w:p>
        </w:tc>
        <w:tc>
          <w:tcPr>
            <w:tcW w:type="dxa" w:w="4762"/>
            <w:vAlign w:val="top"/>
            <w:tcMar>
              <w:top w:w="80" w:type="dxa"/>
              <w:start w:w="100" w:type="dxa"/>
              <w:bottom w:w="80" w:type="dxa"/>
              <w:end w:w="100" w:type="dxa"/>
            </w:tcMar>
          </w:tcPr>
          <w:p>
            <w:r>
              <w:rPr>
                <w:b w:val="0"/>
                <w:sz w:val="18"/>
              </w:rPr>
              <w:t>Definem o conteúdo completo, a criticidade, a aplicabilidade e os critérios técnicos dos controles.</w:t>
            </w:r>
          </w:p>
        </w:tc>
      </w:tr>
      <w:tr>
        <w:tc>
          <w:tcPr>
            <w:tcW w:type="dxa" w:w="4762"/>
            <w:vAlign w:val="top"/>
            <w:tcMar>
              <w:top w:w="80" w:type="dxa"/>
              <w:start w:w="100" w:type="dxa"/>
              <w:bottom w:w="80" w:type="dxa"/>
              <w:end w:w="100" w:type="dxa"/>
            </w:tcMar>
            <w:shd w:fill="F7F9FA"/>
          </w:tcPr>
          <w:p>
            <w:r>
              <w:rPr>
                <w:b w:val="0"/>
                <w:sz w:val="18"/>
              </w:rPr>
              <w:t>MET-001</w:t>
            </w:r>
          </w:p>
        </w:tc>
        <w:tc>
          <w:tcPr>
            <w:tcW w:type="dxa" w:w="4762"/>
            <w:vAlign w:val="top"/>
            <w:tcMar>
              <w:top w:w="80" w:type="dxa"/>
              <w:start w:w="100" w:type="dxa"/>
              <w:bottom w:w="80" w:type="dxa"/>
              <w:end w:w="100" w:type="dxa"/>
            </w:tcMar>
            <w:shd w:fill="F7F9FA"/>
          </w:tcPr>
          <w:p>
            <w:r>
              <w:rPr>
                <w:b w:val="0"/>
                <w:sz w:val="18"/>
              </w:rPr>
              <w:t>Define H1-H4, impacto, probabilidade, pisos, risco inerente e risco residual projetado.</w:t>
            </w:r>
          </w:p>
        </w:tc>
      </w:tr>
      <w:tr>
        <w:tc>
          <w:tcPr>
            <w:tcW w:type="dxa" w:w="4762"/>
            <w:vAlign w:val="top"/>
            <w:tcMar>
              <w:top w:w="80" w:type="dxa"/>
              <w:start w:w="100" w:type="dxa"/>
              <w:bottom w:w="80" w:type="dxa"/>
              <w:end w:w="100" w:type="dxa"/>
            </w:tcMar>
          </w:tcPr>
          <w:p>
            <w:r>
              <w:rPr>
                <w:b w:val="0"/>
                <w:sz w:val="18"/>
              </w:rPr>
              <w:t>Processo de Gestão de Exceções de Segurança de Inteligência Artificial</w:t>
            </w:r>
          </w:p>
        </w:tc>
        <w:tc>
          <w:tcPr>
            <w:tcW w:type="dxa" w:w="4762"/>
            <w:vAlign w:val="top"/>
            <w:tcMar>
              <w:top w:w="80" w:type="dxa"/>
              <w:start w:w="100" w:type="dxa"/>
              <w:bottom w:w="80" w:type="dxa"/>
              <w:end w:w="100" w:type="dxa"/>
            </w:tcMar>
          </w:tcPr>
          <w:p>
            <w:r>
              <w:rPr>
                <w:b w:val="0"/>
                <w:sz w:val="18"/>
              </w:rPr>
              <w:t>Trata controles aplicáveis que não possam ser implementados.</w:t>
            </w:r>
          </w:p>
        </w:tc>
      </w:tr>
    </w:tbl>
    <w:p>
      <w:pPr>
        <w:spacing w:after="20"/>
      </w:pPr>
    </w:p>
    <w:p>
      <w:r>
        <w:rPr>
          <w:b w:val="0"/>
        </w:rPr>
        <w:t>O FRM-001 é o único formulário necessário para a avaliação prevista nesta metodologia. Não há dependência de formulários auxiliares para intake, cálculo, seleção ou registro dos controles.</w:t>
      </w:r>
    </w:p>
    <w:p>
      <w:r>
        <w:rPr>
          <w:b w:val="0"/>
        </w:rPr>
        <w:t xml:space="preserve">A classificação </w:t>
      </w:r>
      <w:r>
        <w:rPr>
          <w:b/>
        </w:rPr>
        <w:t>H1-H4</w:t>
      </w:r>
      <w:r>
        <w:rPr>
          <w:b w:val="0"/>
        </w:rPr>
        <w:t xml:space="preserve"> determina o rigor da homologação. Ela não substitui o risco inerente ou residual, expresso como </w:t>
      </w:r>
      <w:r>
        <w:rPr>
          <w:b/>
        </w:rPr>
        <w:t>Baixo, Moderado, Alto ou Crítico</w:t>
      </w:r>
      <w:r>
        <w:rPr>
          <w:b w:val="0"/>
        </w:rPr>
        <w:t>.</w:t>
      </w:r>
    </w:p>
    <w:p>
      <w:pPr>
        <w:pStyle w:val="Heading1"/>
        <w:pageBreakBefore/>
      </w:pPr>
      <w:r>
        <w:rPr>
          <w:b w:val="0"/>
        </w:rPr>
        <w:t>3. Escopo e cenários abrangidos</w:t>
      </w:r>
    </w:p>
    <w:p>
      <w:r>
        <w:rPr>
          <w:b w:val="0"/>
        </w:rPr>
        <w:t>A metodologia deve ser aplicável, entre outros, aos seguintes cenários:</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4762"/>
            <w:vAlign w:val="top"/>
            <w:tcMar>
              <w:top w:w="80" w:type="dxa"/>
              <w:start w:w="100" w:type="dxa"/>
              <w:bottom w:w="80" w:type="dxa"/>
              <w:end w:w="100" w:type="dxa"/>
            </w:tcMar>
            <w:shd w:fill="28465C"/>
          </w:tcPr>
          <w:p>
            <w:r>
              <w:rPr>
                <w:b/>
                <w:color w:val="FFFFFF"/>
                <w:sz w:val="18"/>
              </w:rPr>
              <w:t>Cenário</w:t>
            </w:r>
          </w:p>
        </w:tc>
        <w:tc>
          <w:tcPr>
            <w:tcW w:type="dxa" w:w="4762"/>
            <w:vAlign w:val="top"/>
            <w:tcMar>
              <w:top w:w="80" w:type="dxa"/>
              <w:start w:w="100" w:type="dxa"/>
              <w:bottom w:w="80" w:type="dxa"/>
              <w:end w:w="100" w:type="dxa"/>
            </w:tcMar>
            <w:shd w:fill="28465C"/>
          </w:tcPr>
          <w:p>
            <w:r>
              <w:rPr>
                <w:b/>
                <w:color w:val="FFFFFF"/>
                <w:sz w:val="18"/>
              </w:rPr>
              <w:t>Exemplos</w:t>
            </w:r>
          </w:p>
        </w:tc>
      </w:tr>
      <w:tr>
        <w:tc>
          <w:tcPr>
            <w:tcW w:type="dxa" w:w="4762"/>
            <w:vAlign w:val="top"/>
            <w:tcMar>
              <w:top w:w="80" w:type="dxa"/>
              <w:start w:w="100" w:type="dxa"/>
              <w:bottom w:w="80" w:type="dxa"/>
              <w:end w:w="100" w:type="dxa"/>
            </w:tcMar>
          </w:tcPr>
          <w:p>
            <w:r>
              <w:rPr>
                <w:b w:val="0"/>
                <w:sz w:val="18"/>
              </w:rPr>
              <w:t>Consumo interno de IA corporativa</w:t>
            </w:r>
          </w:p>
        </w:tc>
        <w:tc>
          <w:tcPr>
            <w:tcW w:type="dxa" w:w="4762"/>
            <w:vAlign w:val="top"/>
            <w:tcMar>
              <w:top w:w="80" w:type="dxa"/>
              <w:start w:w="100" w:type="dxa"/>
              <w:bottom w:w="80" w:type="dxa"/>
              <w:end w:w="100" w:type="dxa"/>
            </w:tcMar>
          </w:tcPr>
          <w:p>
            <w:r>
              <w:rPr>
                <w:b w:val="0"/>
                <w:sz w:val="18"/>
              </w:rPr>
              <w:t>Gateway corporativo, modelos homologados e serviços gerenciados internos.</w:t>
            </w:r>
          </w:p>
        </w:tc>
      </w:tr>
      <w:tr>
        <w:tc>
          <w:tcPr>
            <w:tcW w:type="dxa" w:w="4762"/>
            <w:vAlign w:val="top"/>
            <w:tcMar>
              <w:top w:w="80" w:type="dxa"/>
              <w:start w:w="100" w:type="dxa"/>
              <w:bottom w:w="80" w:type="dxa"/>
              <w:end w:w="100" w:type="dxa"/>
            </w:tcMar>
            <w:shd w:fill="F7F9FA"/>
          </w:tcPr>
          <w:p>
            <w:r>
              <w:rPr>
                <w:b w:val="0"/>
                <w:sz w:val="18"/>
              </w:rPr>
              <w:t>Aplicação integrada a provider externo</w:t>
            </w:r>
          </w:p>
        </w:tc>
        <w:tc>
          <w:tcPr>
            <w:tcW w:type="dxa" w:w="4762"/>
            <w:vAlign w:val="top"/>
            <w:tcMar>
              <w:top w:w="80" w:type="dxa"/>
              <w:start w:w="100" w:type="dxa"/>
              <w:bottom w:w="80" w:type="dxa"/>
              <w:end w:w="100" w:type="dxa"/>
            </w:tcMar>
            <w:shd w:fill="F7F9FA"/>
          </w:tcPr>
          <w:p>
            <w:r>
              <w:rPr>
                <w:b w:val="0"/>
                <w:sz w:val="18"/>
              </w:rPr>
              <w:t>Sistema interno consumindo API ou deployment de terceiro.</w:t>
            </w:r>
          </w:p>
        </w:tc>
      </w:tr>
      <w:tr>
        <w:tc>
          <w:tcPr>
            <w:tcW w:type="dxa" w:w="4762"/>
            <w:vAlign w:val="top"/>
            <w:tcMar>
              <w:top w:w="80" w:type="dxa"/>
              <w:start w:w="100" w:type="dxa"/>
              <w:bottom w:w="80" w:type="dxa"/>
              <w:end w:w="100" w:type="dxa"/>
            </w:tcMar>
          </w:tcPr>
          <w:p>
            <w:r>
              <w:rPr>
                <w:b w:val="0"/>
                <w:sz w:val="18"/>
              </w:rPr>
              <w:t>SaaS ou COTS com IA embarcada</w:t>
            </w:r>
          </w:p>
        </w:tc>
        <w:tc>
          <w:tcPr>
            <w:tcW w:type="dxa" w:w="4762"/>
            <w:vAlign w:val="top"/>
            <w:tcMar>
              <w:top w:w="80" w:type="dxa"/>
              <w:start w:w="100" w:type="dxa"/>
              <w:bottom w:w="80" w:type="dxa"/>
              <w:end w:w="100" w:type="dxa"/>
            </w:tcMar>
          </w:tcPr>
          <w:p>
            <w:r>
              <w:rPr>
                <w:b w:val="0"/>
                <w:sz w:val="18"/>
              </w:rPr>
              <w:t>CRM, ERP, RH, jurídico, segurança, produtividade ou atendimento.</w:t>
            </w:r>
          </w:p>
        </w:tc>
      </w:tr>
      <w:tr>
        <w:tc>
          <w:tcPr>
            <w:tcW w:type="dxa" w:w="4762"/>
            <w:vAlign w:val="top"/>
            <w:tcMar>
              <w:top w:w="80" w:type="dxa"/>
              <w:start w:w="100" w:type="dxa"/>
              <w:bottom w:w="80" w:type="dxa"/>
              <w:end w:w="100" w:type="dxa"/>
            </w:tcMar>
            <w:shd w:fill="F7F9FA"/>
          </w:tcPr>
          <w:p>
            <w:r>
              <w:rPr>
                <w:b w:val="0"/>
                <w:sz w:val="18"/>
              </w:rPr>
              <w:t>Solução desenvolvida por terceiro</w:t>
            </w:r>
          </w:p>
        </w:tc>
        <w:tc>
          <w:tcPr>
            <w:tcW w:type="dxa" w:w="4762"/>
            <w:vAlign w:val="top"/>
            <w:tcMar>
              <w:top w:w="80" w:type="dxa"/>
              <w:start w:w="100" w:type="dxa"/>
              <w:bottom w:w="80" w:type="dxa"/>
              <w:end w:w="100" w:type="dxa"/>
            </w:tcMar>
            <w:shd w:fill="F7F9FA"/>
          </w:tcPr>
          <w:p>
            <w:r>
              <w:rPr>
                <w:b w:val="0"/>
                <w:sz w:val="18"/>
              </w:rPr>
              <w:t>Aplicação encomendada, consultoria ou fábrica de software.</w:t>
            </w:r>
          </w:p>
        </w:tc>
      </w:tr>
      <w:tr>
        <w:tc>
          <w:tcPr>
            <w:tcW w:type="dxa" w:w="4762"/>
            <w:vAlign w:val="top"/>
            <w:tcMar>
              <w:top w:w="80" w:type="dxa"/>
              <w:start w:w="100" w:type="dxa"/>
              <w:bottom w:w="80" w:type="dxa"/>
              <w:end w:w="100" w:type="dxa"/>
            </w:tcMar>
          </w:tcPr>
          <w:p>
            <w:r>
              <w:rPr>
                <w:b w:val="0"/>
                <w:sz w:val="18"/>
              </w:rPr>
              <w:t>Serviço gerenciado de IA</w:t>
            </w:r>
          </w:p>
        </w:tc>
        <w:tc>
          <w:tcPr>
            <w:tcW w:type="dxa" w:w="4762"/>
            <w:vAlign w:val="top"/>
            <w:tcMar>
              <w:top w:w="80" w:type="dxa"/>
              <w:start w:w="100" w:type="dxa"/>
              <w:bottom w:w="80" w:type="dxa"/>
              <w:end w:w="100" w:type="dxa"/>
            </w:tcMar>
          </w:tcPr>
          <w:p>
            <w:r>
              <w:rPr>
                <w:b w:val="0"/>
                <w:sz w:val="18"/>
              </w:rPr>
              <w:t>Terceiro que hospeda modelos, RAG, agentes ou processamento para a organização.</w:t>
            </w:r>
          </w:p>
        </w:tc>
      </w:tr>
      <w:tr>
        <w:tc>
          <w:tcPr>
            <w:tcW w:type="dxa" w:w="4762"/>
            <w:vAlign w:val="top"/>
            <w:tcMar>
              <w:top w:w="80" w:type="dxa"/>
              <w:start w:w="100" w:type="dxa"/>
              <w:bottom w:w="80" w:type="dxa"/>
              <w:end w:w="100" w:type="dxa"/>
            </w:tcMar>
            <w:shd w:fill="F7F9FA"/>
          </w:tcPr>
          <w:p>
            <w:r>
              <w:rPr>
                <w:b w:val="0"/>
                <w:sz w:val="18"/>
              </w:rPr>
              <w:t>Desenvolvimento interno</w:t>
            </w:r>
          </w:p>
        </w:tc>
        <w:tc>
          <w:tcPr>
            <w:tcW w:type="dxa" w:w="4762"/>
            <w:vAlign w:val="top"/>
            <w:tcMar>
              <w:top w:w="80" w:type="dxa"/>
              <w:start w:w="100" w:type="dxa"/>
              <w:bottom w:w="80" w:type="dxa"/>
              <w:end w:w="100" w:type="dxa"/>
            </w:tcMar>
            <w:shd w:fill="F7F9FA"/>
          </w:tcPr>
          <w:p>
            <w:r>
              <w:rPr>
                <w:b w:val="0"/>
                <w:sz w:val="18"/>
              </w:rPr>
              <w:t>Modelos próprios, treinamento, fine-tuning e pipelines MLOps/LLMOps.</w:t>
            </w:r>
          </w:p>
        </w:tc>
      </w:tr>
      <w:tr>
        <w:tc>
          <w:tcPr>
            <w:tcW w:type="dxa" w:w="4762"/>
            <w:vAlign w:val="top"/>
            <w:tcMar>
              <w:top w:w="80" w:type="dxa"/>
              <w:start w:w="100" w:type="dxa"/>
              <w:bottom w:w="80" w:type="dxa"/>
              <w:end w:w="100" w:type="dxa"/>
            </w:tcMar>
          </w:tcPr>
          <w:p>
            <w:r>
              <w:rPr>
                <w:b w:val="0"/>
                <w:sz w:val="18"/>
              </w:rPr>
              <w:t>RAG e conhecimento</w:t>
            </w:r>
          </w:p>
        </w:tc>
        <w:tc>
          <w:tcPr>
            <w:tcW w:type="dxa" w:w="4762"/>
            <w:vAlign w:val="top"/>
            <w:tcMar>
              <w:top w:w="80" w:type="dxa"/>
              <w:start w:w="100" w:type="dxa"/>
              <w:bottom w:w="80" w:type="dxa"/>
              <w:end w:w="100" w:type="dxa"/>
            </w:tcMar>
          </w:tcPr>
          <w:p>
            <w:r>
              <w:rPr>
                <w:b w:val="0"/>
                <w:sz w:val="18"/>
              </w:rPr>
              <w:t>Bases corporativas, embeddings, vector stores, memória e busca semântica.</w:t>
            </w:r>
          </w:p>
        </w:tc>
      </w:tr>
      <w:tr>
        <w:tc>
          <w:tcPr>
            <w:tcW w:type="dxa" w:w="4762"/>
            <w:vAlign w:val="top"/>
            <w:tcMar>
              <w:top w:w="80" w:type="dxa"/>
              <w:start w:w="100" w:type="dxa"/>
              <w:bottom w:w="80" w:type="dxa"/>
              <w:end w:w="100" w:type="dxa"/>
            </w:tcMar>
            <w:shd w:fill="F7F9FA"/>
          </w:tcPr>
          <w:p>
            <w:r>
              <w:rPr>
                <w:b w:val="0"/>
                <w:sz w:val="18"/>
              </w:rPr>
              <w:t>Agentes e automações</w:t>
            </w:r>
          </w:p>
        </w:tc>
        <w:tc>
          <w:tcPr>
            <w:tcW w:type="dxa" w:w="4762"/>
            <w:vAlign w:val="top"/>
            <w:tcMar>
              <w:top w:w="80" w:type="dxa"/>
              <w:start w:w="100" w:type="dxa"/>
              <w:bottom w:w="80" w:type="dxa"/>
              <w:end w:w="100" w:type="dxa"/>
            </w:tcMar>
            <w:shd w:fill="F7F9FA"/>
          </w:tcPr>
          <w:p>
            <w:r>
              <w:rPr>
                <w:b w:val="0"/>
                <w:sz w:val="18"/>
              </w:rPr>
              <w:t>Tools, function calling, MCP, browser agents e ações em sistemas.</w:t>
            </w:r>
          </w:p>
        </w:tc>
      </w:tr>
      <w:tr>
        <w:tc>
          <w:tcPr>
            <w:tcW w:type="dxa" w:w="4762"/>
            <w:vAlign w:val="top"/>
            <w:tcMar>
              <w:top w:w="80" w:type="dxa"/>
              <w:start w:w="100" w:type="dxa"/>
              <w:bottom w:w="80" w:type="dxa"/>
              <w:end w:w="100" w:type="dxa"/>
            </w:tcMar>
          </w:tcPr>
          <w:p>
            <w:r>
              <w:rPr>
                <w:b w:val="0"/>
                <w:sz w:val="18"/>
              </w:rPr>
              <w:t>Ferramentas de produtividade</w:t>
            </w:r>
          </w:p>
        </w:tc>
        <w:tc>
          <w:tcPr>
            <w:tcW w:type="dxa" w:w="4762"/>
            <w:vAlign w:val="top"/>
            <w:tcMar>
              <w:top w:w="80" w:type="dxa"/>
              <w:start w:w="100" w:type="dxa"/>
              <w:bottom w:w="80" w:type="dxa"/>
              <w:end w:w="100" w:type="dxa"/>
            </w:tcMar>
          </w:tcPr>
          <w:p>
            <w:r>
              <w:rPr>
                <w:b w:val="0"/>
                <w:sz w:val="18"/>
              </w:rPr>
              <w:t>Copilots, assistentes de código, extensões, plugins e aplicações desktop.</w:t>
            </w:r>
          </w:p>
        </w:tc>
      </w:tr>
      <w:tr>
        <w:tc>
          <w:tcPr>
            <w:tcW w:type="dxa" w:w="4762"/>
            <w:vAlign w:val="top"/>
            <w:tcMar>
              <w:top w:w="80" w:type="dxa"/>
              <w:start w:w="100" w:type="dxa"/>
              <w:bottom w:w="80" w:type="dxa"/>
              <w:end w:w="100" w:type="dxa"/>
            </w:tcMar>
            <w:shd w:fill="F7F9FA"/>
          </w:tcPr>
          <w:p>
            <w:r>
              <w:rPr>
                <w:b w:val="0"/>
                <w:sz w:val="18"/>
              </w:rPr>
              <w:t>Modelos locais</w:t>
            </w:r>
          </w:p>
        </w:tc>
        <w:tc>
          <w:tcPr>
            <w:tcW w:type="dxa" w:w="4762"/>
            <w:vAlign w:val="top"/>
            <w:tcMar>
              <w:top w:w="80" w:type="dxa"/>
              <w:start w:w="100" w:type="dxa"/>
              <w:bottom w:w="80" w:type="dxa"/>
              <w:end w:w="100" w:type="dxa"/>
            </w:tcMar>
            <w:shd w:fill="F7F9FA"/>
          </w:tcPr>
          <w:p>
            <w:r>
              <w:rPr>
                <w:b w:val="0"/>
                <w:sz w:val="18"/>
              </w:rPr>
              <w:t>Ollama, modelos open source, execução em servidor ou endpoint interno.</w:t>
            </w:r>
          </w:p>
        </w:tc>
      </w:tr>
      <w:tr>
        <w:tc>
          <w:tcPr>
            <w:tcW w:type="dxa" w:w="4762"/>
            <w:vAlign w:val="top"/>
            <w:tcMar>
              <w:top w:w="80" w:type="dxa"/>
              <w:start w:w="100" w:type="dxa"/>
              <w:bottom w:w="80" w:type="dxa"/>
              <w:end w:w="100" w:type="dxa"/>
            </w:tcMar>
          </w:tcPr>
          <w:p>
            <w:r>
              <w:rPr>
                <w:b w:val="0"/>
                <w:sz w:val="18"/>
              </w:rPr>
              <w:t>IA em dispositivos ou appliances</w:t>
            </w:r>
          </w:p>
        </w:tc>
        <w:tc>
          <w:tcPr>
            <w:tcW w:type="dxa" w:w="4762"/>
            <w:vAlign w:val="top"/>
            <w:tcMar>
              <w:top w:w="80" w:type="dxa"/>
              <w:start w:w="100" w:type="dxa"/>
              <w:bottom w:w="80" w:type="dxa"/>
              <w:end w:w="100" w:type="dxa"/>
            </w:tcMar>
          </w:tcPr>
          <w:p>
            <w:r>
              <w:rPr>
                <w:b w:val="0"/>
                <w:sz w:val="18"/>
              </w:rPr>
              <w:t>Câmeras, antifraude, segurança física, equipamentos e produtos conectados.</w:t>
            </w:r>
          </w:p>
        </w:tc>
      </w:tr>
      <w:tr>
        <w:tc>
          <w:tcPr>
            <w:tcW w:type="dxa" w:w="4762"/>
            <w:vAlign w:val="top"/>
            <w:tcMar>
              <w:top w:w="80" w:type="dxa"/>
              <w:start w:w="100" w:type="dxa"/>
              <w:bottom w:w="80" w:type="dxa"/>
              <w:end w:w="100" w:type="dxa"/>
            </w:tcMar>
            <w:shd w:fill="F7F9FA"/>
          </w:tcPr>
          <w:p>
            <w:r>
              <w:rPr>
                <w:b w:val="0"/>
                <w:sz w:val="18"/>
              </w:rPr>
              <w:t>IA utilizada pelo fornecedor</w:t>
            </w:r>
          </w:p>
        </w:tc>
        <w:tc>
          <w:tcPr>
            <w:tcW w:type="dxa" w:w="4762"/>
            <w:vAlign w:val="top"/>
            <w:tcMar>
              <w:top w:w="80" w:type="dxa"/>
              <w:start w:w="100" w:type="dxa"/>
              <w:bottom w:w="80" w:type="dxa"/>
              <w:end w:w="100" w:type="dxa"/>
            </w:tcMar>
            <w:shd w:fill="F7F9FA"/>
          </w:tcPr>
          <w:p>
            <w:r>
              <w:rPr>
                <w:b w:val="0"/>
                <w:sz w:val="18"/>
              </w:rPr>
              <w:t>Terceiro que usa IA internamente para executar parte do serviço contratado.</w:t>
            </w:r>
          </w:p>
        </w:tc>
      </w:tr>
    </w:tbl>
    <w:p>
      <w:pPr>
        <w:spacing w:after="20"/>
      </w:pPr>
    </w:p>
    <w:p>
      <w:r>
        <w:rPr>
          <w:b w:val="0"/>
        </w:rPr>
        <w:t>A metodologia deve ser utilizada tanto para novos projetos quanto para soluções existentes, renovações contratuais, mudanças materiais, revalidações, incidentes, achados ou solicitações de exceção.</w:t>
      </w:r>
    </w:p>
    <w:p>
      <w:pPr>
        <w:pStyle w:val="Heading1"/>
        <w:pageBreakBefore/>
      </w:pPr>
      <w:r>
        <w:rPr>
          <w:b w:val="0"/>
        </w:rPr>
        <w:t>4. Princípios</w:t>
      </w:r>
    </w:p>
    <w:p>
      <w:pPr>
        <w:pStyle w:val="ListNumber"/>
      </w:pPr>
      <w:r>
        <w:rPr>
          <w:b/>
        </w:rPr>
        <w:t>Avaliação por cenário:</w:t>
      </w:r>
      <w:r>
        <w:rPr>
          <w:b w:val="0"/>
        </w:rPr>
        <w:t xml:space="preserve"> o risco deve refletir a forma concreta como a IA será utilizada.</w:t>
      </w:r>
    </w:p>
    <w:p>
      <w:pPr>
        <w:pStyle w:val="ListNumber"/>
      </w:pPr>
      <w:r>
        <w:rPr>
          <w:b/>
        </w:rPr>
        <w:t>Formulário autossuficiente:</w:t>
      </w:r>
      <w:r>
        <w:rPr>
          <w:b w:val="0"/>
        </w:rPr>
        <w:t xml:space="preserve"> o FRM-001 concentra as informações necessárias para classificação, cálculo e seleção de controles.</w:t>
      </w:r>
    </w:p>
    <w:p>
      <w:pPr>
        <w:pStyle w:val="ListNumber"/>
      </w:pPr>
      <w:r>
        <w:rPr>
          <w:b/>
        </w:rPr>
        <w:t>Independência do modelo de fornecimento:</w:t>
      </w:r>
      <w:r>
        <w:rPr>
          <w:b w:val="0"/>
        </w:rPr>
        <w:t xml:space="preserve"> ser uma solução de terceiro não elimina a aplicabilidade de controles.</w:t>
      </w:r>
    </w:p>
    <w:p>
      <w:pPr>
        <w:pStyle w:val="ListNumber"/>
      </w:pPr>
      <w:r>
        <w:rPr>
          <w:b/>
        </w:rPr>
        <w:t>Maior condição plausível:</w:t>
      </w:r>
      <w:r>
        <w:rPr>
          <w:b w:val="0"/>
        </w:rPr>
        <w:t xml:space="preserve"> informação desconhecida não deve ser interpretada como ausência de risco.</w:t>
      </w:r>
    </w:p>
    <w:p>
      <w:pPr>
        <w:pStyle w:val="ListNumber"/>
      </w:pPr>
      <w:r>
        <w:rPr>
          <w:b/>
        </w:rPr>
        <w:t>Risco inerente antes dos controles:</w:t>
      </w:r>
      <w:r>
        <w:rPr>
          <w:b w:val="0"/>
        </w:rPr>
        <w:t xml:space="preserve"> o cálculo inicial representa o cenário sem considerar a aplicação dos controles selecionados.</w:t>
      </w:r>
    </w:p>
    <w:p>
      <w:pPr>
        <w:pStyle w:val="ListNumber"/>
      </w:pPr>
      <w:r>
        <w:rPr>
          <w:b/>
        </w:rPr>
        <w:t>Aplicação cumulativa:</w:t>
      </w:r>
      <w:r>
        <w:rPr>
          <w:b w:val="0"/>
        </w:rPr>
        <w:t xml:space="preserve"> BAS-001 e todos os baselines especializados aplicáveis devem ser combinados.</w:t>
      </w:r>
    </w:p>
    <w:p>
      <w:pPr>
        <w:pStyle w:val="ListNumber"/>
      </w:pPr>
      <w:r>
        <w:rPr>
          <w:b/>
        </w:rPr>
        <w:t>Aplicação integral presumida:</w:t>
      </w:r>
      <w:r>
        <w:rPr>
          <w:b w:val="0"/>
        </w:rPr>
        <w:t xml:space="preserve"> o risco residual é uma projeção que considera todos os controles selecionados como integralmente implementados.</w:t>
      </w:r>
    </w:p>
    <w:p>
      <w:pPr>
        <w:pStyle w:val="ListNumber"/>
      </w:pPr>
      <w:r>
        <w:rPr>
          <w:b/>
        </w:rPr>
        <w:t>Sem exigência de evidência nesta etapa:</w:t>
      </w:r>
      <w:r>
        <w:rPr>
          <w:b w:val="0"/>
        </w:rPr>
        <w:t xml:space="preserve"> a avaliação prospectiva não exige status, comprovação ou evidência individual dos controles.</w:t>
      </w:r>
    </w:p>
    <w:p>
      <w:pPr>
        <w:pStyle w:val="ListNumber"/>
      </w:pPr>
      <w:r>
        <w:rPr>
          <w:b/>
        </w:rPr>
        <w:t>Exceção obrigatória para impossibilidade:</w:t>
      </w:r>
      <w:r>
        <w:rPr>
          <w:b w:val="0"/>
        </w:rPr>
        <w:t xml:space="preserve"> controle aplicável que não possa ser implementado deve seguir o processo formal de exceção e gerar novo cálculo.</w:t>
      </w:r>
    </w:p>
    <w:p>
      <w:pPr>
        <w:pStyle w:val="ListNumber"/>
      </w:pPr>
      <w:r>
        <w:rPr>
          <w:b/>
        </w:rPr>
        <w:t>Revisão manual para divergência de aplicabilidade:</w:t>
      </w:r>
      <w:r>
        <w:rPr>
          <w:b w:val="0"/>
        </w:rPr>
        <w:t xml:space="preserve"> controle considerado tecnicamente não pertinente somente pode ser retirado após revisão manual e novo processamento da MTR-001.</w:t>
      </w:r>
    </w:p>
    <w:p>
      <w:pPr>
        <w:pStyle w:val="ListNumber"/>
      </w:pPr>
      <w:r>
        <w:rPr>
          <w:b/>
        </w:rPr>
        <w:t>Sem média entre cenários:</w:t>
      </w:r>
      <w:r>
        <w:rPr>
          <w:b w:val="0"/>
        </w:rPr>
        <w:t xml:space="preserve"> o risco consolidado deve preservar o maior cenário material identificado.</w:t>
      </w:r>
    </w:p>
    <w:p>
      <w:pPr>
        <w:pStyle w:val="ListNumber"/>
      </w:pPr>
      <w:r>
        <w:rPr>
          <w:b/>
        </w:rPr>
        <w:t>Responsabilidade compartilhada:</w:t>
      </w:r>
      <w:r>
        <w:rPr>
          <w:b w:val="0"/>
        </w:rPr>
        <w:t xml:space="preserve"> controles podem ser da organização, do fornecedor ou de ambos.</w:t>
      </w:r>
    </w:p>
    <w:p>
      <w:pPr>
        <w:pStyle w:val="ListNumber"/>
      </w:pPr>
      <w:r>
        <w:rPr>
          <w:b/>
        </w:rPr>
        <w:t>Reprodutibilidade:</w:t>
      </w:r>
      <w:r>
        <w:rPr>
          <w:b w:val="0"/>
        </w:rPr>
        <w:t xml:space="preserve"> respostas, regras, versões, fórmulas e resultados devem permanecer auditáveis.</w:t>
      </w:r>
    </w:p>
    <w:p>
      <w:pPr>
        <w:pStyle w:val="Heading1"/>
        <w:pageBreakBefore/>
      </w:pPr>
      <w:r>
        <w:rPr>
          <w:b w:val="0"/>
        </w:rPr>
        <w:t>5. Fluxo simplificado de avaliação</w:t>
      </w:r>
    </w:p>
    <w:p>
      <w:r>
        <w:rPr>
          <w:b w:val="0"/>
        </w:rPr>
        <w:t>A avaliação deve seguir seis etapas:</w:t>
      </w:r>
    </w:p>
    <w:p>
      <w:pPr>
        <w:pStyle w:val="ListNumber"/>
      </w:pPr>
      <w:r>
        <w:rPr>
          <w:b w:val="0"/>
        </w:rPr>
        <w:t>Preencher o FRM-001 e identificar o cenário de uso, o modelo de fornecimento e as responsabilidades.</w:t>
      </w:r>
    </w:p>
    <w:p>
      <w:pPr>
        <w:pStyle w:val="ListNumber"/>
      </w:pPr>
      <w:r>
        <w:rPr>
          <w:b w:val="0"/>
        </w:rPr>
        <w:t>Classificar o rigor de homologação H1-H4.</w:t>
      </w:r>
    </w:p>
    <w:p>
      <w:pPr>
        <w:pStyle w:val="ListNumber"/>
      </w:pPr>
      <w:r>
        <w:rPr>
          <w:b w:val="0"/>
        </w:rPr>
        <w:t>Determinar o impacto.</w:t>
      </w:r>
    </w:p>
    <w:p>
      <w:pPr>
        <w:pStyle w:val="ListNumber"/>
      </w:pPr>
      <w:r>
        <w:rPr>
          <w:b w:val="0"/>
        </w:rPr>
        <w:t>Determinar a probabilidade, aplicar os pisos e calcular o risco inerente.</w:t>
      </w:r>
    </w:p>
    <w:p>
      <w:pPr>
        <w:pStyle w:val="ListNumber"/>
      </w:pPr>
      <w:r>
        <w:rPr>
          <w:b w:val="0"/>
        </w:rPr>
        <w:t>Aplicar a MTR-001 para selecionar cumulativamente os baselines e controles técnicos.</w:t>
      </w:r>
    </w:p>
    <w:p>
      <w:pPr>
        <w:pStyle w:val="ListNumber"/>
      </w:pPr>
      <w:r>
        <w:rPr>
          <w:b w:val="0"/>
        </w:rPr>
        <w:t>Projetar o risco residual sob a premissa de implementação integral dos controles e emitir o Parecer de Segurança.</w:t>
      </w:r>
    </w:p>
    <w:tbl>
      <w:tblPr>
        <w:tblW w:type="auto" w:w="0"/>
        <w:jc w:val="left"/>
        <w:tblLook w:firstColumn="1" w:firstRow="1" w:lastColumn="0" w:lastRow="0" w:noHBand="0" w:noVBand="1" w:val="04A0"/>
      </w:tblPr>
      <w:tblGrid>
        <w:gridCol w:w="9524"/>
      </w:tblGrid>
      <w:tr>
        <w:tc>
          <w:tcPr>
            <w:tcW w:type="dxa" w:w="9524"/>
            <w:shd w:fill="EEF3F6"/>
            <w:tcMar>
              <w:top w:w="120" w:type="dxa"/>
              <w:start w:w="140" w:type="dxa"/>
              <w:bottom w:w="120" w:type="dxa"/>
              <w:end w:w="140" w:type="dxa"/>
            </w:tcMar>
          </w:tcPr>
          <w:p>
            <w:r>
              <w:rPr>
                <w:rFonts w:ascii="Consolas" w:hAnsi="Consolas"/>
                <w:color w:val="182939"/>
                <w:sz w:val="17"/>
              </w:rPr>
              <w:t>FRM-001 → H1-H4 → Impacto → Probabilidade e pisos → Risco inerente</w:t>
              <w:br/>
              <w:t xml:space="preserve">        → MTR-001 → Controles aplicáveis → Aplicação integral presumida</w:t>
              <w:br/>
              <w:t xml:space="preserve">        → Risco residual projetado → Parecer de Segurança</w:t>
            </w:r>
          </w:p>
        </w:tc>
      </w:tr>
    </w:tbl>
    <w:p>
      <w:r>
        <w:rPr>
          <w:b w:val="0"/>
        </w:rPr>
        <w:t>A implementação real, a comprovação e o monitoramento dos controles ocorrem nos processos corporativos posteriores. Caso um controle não possa ser implementado, o resultado projetado deixa de ser válido até que a exceção seja decidida e o risco seja recalculado.</w:t>
      </w:r>
    </w:p>
    <w:p>
      <w:pPr>
        <w:pStyle w:val="Heading1"/>
        <w:pageBreakBefore/>
      </w:pPr>
      <w:r>
        <w:rPr>
          <w:b w:val="0"/>
        </w:rPr>
        <w:t>6. Identificação do cenário e das responsabilidades</w:t>
      </w:r>
    </w:p>
    <w:p>
      <w:pPr>
        <w:pStyle w:val="Heading2"/>
      </w:pPr>
      <w:r>
        <w:rPr>
          <w:b w:val="0"/>
        </w:rPr>
        <w:t>6.1 Informações mínimas</w:t>
      </w:r>
    </w:p>
    <w:p>
      <w:r>
        <w:rPr>
          <w:b w:val="0"/>
        </w:rPr>
        <w:t>O FRM-001 deve registrar, no mínimo:</w:t>
      </w:r>
    </w:p>
    <w:p>
      <w:pPr>
        <w:pStyle w:val="ListBullet"/>
      </w:pPr>
      <w:r>
        <w:rPr>
          <w:b w:val="0"/>
        </w:rPr>
        <w:t>finalidade e público-alvo;</w:t>
      </w:r>
    </w:p>
    <w:p>
      <w:pPr>
        <w:pStyle w:val="ListBullet"/>
      </w:pPr>
      <w:r>
        <w:rPr>
          <w:b w:val="0"/>
        </w:rPr>
        <w:t>owner de negócio e owner técnico;</w:t>
      </w:r>
    </w:p>
    <w:p>
      <w:pPr>
        <w:pStyle w:val="ListBullet"/>
      </w:pPr>
      <w:r>
        <w:rPr>
          <w:b w:val="0"/>
        </w:rPr>
        <w:t>tipo de solução e modelo de fornecimento;</w:t>
      </w:r>
    </w:p>
    <w:p>
      <w:pPr>
        <w:pStyle w:val="ListBullet"/>
      </w:pPr>
      <w:r>
        <w:rPr>
          <w:b w:val="0"/>
        </w:rPr>
        <w:t>desenvolvedor, configurador, operador e responsável pela hospedagem;</w:t>
      </w:r>
    </w:p>
    <w:p>
      <w:pPr>
        <w:pStyle w:val="ListBullet"/>
      </w:pPr>
      <w:r>
        <w:rPr>
          <w:b w:val="0"/>
        </w:rPr>
        <w:t>provider, modelo, região e deployment quando conhecidos;</w:t>
      </w:r>
    </w:p>
    <w:p>
      <w:pPr>
        <w:pStyle w:val="ListBullet"/>
      </w:pPr>
      <w:r>
        <w:rPr>
          <w:b w:val="0"/>
        </w:rPr>
        <w:t>dados de entrada, saída, treinamento, memória e logs;</w:t>
      </w:r>
    </w:p>
    <w:p>
      <w:pPr>
        <w:pStyle w:val="ListBullet"/>
      </w:pPr>
      <w:r>
        <w:rPr>
          <w:b w:val="0"/>
        </w:rPr>
        <w:t>integrações, APIs, RAG, agentes, tools, MCP e ações executáveis;</w:t>
      </w:r>
    </w:p>
    <w:p>
      <w:pPr>
        <w:pStyle w:val="ListBullet"/>
      </w:pPr>
      <w:r>
        <w:rPr>
          <w:b w:val="0"/>
        </w:rPr>
        <w:t>exposição interna, externa, a clientes ou a parceiros;</w:t>
      </w:r>
    </w:p>
    <w:p>
      <w:pPr>
        <w:pStyle w:val="ListBullet"/>
      </w:pPr>
      <w:r>
        <w:rPr>
          <w:b w:val="0"/>
        </w:rPr>
        <w:t>possibilidade de desabilitar a funcionalidade de IA;</w:t>
      </w:r>
    </w:p>
    <w:p>
      <w:pPr>
        <w:pStyle w:val="ListBullet"/>
      </w:pPr>
      <w:r>
        <w:rPr>
          <w:b w:val="0"/>
        </w:rPr>
        <w:t>alterações que o fornecedor pode realizar sem ação da organização;</w:t>
      </w:r>
    </w:p>
    <w:p>
      <w:pPr>
        <w:pStyle w:val="ListBullet"/>
      </w:pPr>
      <w:r>
        <w:rPr>
          <w:b w:val="0"/>
        </w:rPr>
        <w:t>condições de continuidade, fallback e plano de saída;</w:t>
      </w:r>
    </w:p>
    <w:p>
      <w:pPr>
        <w:pStyle w:val="ListBullet"/>
      </w:pPr>
      <w:r>
        <w:rPr>
          <w:b w:val="0"/>
        </w:rPr>
        <w:t>informações necessárias para atribuir responsabilidade aos controles.</w:t>
      </w:r>
    </w:p>
    <w:p>
      <w:r>
        <w:rPr>
          <w:b w:val="0"/>
        </w:rPr>
        <w:t xml:space="preserve">Respostas como </w:t>
      </w:r>
      <w:r>
        <w:rPr>
          <w:b/>
        </w:rPr>
        <w:t>“Não sei”</w:t>
      </w:r>
      <w:r>
        <w:rPr>
          <w:b w:val="0"/>
        </w:rPr>
        <w:t xml:space="preserve">, </w:t>
      </w:r>
      <w:r>
        <w:rPr>
          <w:b/>
        </w:rPr>
        <w:t>“Não informado pelo fornecedor”</w:t>
      </w:r>
      <w:r>
        <w:rPr>
          <w:b w:val="0"/>
        </w:rPr>
        <w:t xml:space="preserve"> ou </w:t>
      </w:r>
      <w:r>
        <w:rPr>
          <w:b/>
        </w:rPr>
        <w:t>“Não foi possível validar”</w:t>
      </w:r>
      <w:r>
        <w:rPr>
          <w:b w:val="0"/>
        </w:rPr>
        <w:t xml:space="preserve"> devem permanecer explícitas e não podem ser convertidas automaticamente em resposta negativa.</w:t>
      </w:r>
    </w:p>
    <w:p>
      <w:pPr>
        <w:pStyle w:val="Heading2"/>
      </w:pPr>
      <w:r>
        <w:rPr>
          <w:b w:val="0"/>
        </w:rPr>
        <w:t>6.2 Modelo de responsabilidade</w:t>
      </w:r>
    </w:p>
    <w:p>
      <w:r>
        <w:rPr>
          <w:b w:val="0"/>
        </w:rPr>
        <w:t>Cada controle aplicável deve ser atribuído a uma das categorias:</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4762"/>
            <w:vAlign w:val="top"/>
            <w:tcMar>
              <w:top w:w="80" w:type="dxa"/>
              <w:start w:w="100" w:type="dxa"/>
              <w:bottom w:w="80" w:type="dxa"/>
              <w:end w:w="100" w:type="dxa"/>
            </w:tcMar>
            <w:shd w:fill="28465C"/>
          </w:tcPr>
          <w:p>
            <w:r>
              <w:rPr>
                <w:b/>
                <w:color w:val="FFFFFF"/>
                <w:sz w:val="18"/>
              </w:rPr>
              <w:t>Responsabilidade</w:t>
            </w:r>
          </w:p>
        </w:tc>
        <w:tc>
          <w:tcPr>
            <w:tcW w:type="dxa" w:w="4762"/>
            <w:vAlign w:val="top"/>
            <w:tcMar>
              <w:top w:w="80" w:type="dxa"/>
              <w:start w:w="100" w:type="dxa"/>
              <w:bottom w:w="80" w:type="dxa"/>
              <w:end w:w="100" w:type="dxa"/>
            </w:tcMar>
            <w:shd w:fill="28465C"/>
          </w:tcPr>
          <w:p>
            <w:r>
              <w:rPr>
                <w:b/>
                <w:color w:val="FFFFFF"/>
                <w:sz w:val="18"/>
              </w:rPr>
              <w:t>Definição</w:t>
            </w:r>
          </w:p>
        </w:tc>
      </w:tr>
      <w:tr>
        <w:tc>
          <w:tcPr>
            <w:tcW w:type="dxa" w:w="4762"/>
            <w:vAlign w:val="top"/>
            <w:tcMar>
              <w:top w:w="80" w:type="dxa"/>
              <w:start w:w="100" w:type="dxa"/>
              <w:bottom w:w="80" w:type="dxa"/>
              <w:end w:w="100" w:type="dxa"/>
            </w:tcMar>
          </w:tcPr>
          <w:p>
            <w:r>
              <w:rPr>
                <w:b w:val="0"/>
                <w:sz w:val="18"/>
              </w:rPr>
              <w:t>Organização</w:t>
            </w:r>
          </w:p>
        </w:tc>
        <w:tc>
          <w:tcPr>
            <w:tcW w:type="dxa" w:w="4762"/>
            <w:vAlign w:val="top"/>
            <w:tcMar>
              <w:top w:w="80" w:type="dxa"/>
              <w:start w:w="100" w:type="dxa"/>
              <w:bottom w:w="80" w:type="dxa"/>
              <w:end w:w="100" w:type="dxa"/>
            </w:tcMar>
          </w:tcPr>
          <w:p>
            <w:r>
              <w:rPr>
                <w:b w:val="0"/>
                <w:sz w:val="18"/>
              </w:rPr>
              <w:t>Implementação e operação sob controle direto da organização.</w:t>
            </w:r>
          </w:p>
        </w:tc>
      </w:tr>
      <w:tr>
        <w:tc>
          <w:tcPr>
            <w:tcW w:type="dxa" w:w="4762"/>
            <w:vAlign w:val="top"/>
            <w:tcMar>
              <w:top w:w="80" w:type="dxa"/>
              <w:start w:w="100" w:type="dxa"/>
              <w:bottom w:w="80" w:type="dxa"/>
              <w:end w:w="100" w:type="dxa"/>
            </w:tcMar>
            <w:shd w:fill="F7F9FA"/>
          </w:tcPr>
          <w:p>
            <w:r>
              <w:rPr>
                <w:b w:val="0"/>
                <w:sz w:val="18"/>
              </w:rPr>
              <w:t>Fornecedor</w:t>
            </w:r>
          </w:p>
        </w:tc>
        <w:tc>
          <w:tcPr>
            <w:tcW w:type="dxa" w:w="4762"/>
            <w:vAlign w:val="top"/>
            <w:tcMar>
              <w:top w:w="80" w:type="dxa"/>
              <w:start w:w="100" w:type="dxa"/>
              <w:bottom w:w="80" w:type="dxa"/>
              <w:end w:w="100" w:type="dxa"/>
            </w:tcMar>
            <w:shd w:fill="F7F9FA"/>
          </w:tcPr>
          <w:p>
            <w:r>
              <w:rPr>
                <w:b w:val="0"/>
                <w:sz w:val="18"/>
              </w:rPr>
              <w:t>Implementação e operação sob responsabilidade do terceiro.</w:t>
            </w:r>
          </w:p>
        </w:tc>
      </w:tr>
      <w:tr>
        <w:tc>
          <w:tcPr>
            <w:tcW w:type="dxa" w:w="4762"/>
            <w:vAlign w:val="top"/>
            <w:tcMar>
              <w:top w:w="80" w:type="dxa"/>
              <w:start w:w="100" w:type="dxa"/>
              <w:bottom w:w="80" w:type="dxa"/>
              <w:end w:w="100" w:type="dxa"/>
            </w:tcMar>
          </w:tcPr>
          <w:p>
            <w:r>
              <w:rPr>
                <w:b w:val="0"/>
                <w:sz w:val="18"/>
              </w:rPr>
              <w:t>Compartilhada</w:t>
            </w:r>
          </w:p>
        </w:tc>
        <w:tc>
          <w:tcPr>
            <w:tcW w:type="dxa" w:w="4762"/>
            <w:vAlign w:val="top"/>
            <w:tcMar>
              <w:top w:w="80" w:type="dxa"/>
              <w:start w:w="100" w:type="dxa"/>
              <w:bottom w:w="80" w:type="dxa"/>
              <w:end w:w="100" w:type="dxa"/>
            </w:tcMar>
          </w:tcPr>
          <w:p>
            <w:r>
              <w:rPr>
                <w:b w:val="0"/>
                <w:sz w:val="18"/>
              </w:rPr>
              <w:t>Depende de configuração, integração, operação ou monitoramento de ambas as partes.</w:t>
            </w:r>
          </w:p>
        </w:tc>
      </w:tr>
      <w:tr>
        <w:tc>
          <w:tcPr>
            <w:tcW w:type="dxa" w:w="4762"/>
            <w:vAlign w:val="top"/>
            <w:tcMar>
              <w:top w:w="80" w:type="dxa"/>
              <w:start w:w="100" w:type="dxa"/>
              <w:bottom w:w="80" w:type="dxa"/>
              <w:end w:w="100" w:type="dxa"/>
            </w:tcMar>
            <w:shd w:fill="F7F9FA"/>
          </w:tcPr>
          <w:p>
            <w:r>
              <w:rPr>
                <w:b w:val="0"/>
                <w:sz w:val="18"/>
              </w:rPr>
              <w:t>Não determinada</w:t>
            </w:r>
          </w:p>
        </w:tc>
        <w:tc>
          <w:tcPr>
            <w:tcW w:type="dxa" w:w="4762"/>
            <w:vAlign w:val="top"/>
            <w:tcMar>
              <w:top w:w="80" w:type="dxa"/>
              <w:start w:w="100" w:type="dxa"/>
              <w:bottom w:w="80" w:type="dxa"/>
              <w:end w:w="100" w:type="dxa"/>
            </w:tcMar>
            <w:shd w:fill="F7F9FA"/>
          </w:tcPr>
          <w:p>
            <w:r>
              <w:rPr>
                <w:b w:val="0"/>
                <w:sz w:val="18"/>
              </w:rPr>
              <w:t>As respostas do FRM-001 não permitem identificar quem implementa ou opera o controle.</w:t>
            </w:r>
          </w:p>
        </w:tc>
      </w:tr>
    </w:tbl>
    <w:p>
      <w:pPr>
        <w:spacing w:after="20"/>
      </w:pPr>
    </w:p>
    <w:p>
      <w:r>
        <w:rPr>
          <w:b w:val="0"/>
        </w:rPr>
        <w:t>A atribuição deve considerar principalmente:</w:t>
      </w:r>
    </w:p>
    <w:p>
      <w:pPr>
        <w:pStyle w:val="ListBullet"/>
      </w:pPr>
      <w:r>
        <w:rPr>
          <w:b w:val="0"/>
        </w:rPr>
        <w:t>quem cria, adapta ou configura a parte de IA;</w:t>
      </w:r>
    </w:p>
    <w:p>
      <w:pPr>
        <w:pStyle w:val="ListBullet"/>
      </w:pPr>
      <w:r>
        <w:rPr>
          <w:b w:val="0"/>
        </w:rPr>
        <w:t>quem hospeda, atualiza e mantém a solução;</w:t>
      </w:r>
    </w:p>
    <w:p>
      <w:pPr>
        <w:pStyle w:val="ListBullet"/>
      </w:pPr>
      <w:r>
        <w:rPr>
          <w:b w:val="0"/>
        </w:rPr>
        <w:t>qual componente técnico é afetado pelo controle;</w:t>
      </w:r>
    </w:p>
    <w:p>
      <w:pPr>
        <w:pStyle w:val="ListBullet"/>
      </w:pPr>
      <w:r>
        <w:rPr>
          <w:b w:val="0"/>
        </w:rPr>
        <w:t>qual parte possui capacidade real de implementar o requisito.</w:t>
      </w:r>
    </w:p>
    <w:p>
      <w:r>
        <w:rPr>
          <w:b w:val="0"/>
        </w:rPr>
        <w:t xml:space="preserve">A justificativa </w:t>
      </w:r>
      <w:r>
        <w:rPr>
          <w:b/>
        </w:rPr>
        <w:t>“não aplicável por ser solução de terceiro”</w:t>
      </w:r>
      <w:r>
        <w:rPr>
          <w:b w:val="0"/>
        </w:rPr>
        <w:t xml:space="preserve"> não é válida. Quando o requisito depender do fornecedor, o controle permanece aplicável e recebe responsabilidade </w:t>
      </w:r>
      <w:r>
        <w:rPr>
          <w:b/>
        </w:rPr>
        <w:t>Fornecedor</w:t>
      </w:r>
      <w:r>
        <w:rPr>
          <w:b w:val="0"/>
        </w:rPr>
        <w:t xml:space="preserve"> ou </w:t>
      </w:r>
      <w:r>
        <w:rPr>
          <w:b/>
        </w:rPr>
        <w:t>Compartilhada</w:t>
      </w:r>
      <w:r>
        <w:rPr>
          <w:b w:val="0"/>
        </w:rPr>
        <w:t>.</w:t>
      </w:r>
    </w:p>
    <w:p>
      <w:r>
        <w:rPr>
          <w:b w:val="0"/>
        </w:rPr>
        <w:t xml:space="preserve">A classificação </w:t>
      </w:r>
      <w:r>
        <w:rPr>
          <w:b/>
        </w:rPr>
        <w:t>Não aplicável</w:t>
      </w:r>
      <w:r>
        <w:rPr>
          <w:b w:val="0"/>
        </w:rPr>
        <w:t xml:space="preserve"> somente pode ser usada após revisão manual que confirme a inexistência da condição técnica que originaria o controle.</w:t>
      </w:r>
    </w:p>
    <w:p>
      <w:pPr>
        <w:pStyle w:val="Heading1"/>
        <w:pageBreakBefore/>
      </w:pPr>
      <w:r>
        <w:rPr>
          <w:b w:val="0"/>
        </w:rPr>
        <w:t>7. Classificação do rigor de homologação H1–H4</w:t>
      </w:r>
    </w:p>
    <w:p>
      <w:r>
        <w:rPr>
          <w:b w:val="0"/>
        </w:rPr>
        <w:t>A classificação H indica a profundidade da avaliação. O nível do cenário é o maior nível acionado por suas características.</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4762"/>
            <w:vAlign w:val="top"/>
            <w:tcMar>
              <w:top w:w="80" w:type="dxa"/>
              <w:start w:w="100" w:type="dxa"/>
              <w:bottom w:w="80" w:type="dxa"/>
              <w:end w:w="100" w:type="dxa"/>
            </w:tcMar>
            <w:shd w:fill="28465C"/>
          </w:tcPr>
          <w:p>
            <w:r>
              <w:rPr>
                <w:b/>
                <w:color w:val="FFFFFF"/>
                <w:sz w:val="18"/>
              </w:rPr>
              <w:t>Classe</w:t>
            </w:r>
          </w:p>
        </w:tc>
        <w:tc>
          <w:tcPr>
            <w:tcW w:type="dxa" w:w="4762"/>
            <w:vAlign w:val="top"/>
            <w:tcMar>
              <w:top w:w="80" w:type="dxa"/>
              <w:start w:w="100" w:type="dxa"/>
              <w:bottom w:w="80" w:type="dxa"/>
              <w:end w:w="100" w:type="dxa"/>
            </w:tcMar>
            <w:shd w:fill="28465C"/>
          </w:tcPr>
          <w:p>
            <w:r>
              <w:rPr>
                <w:b/>
                <w:color w:val="FFFFFF"/>
                <w:sz w:val="18"/>
              </w:rPr>
              <w:t>Critérios orientativos</w:t>
            </w:r>
          </w:p>
        </w:tc>
      </w:tr>
      <w:tr>
        <w:tc>
          <w:tcPr>
            <w:tcW w:type="dxa" w:w="4762"/>
            <w:vAlign w:val="top"/>
            <w:tcMar>
              <w:top w:w="80" w:type="dxa"/>
              <w:start w:w="100" w:type="dxa"/>
              <w:bottom w:w="80" w:type="dxa"/>
              <w:end w:w="100" w:type="dxa"/>
            </w:tcMar>
          </w:tcPr>
          <w:p>
            <w:r>
              <w:rPr>
                <w:b w:val="0"/>
                <w:sz w:val="18"/>
              </w:rPr>
              <w:t>H1</w:t>
            </w:r>
          </w:p>
        </w:tc>
        <w:tc>
          <w:tcPr>
            <w:tcW w:type="dxa" w:w="4762"/>
            <w:vAlign w:val="top"/>
            <w:tcMar>
              <w:top w:w="80" w:type="dxa"/>
              <w:start w:w="100" w:type="dxa"/>
              <w:bottom w:w="80" w:type="dxa"/>
              <w:end w:w="100" w:type="dxa"/>
            </w:tcMar>
          </w:tcPr>
          <w:p>
            <w:r>
              <w:rPr>
                <w:b w:val="0"/>
                <w:sz w:val="18"/>
              </w:rPr>
              <w:t>Uso interno controlado, sem dados sensíveis, sem cliente, sem exposição externa e sem ação material.</w:t>
            </w:r>
          </w:p>
        </w:tc>
      </w:tr>
      <w:tr>
        <w:tc>
          <w:tcPr>
            <w:tcW w:type="dxa" w:w="4762"/>
            <w:vAlign w:val="top"/>
            <w:tcMar>
              <w:top w:w="80" w:type="dxa"/>
              <w:start w:w="100" w:type="dxa"/>
              <w:bottom w:w="80" w:type="dxa"/>
              <w:end w:w="100" w:type="dxa"/>
            </w:tcMar>
            <w:shd w:fill="F7F9FA"/>
          </w:tcPr>
          <w:p>
            <w:r>
              <w:rPr>
                <w:b w:val="0"/>
                <w:sz w:val="18"/>
              </w:rPr>
              <w:t>H2</w:t>
            </w:r>
          </w:p>
        </w:tc>
        <w:tc>
          <w:tcPr>
            <w:tcW w:type="dxa" w:w="4762"/>
            <w:vAlign w:val="top"/>
            <w:tcMar>
              <w:top w:w="80" w:type="dxa"/>
              <w:start w:w="100" w:type="dxa"/>
              <w:bottom w:w="80" w:type="dxa"/>
              <w:end w:w="100" w:type="dxa"/>
            </w:tcMar>
            <w:shd w:fill="F7F9FA"/>
          </w:tcPr>
          <w:p>
            <w:r>
              <w:rPr>
                <w:b w:val="0"/>
                <w:sz w:val="18"/>
              </w:rPr>
              <w:t>Dados corporativos internos, integração limitada, recomendação ou apoio operacional sem decisão crítica.</w:t>
            </w:r>
          </w:p>
        </w:tc>
      </w:tr>
      <w:tr>
        <w:tc>
          <w:tcPr>
            <w:tcW w:type="dxa" w:w="4762"/>
            <w:vAlign w:val="top"/>
            <w:tcMar>
              <w:top w:w="80" w:type="dxa"/>
              <w:start w:w="100" w:type="dxa"/>
              <w:bottom w:w="80" w:type="dxa"/>
              <w:end w:w="100" w:type="dxa"/>
            </w:tcMar>
          </w:tcPr>
          <w:p>
            <w:r>
              <w:rPr>
                <w:b w:val="0"/>
                <w:sz w:val="18"/>
              </w:rPr>
              <w:t>H3</w:t>
            </w:r>
          </w:p>
        </w:tc>
        <w:tc>
          <w:tcPr>
            <w:tcW w:type="dxa" w:w="4762"/>
            <w:vAlign w:val="top"/>
            <w:tcMar>
              <w:top w:w="80" w:type="dxa"/>
              <w:start w:w="100" w:type="dxa"/>
              <w:bottom w:w="80" w:type="dxa"/>
              <w:end w:w="100" w:type="dxa"/>
            </w:tcMar>
          </w:tcPr>
          <w:p>
            <w:r>
              <w:rPr>
                <w:b w:val="0"/>
                <w:sz w:val="18"/>
              </w:rPr>
              <w:t>Dados pessoais, bancários ou confidenciais; RAG; fornecedor externo; IA embarcada; MCP; tool calling; agente assistido ou integração relevante.</w:t>
            </w:r>
          </w:p>
        </w:tc>
      </w:tr>
      <w:tr>
        <w:tc>
          <w:tcPr>
            <w:tcW w:type="dxa" w:w="4762"/>
            <w:vAlign w:val="top"/>
            <w:tcMar>
              <w:top w:w="80" w:type="dxa"/>
              <w:start w:w="100" w:type="dxa"/>
              <w:bottom w:w="80" w:type="dxa"/>
              <w:end w:w="100" w:type="dxa"/>
            </w:tcMar>
            <w:shd w:fill="F7F9FA"/>
          </w:tcPr>
          <w:p>
            <w:r>
              <w:rPr>
                <w:b w:val="0"/>
                <w:sz w:val="18"/>
              </w:rPr>
              <w:t>H4</w:t>
            </w:r>
          </w:p>
        </w:tc>
        <w:tc>
          <w:tcPr>
            <w:tcW w:type="dxa" w:w="4762"/>
            <w:vAlign w:val="top"/>
            <w:tcMar>
              <w:top w:w="80" w:type="dxa"/>
              <w:start w:w="100" w:type="dxa"/>
              <w:bottom w:w="80" w:type="dxa"/>
              <w:end w:w="100" w:type="dxa"/>
            </w:tcMar>
            <w:shd w:fill="F7F9FA"/>
          </w:tcPr>
          <w:p>
            <w:r>
              <w:rPr>
                <w:b w:val="0"/>
                <w:sz w:val="18"/>
              </w:rPr>
              <w:t>Cliente, canal digital, exposição pública, decisão sensível, ação financeira, sistema core, acesso privilegiado, agente autônomo ou obrigação regulatória material.</w:t>
            </w:r>
          </w:p>
        </w:tc>
      </w:tr>
    </w:tbl>
    <w:p>
      <w:pPr>
        <w:spacing w:after="20"/>
      </w:pPr>
    </w:p>
    <w:tbl>
      <w:tblPr>
        <w:tblW w:type="auto" w:w="0"/>
        <w:jc w:val="left"/>
        <w:tblLook w:firstColumn="1" w:firstRow="1" w:lastColumn="0" w:lastRow="0" w:noHBand="0" w:noVBand="1" w:val="04A0"/>
      </w:tblPr>
      <w:tblGrid>
        <w:gridCol w:w="9524"/>
      </w:tblGrid>
      <w:tr>
        <w:tc>
          <w:tcPr>
            <w:tcW w:type="dxa" w:w="9524"/>
            <w:shd w:fill="EEF3F6"/>
            <w:tcMar>
              <w:top w:w="120" w:type="dxa"/>
              <w:start w:w="140" w:type="dxa"/>
              <w:bottom w:w="120" w:type="dxa"/>
              <w:end w:w="140" w:type="dxa"/>
            </w:tcMar>
          </w:tcPr>
          <w:p>
            <w:r>
              <w:rPr>
                <w:rFonts w:ascii="Consolas" w:hAnsi="Consolas"/>
                <w:color w:val="182939"/>
                <w:sz w:val="17"/>
              </w:rPr>
              <w:t>H do cenário = maior nível acionado pelas respostas e características</w:t>
            </w:r>
          </w:p>
        </w:tc>
      </w:tr>
    </w:tbl>
    <w:p>
      <w:r>
        <w:rPr>
          <w:b w:val="0"/>
        </w:rPr>
        <w:t>Quando uma informação necessária para distinguir H2, H3 ou H4 não estiver disponível, deve ser adotado o maior nível plausível até o esclarecimento.</w:t>
      </w:r>
    </w:p>
    <w:p>
      <w:pPr>
        <w:pStyle w:val="Heading1"/>
        <w:pageBreakBefore/>
      </w:pPr>
      <w:r>
        <w:rPr>
          <w:b w:val="0"/>
        </w:rPr>
        <w:t>8. Cálculo do impacto</w:t>
      </w:r>
    </w:p>
    <w:p>
      <w:r>
        <w:rPr>
          <w:b w:val="0"/>
        </w:rPr>
        <w:t>O impacto deve ser avaliado em quatro dimensões. Cada dimensão recebe um nível de I1 a I4.</w:t>
      </w:r>
    </w:p>
    <w:tbl>
      <w:tblPr>
        <w:tblStyle w:val="TableGrid"/>
        <w:tblW w:type="auto" w:w="0"/>
        <w:jc w:val="center"/>
        <w:tblLayout w:type="autofit"/>
        <w:tblLook w:firstColumn="1" w:firstRow="1" w:lastColumn="0" w:lastRow="0" w:noHBand="0" w:noVBand="1" w:val="04A0"/>
      </w:tblPr>
      <w:tblGrid>
        <w:gridCol w:w="1905"/>
        <w:gridCol w:w="1905"/>
        <w:gridCol w:w="1905"/>
        <w:gridCol w:w="1905"/>
        <w:gridCol w:w="1905"/>
      </w:tblGrid>
      <w:tr>
        <w:trPr>
          <w:tblHeader w:val="true"/>
        </w:trPr>
        <w:tc>
          <w:tcPr>
            <w:tcW w:type="dxa" w:w="1905"/>
            <w:vAlign w:val="top"/>
            <w:tcMar>
              <w:top w:w="80" w:type="dxa"/>
              <w:start w:w="100" w:type="dxa"/>
              <w:bottom w:w="80" w:type="dxa"/>
              <w:end w:w="100" w:type="dxa"/>
            </w:tcMar>
            <w:shd w:fill="28465C"/>
          </w:tcPr>
          <w:p>
            <w:r>
              <w:rPr>
                <w:b/>
                <w:color w:val="FFFFFF"/>
                <w:sz w:val="17"/>
              </w:rPr>
              <w:t>Dimensão</w:t>
            </w:r>
          </w:p>
        </w:tc>
        <w:tc>
          <w:tcPr>
            <w:tcW w:type="dxa" w:w="1905"/>
            <w:vAlign w:val="top"/>
            <w:tcMar>
              <w:top w:w="80" w:type="dxa"/>
              <w:start w:w="100" w:type="dxa"/>
              <w:bottom w:w="80" w:type="dxa"/>
              <w:end w:w="100" w:type="dxa"/>
            </w:tcMar>
            <w:shd w:fill="28465C"/>
          </w:tcPr>
          <w:p>
            <w:r>
              <w:rPr>
                <w:b/>
                <w:color w:val="FFFFFF"/>
                <w:sz w:val="17"/>
              </w:rPr>
              <w:t>I1 — Baixo</w:t>
            </w:r>
          </w:p>
        </w:tc>
        <w:tc>
          <w:tcPr>
            <w:tcW w:type="dxa" w:w="1905"/>
            <w:vAlign w:val="top"/>
            <w:tcMar>
              <w:top w:w="80" w:type="dxa"/>
              <w:start w:w="100" w:type="dxa"/>
              <w:bottom w:w="80" w:type="dxa"/>
              <w:end w:w="100" w:type="dxa"/>
            </w:tcMar>
            <w:shd w:fill="28465C"/>
          </w:tcPr>
          <w:p>
            <w:r>
              <w:rPr>
                <w:b/>
                <w:color w:val="FFFFFF"/>
                <w:sz w:val="17"/>
              </w:rPr>
              <w:t>I2 — Moderado</w:t>
            </w:r>
          </w:p>
        </w:tc>
        <w:tc>
          <w:tcPr>
            <w:tcW w:type="dxa" w:w="1905"/>
            <w:vAlign w:val="top"/>
            <w:tcMar>
              <w:top w:w="80" w:type="dxa"/>
              <w:start w:w="100" w:type="dxa"/>
              <w:bottom w:w="80" w:type="dxa"/>
              <w:end w:w="100" w:type="dxa"/>
            </w:tcMar>
            <w:shd w:fill="28465C"/>
          </w:tcPr>
          <w:p>
            <w:r>
              <w:rPr>
                <w:b/>
                <w:color w:val="FFFFFF"/>
                <w:sz w:val="17"/>
              </w:rPr>
              <w:t>I3 — Alto</w:t>
            </w:r>
          </w:p>
        </w:tc>
        <w:tc>
          <w:tcPr>
            <w:tcW w:type="dxa" w:w="1905"/>
            <w:vAlign w:val="top"/>
            <w:tcMar>
              <w:top w:w="80" w:type="dxa"/>
              <w:start w:w="100" w:type="dxa"/>
              <w:bottom w:w="80" w:type="dxa"/>
              <w:end w:w="100" w:type="dxa"/>
            </w:tcMar>
            <w:shd w:fill="28465C"/>
          </w:tcPr>
          <w:p>
            <w:r>
              <w:rPr>
                <w:b/>
                <w:color w:val="FFFFFF"/>
                <w:sz w:val="17"/>
              </w:rPr>
              <w:t>I4 — Crítico</w:t>
            </w:r>
          </w:p>
        </w:tc>
      </w:tr>
      <w:tr>
        <w:tc>
          <w:tcPr>
            <w:tcW w:type="dxa" w:w="1905"/>
            <w:vAlign w:val="top"/>
            <w:tcMar>
              <w:top w:w="80" w:type="dxa"/>
              <w:start w:w="100" w:type="dxa"/>
              <w:bottom w:w="80" w:type="dxa"/>
              <w:end w:w="100" w:type="dxa"/>
            </w:tcMar>
          </w:tcPr>
          <w:p>
            <w:r>
              <w:rPr>
                <w:b w:val="0"/>
                <w:sz w:val="17"/>
              </w:rPr>
              <w:t>Dados e privacidade</w:t>
            </w:r>
          </w:p>
        </w:tc>
        <w:tc>
          <w:tcPr>
            <w:tcW w:type="dxa" w:w="1905"/>
            <w:vAlign w:val="top"/>
            <w:tcMar>
              <w:top w:w="80" w:type="dxa"/>
              <w:start w:w="100" w:type="dxa"/>
              <w:bottom w:w="80" w:type="dxa"/>
              <w:end w:w="100" w:type="dxa"/>
            </w:tcMar>
          </w:tcPr>
          <w:p>
            <w:r>
              <w:rPr>
                <w:b w:val="0"/>
                <w:sz w:val="17"/>
              </w:rPr>
              <w:t>Sem dados sensíveis.</w:t>
            </w:r>
          </w:p>
        </w:tc>
        <w:tc>
          <w:tcPr>
            <w:tcW w:type="dxa" w:w="1905"/>
            <w:vAlign w:val="top"/>
            <w:tcMar>
              <w:top w:w="80" w:type="dxa"/>
              <w:start w:w="100" w:type="dxa"/>
              <w:bottom w:w="80" w:type="dxa"/>
              <w:end w:w="100" w:type="dxa"/>
            </w:tcMar>
          </w:tcPr>
          <w:p>
            <w:r>
              <w:rPr>
                <w:b w:val="0"/>
                <w:sz w:val="17"/>
              </w:rPr>
              <w:t>Dados internos de baixa criticidade.</w:t>
            </w:r>
          </w:p>
        </w:tc>
        <w:tc>
          <w:tcPr>
            <w:tcW w:type="dxa" w:w="1905"/>
            <w:vAlign w:val="top"/>
            <w:tcMar>
              <w:top w:w="80" w:type="dxa"/>
              <w:start w:w="100" w:type="dxa"/>
              <w:bottom w:w="80" w:type="dxa"/>
              <w:end w:w="100" w:type="dxa"/>
            </w:tcMar>
          </w:tcPr>
          <w:p>
            <w:r>
              <w:rPr>
                <w:b w:val="0"/>
                <w:sz w:val="17"/>
              </w:rPr>
              <w:t>Dados pessoais, confidenciais ou restritos.</w:t>
            </w:r>
          </w:p>
        </w:tc>
        <w:tc>
          <w:tcPr>
            <w:tcW w:type="dxa" w:w="1905"/>
            <w:vAlign w:val="top"/>
            <w:tcMar>
              <w:top w:w="80" w:type="dxa"/>
              <w:start w:w="100" w:type="dxa"/>
              <w:bottom w:w="80" w:type="dxa"/>
              <w:end w:w="100" w:type="dxa"/>
            </w:tcMar>
          </w:tcPr>
          <w:p>
            <w:r>
              <w:rPr>
                <w:b w:val="0"/>
                <w:sz w:val="17"/>
              </w:rPr>
              <w:t>Dados bancários, pagamento, credenciais, segredos críticos ou exposição material de cliente.</w:t>
            </w:r>
          </w:p>
        </w:tc>
      </w:tr>
      <w:tr>
        <w:tc>
          <w:tcPr>
            <w:tcW w:type="dxa" w:w="1905"/>
            <w:vAlign w:val="top"/>
            <w:tcMar>
              <w:top w:w="80" w:type="dxa"/>
              <w:start w:w="100" w:type="dxa"/>
              <w:bottom w:w="80" w:type="dxa"/>
              <w:end w:w="100" w:type="dxa"/>
            </w:tcMar>
            <w:shd w:fill="F7F9FA"/>
          </w:tcPr>
          <w:p>
            <w:r>
              <w:rPr>
                <w:b w:val="0"/>
                <w:sz w:val="17"/>
              </w:rPr>
              <w:t>Cliente, financeiro e regulatório</w:t>
            </w:r>
          </w:p>
        </w:tc>
        <w:tc>
          <w:tcPr>
            <w:tcW w:type="dxa" w:w="1905"/>
            <w:vAlign w:val="top"/>
            <w:tcMar>
              <w:top w:w="80" w:type="dxa"/>
              <w:start w:w="100" w:type="dxa"/>
              <w:bottom w:w="80" w:type="dxa"/>
              <w:end w:w="100" w:type="dxa"/>
            </w:tcMar>
            <w:shd w:fill="F7F9FA"/>
          </w:tcPr>
          <w:p>
            <w:r>
              <w:rPr>
                <w:b w:val="0"/>
                <w:sz w:val="17"/>
              </w:rPr>
              <w:t>Sem cliente ou obrigação material.</w:t>
            </w:r>
          </w:p>
        </w:tc>
        <w:tc>
          <w:tcPr>
            <w:tcW w:type="dxa" w:w="1905"/>
            <w:vAlign w:val="top"/>
            <w:tcMar>
              <w:top w:w="80" w:type="dxa"/>
              <w:start w:w="100" w:type="dxa"/>
              <w:bottom w:w="80" w:type="dxa"/>
              <w:end w:w="100" w:type="dxa"/>
            </w:tcMar>
            <w:shd w:fill="F7F9FA"/>
          </w:tcPr>
          <w:p>
            <w:r>
              <w:rPr>
                <w:b w:val="0"/>
                <w:sz w:val="17"/>
              </w:rPr>
              <w:t>Retrabalho ou custo limitado.</w:t>
            </w:r>
          </w:p>
        </w:tc>
        <w:tc>
          <w:tcPr>
            <w:tcW w:type="dxa" w:w="1905"/>
            <w:vAlign w:val="top"/>
            <w:tcMar>
              <w:top w:w="80" w:type="dxa"/>
              <w:start w:w="100" w:type="dxa"/>
              <w:bottom w:w="80" w:type="dxa"/>
              <w:end w:w="100" w:type="dxa"/>
            </w:tcMar>
            <w:shd w:fill="F7F9FA"/>
          </w:tcPr>
          <w:p>
            <w:r>
              <w:rPr>
                <w:b w:val="0"/>
                <w:sz w:val="17"/>
              </w:rPr>
              <w:t>Perda relevante, impacto limitado a clientes ou possível descumprimento.</w:t>
            </w:r>
          </w:p>
        </w:tc>
        <w:tc>
          <w:tcPr>
            <w:tcW w:type="dxa" w:w="1905"/>
            <w:vAlign w:val="top"/>
            <w:tcMar>
              <w:top w:w="80" w:type="dxa"/>
              <w:start w:w="100" w:type="dxa"/>
              <w:bottom w:w="80" w:type="dxa"/>
              <w:end w:w="100" w:type="dxa"/>
            </w:tcMar>
            <w:shd w:fill="F7F9FA"/>
          </w:tcPr>
          <w:p>
            <w:r>
              <w:rPr>
                <w:b w:val="0"/>
                <w:sz w:val="17"/>
              </w:rPr>
              <w:t>Fraude, crédito, pagamento, direito de cliente, sanção ou perda material.</w:t>
            </w:r>
          </w:p>
        </w:tc>
      </w:tr>
      <w:tr>
        <w:tc>
          <w:tcPr>
            <w:tcW w:type="dxa" w:w="1905"/>
            <w:vAlign w:val="top"/>
            <w:tcMar>
              <w:top w:w="80" w:type="dxa"/>
              <w:start w:w="100" w:type="dxa"/>
              <w:bottom w:w="80" w:type="dxa"/>
              <w:end w:w="100" w:type="dxa"/>
            </w:tcMar>
          </w:tcPr>
          <w:p>
            <w:r>
              <w:rPr>
                <w:b w:val="0"/>
                <w:sz w:val="17"/>
              </w:rPr>
              <w:t>Operação e continuidade</w:t>
            </w:r>
          </w:p>
        </w:tc>
        <w:tc>
          <w:tcPr>
            <w:tcW w:type="dxa" w:w="1905"/>
            <w:vAlign w:val="top"/>
            <w:tcMar>
              <w:top w:w="80" w:type="dxa"/>
              <w:start w:w="100" w:type="dxa"/>
              <w:bottom w:w="80" w:type="dxa"/>
              <w:end w:w="100" w:type="dxa"/>
            </w:tcMar>
          </w:tcPr>
          <w:p>
            <w:r>
              <w:rPr>
                <w:b w:val="0"/>
                <w:sz w:val="17"/>
              </w:rPr>
              <w:t>Interrupção irrelevante.</w:t>
            </w:r>
          </w:p>
        </w:tc>
        <w:tc>
          <w:tcPr>
            <w:tcW w:type="dxa" w:w="1905"/>
            <w:vAlign w:val="top"/>
            <w:tcMar>
              <w:top w:w="80" w:type="dxa"/>
              <w:start w:w="100" w:type="dxa"/>
              <w:bottom w:w="80" w:type="dxa"/>
              <w:end w:w="100" w:type="dxa"/>
            </w:tcMar>
          </w:tcPr>
          <w:p>
            <w:r>
              <w:rPr>
                <w:b w:val="0"/>
                <w:sz w:val="17"/>
              </w:rPr>
              <w:t>Indisponibilidade limitada e reversível.</w:t>
            </w:r>
          </w:p>
        </w:tc>
        <w:tc>
          <w:tcPr>
            <w:tcW w:type="dxa" w:w="1905"/>
            <w:vAlign w:val="top"/>
            <w:tcMar>
              <w:top w:w="80" w:type="dxa"/>
              <w:start w:w="100" w:type="dxa"/>
              <w:bottom w:w="80" w:type="dxa"/>
              <w:end w:w="100" w:type="dxa"/>
            </w:tcMar>
          </w:tcPr>
          <w:p>
            <w:r>
              <w:rPr>
                <w:b w:val="0"/>
                <w:sz w:val="17"/>
              </w:rPr>
              <w:t>Impacto em serviço ou processo relevante.</w:t>
            </w:r>
          </w:p>
        </w:tc>
        <w:tc>
          <w:tcPr>
            <w:tcW w:type="dxa" w:w="1905"/>
            <w:vAlign w:val="top"/>
            <w:tcMar>
              <w:top w:w="80" w:type="dxa"/>
              <w:start w:w="100" w:type="dxa"/>
              <w:bottom w:w="80" w:type="dxa"/>
              <w:end w:w="100" w:type="dxa"/>
            </w:tcMar>
          </w:tcPr>
          <w:p>
            <w:r>
              <w:rPr>
                <w:b w:val="0"/>
                <w:sz w:val="17"/>
              </w:rPr>
              <w:t>Canal, sistema core, processo crítico ou dependência sem alternativa viável.</w:t>
            </w:r>
          </w:p>
        </w:tc>
      </w:tr>
      <w:tr>
        <w:tc>
          <w:tcPr>
            <w:tcW w:type="dxa" w:w="1905"/>
            <w:vAlign w:val="top"/>
            <w:tcMar>
              <w:top w:w="80" w:type="dxa"/>
              <w:start w:w="100" w:type="dxa"/>
              <w:bottom w:w="80" w:type="dxa"/>
              <w:end w:w="100" w:type="dxa"/>
            </w:tcMar>
            <w:shd w:fill="F7F9FA"/>
          </w:tcPr>
          <w:p>
            <w:r>
              <w:rPr>
                <w:b w:val="0"/>
                <w:sz w:val="17"/>
              </w:rPr>
              <w:t>Segurança e autonomia</w:t>
            </w:r>
          </w:p>
        </w:tc>
        <w:tc>
          <w:tcPr>
            <w:tcW w:type="dxa" w:w="1905"/>
            <w:vAlign w:val="top"/>
            <w:tcMar>
              <w:top w:w="80" w:type="dxa"/>
              <w:start w:w="100" w:type="dxa"/>
              <w:bottom w:w="80" w:type="dxa"/>
              <w:end w:w="100" w:type="dxa"/>
            </w:tcMar>
            <w:shd w:fill="F7F9FA"/>
          </w:tcPr>
          <w:p>
            <w:r>
              <w:rPr>
                <w:b w:val="0"/>
                <w:sz w:val="17"/>
              </w:rPr>
              <w:t>Sem privilégio ou ação.</w:t>
            </w:r>
          </w:p>
        </w:tc>
        <w:tc>
          <w:tcPr>
            <w:tcW w:type="dxa" w:w="1905"/>
            <w:vAlign w:val="top"/>
            <w:tcMar>
              <w:top w:w="80" w:type="dxa"/>
              <w:start w:w="100" w:type="dxa"/>
              <w:bottom w:w="80" w:type="dxa"/>
              <w:end w:w="100" w:type="dxa"/>
            </w:tcMar>
            <w:shd w:fill="F7F9FA"/>
          </w:tcPr>
          <w:p>
            <w:r>
              <w:rPr>
                <w:b w:val="0"/>
                <w:sz w:val="17"/>
              </w:rPr>
              <w:t>Acesso restrito e reversível.</w:t>
            </w:r>
          </w:p>
        </w:tc>
        <w:tc>
          <w:tcPr>
            <w:tcW w:type="dxa" w:w="1905"/>
            <w:vAlign w:val="top"/>
            <w:tcMar>
              <w:top w:w="80" w:type="dxa"/>
              <w:start w:w="100" w:type="dxa"/>
              <w:bottom w:w="80" w:type="dxa"/>
              <w:end w:w="100" w:type="dxa"/>
            </w:tcMar>
            <w:shd w:fill="F7F9FA"/>
          </w:tcPr>
          <w:p>
            <w:r>
              <w:rPr>
                <w:b w:val="0"/>
                <w:sz w:val="17"/>
              </w:rPr>
              <w:t>Integração relevante, escrita controlada ou privilégio material.</w:t>
            </w:r>
          </w:p>
        </w:tc>
        <w:tc>
          <w:tcPr>
            <w:tcW w:type="dxa" w:w="1905"/>
            <w:vAlign w:val="top"/>
            <w:tcMar>
              <w:top w:w="80" w:type="dxa"/>
              <w:start w:w="100" w:type="dxa"/>
              <w:bottom w:w="80" w:type="dxa"/>
              <w:end w:w="100" w:type="dxa"/>
            </w:tcMar>
            <w:shd w:fill="F7F9FA"/>
          </w:tcPr>
          <w:p>
            <w:r>
              <w:rPr>
                <w:b w:val="0"/>
                <w:sz w:val="17"/>
              </w:rPr>
              <w:t>Execução crítica, acesso privilegiado, ação irreversível ou autonomia elevada.</w:t>
            </w:r>
          </w:p>
        </w:tc>
      </w:tr>
    </w:tbl>
    <w:p>
      <w:pPr>
        <w:spacing w:after="20"/>
      </w:pPr>
    </w:p>
    <w:p>
      <w:r>
        <w:rPr>
          <w:b w:val="0"/>
        </w:rPr>
        <w:t>A classificação oficial é o maior impacto identificado:</w:t>
      </w:r>
    </w:p>
    <w:tbl>
      <w:tblPr>
        <w:tblW w:type="auto" w:w="0"/>
        <w:jc w:val="left"/>
        <w:tblLook w:firstColumn="1" w:firstRow="1" w:lastColumn="0" w:lastRow="0" w:noHBand="0" w:noVBand="1" w:val="04A0"/>
      </w:tblPr>
      <w:tblGrid>
        <w:gridCol w:w="9524"/>
      </w:tblGrid>
      <w:tr>
        <w:tc>
          <w:tcPr>
            <w:tcW w:type="dxa" w:w="9524"/>
            <w:shd w:fill="EEF3F6"/>
            <w:tcMar>
              <w:top w:w="120" w:type="dxa"/>
              <w:start w:w="140" w:type="dxa"/>
              <w:bottom w:w="120" w:type="dxa"/>
              <w:end w:w="140" w:type="dxa"/>
            </w:tcMar>
          </w:tcPr>
          <w:p>
            <w:r>
              <w:rPr>
                <w:rFonts w:ascii="Consolas" w:hAnsi="Consolas"/>
                <w:color w:val="182939"/>
                <w:sz w:val="17"/>
              </w:rPr>
              <w:t>Impacto do cenário = máximo das quatro dimensões</w:t>
            </w:r>
          </w:p>
        </w:tc>
      </w:tr>
    </w:tbl>
    <w:p>
      <w:r>
        <w:rPr>
          <w:b w:val="0"/>
        </w:rPr>
        <w:t>A justificativa deve registrar qual dimensão determinou o resultado.</w:t>
      </w:r>
    </w:p>
    <w:p>
      <w:pPr>
        <w:pStyle w:val="Heading1"/>
        <w:pageBreakBefore/>
      </w:pPr>
      <w:r>
        <w:rPr>
          <w:b w:val="0"/>
        </w:rPr>
        <w:t>9. Cálculo da probabilidade</w:t>
      </w:r>
    </w:p>
    <w:p>
      <w:r>
        <w:rPr>
          <w:b w:val="0"/>
        </w:rPr>
        <w:t xml:space="preserve">A probabilidade inerente utiliza cinco fatores objetivos. Cada resposta </w:t>
      </w:r>
      <w:r>
        <w:rPr>
          <w:b/>
        </w:rPr>
        <w:t>Sim</w:t>
      </w:r>
      <w:r>
        <w:rPr>
          <w:b w:val="0"/>
        </w:rPr>
        <w:t xml:space="preserve"> vale um ponto.</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4762"/>
            <w:vAlign w:val="top"/>
            <w:tcMar>
              <w:top w:w="80" w:type="dxa"/>
              <w:start w:w="100" w:type="dxa"/>
              <w:bottom w:w="80" w:type="dxa"/>
              <w:end w:w="100" w:type="dxa"/>
            </w:tcMar>
            <w:shd w:fill="28465C"/>
          </w:tcPr>
          <w:p>
            <w:r>
              <w:rPr>
                <w:b/>
                <w:color w:val="FFFFFF"/>
                <w:sz w:val="18"/>
              </w:rPr>
              <w:t>ID</w:t>
            </w:r>
          </w:p>
        </w:tc>
        <w:tc>
          <w:tcPr>
            <w:tcW w:type="dxa" w:w="4762"/>
            <w:vAlign w:val="top"/>
            <w:tcMar>
              <w:top w:w="80" w:type="dxa"/>
              <w:start w:w="100" w:type="dxa"/>
              <w:bottom w:w="80" w:type="dxa"/>
              <w:end w:w="100" w:type="dxa"/>
            </w:tcMar>
            <w:shd w:fill="28465C"/>
          </w:tcPr>
          <w:p>
            <w:r>
              <w:rPr>
                <w:b/>
                <w:color w:val="FFFFFF"/>
                <w:sz w:val="18"/>
              </w:rPr>
              <w:t>Fator</w:t>
            </w:r>
          </w:p>
        </w:tc>
      </w:tr>
      <w:tr>
        <w:tc>
          <w:tcPr>
            <w:tcW w:type="dxa" w:w="4762"/>
            <w:vAlign w:val="top"/>
            <w:tcMar>
              <w:top w:w="80" w:type="dxa"/>
              <w:start w:w="100" w:type="dxa"/>
              <w:bottom w:w="80" w:type="dxa"/>
              <w:end w:w="100" w:type="dxa"/>
            </w:tcMar>
          </w:tcPr>
          <w:p>
            <w:r>
              <w:rPr>
                <w:b w:val="0"/>
                <w:sz w:val="18"/>
              </w:rPr>
              <w:t>F1</w:t>
            </w:r>
          </w:p>
        </w:tc>
        <w:tc>
          <w:tcPr>
            <w:tcW w:type="dxa" w:w="4762"/>
            <w:vAlign w:val="top"/>
            <w:tcMar>
              <w:top w:w="80" w:type="dxa"/>
              <w:start w:w="100" w:type="dxa"/>
              <w:bottom w:w="80" w:type="dxa"/>
              <w:end w:w="100" w:type="dxa"/>
            </w:tcMar>
          </w:tcPr>
          <w:p>
            <w:r>
              <w:rPr>
                <w:b w:val="0"/>
                <w:sz w:val="18"/>
              </w:rPr>
              <w:t>A solução recebe conteúdo, arquivos, comandos ou dados não confiáveis?</w:t>
            </w:r>
          </w:p>
        </w:tc>
      </w:tr>
      <w:tr>
        <w:tc>
          <w:tcPr>
            <w:tcW w:type="dxa" w:w="4762"/>
            <w:vAlign w:val="top"/>
            <w:tcMar>
              <w:top w:w="80" w:type="dxa"/>
              <w:start w:w="100" w:type="dxa"/>
              <w:bottom w:w="80" w:type="dxa"/>
              <w:end w:w="100" w:type="dxa"/>
            </w:tcMar>
            <w:shd w:fill="F7F9FA"/>
          </w:tcPr>
          <w:p>
            <w:r>
              <w:rPr>
                <w:b w:val="0"/>
                <w:sz w:val="18"/>
              </w:rPr>
              <w:t>F2</w:t>
            </w:r>
          </w:p>
        </w:tc>
        <w:tc>
          <w:tcPr>
            <w:tcW w:type="dxa" w:w="4762"/>
            <w:vAlign w:val="top"/>
            <w:tcMar>
              <w:top w:w="80" w:type="dxa"/>
              <w:start w:w="100" w:type="dxa"/>
              <w:bottom w:w="80" w:type="dxa"/>
              <w:end w:w="100" w:type="dxa"/>
            </w:tcMar>
            <w:shd w:fill="F7F9FA"/>
          </w:tcPr>
          <w:p>
            <w:r>
              <w:rPr>
                <w:b w:val="0"/>
                <w:sz w:val="18"/>
              </w:rPr>
              <w:t>Está exposta externamente, a clientes, parceiros ou a grande quantidade de usuários?</w:t>
            </w:r>
          </w:p>
        </w:tc>
      </w:tr>
      <w:tr>
        <w:tc>
          <w:tcPr>
            <w:tcW w:type="dxa" w:w="4762"/>
            <w:vAlign w:val="top"/>
            <w:tcMar>
              <w:top w:w="80" w:type="dxa"/>
              <w:start w:w="100" w:type="dxa"/>
              <w:bottom w:w="80" w:type="dxa"/>
              <w:end w:w="100" w:type="dxa"/>
            </w:tcMar>
          </w:tcPr>
          <w:p>
            <w:r>
              <w:rPr>
                <w:b w:val="0"/>
                <w:sz w:val="18"/>
              </w:rPr>
              <w:t>F3</w:t>
            </w:r>
          </w:p>
        </w:tc>
        <w:tc>
          <w:tcPr>
            <w:tcW w:type="dxa" w:w="4762"/>
            <w:vAlign w:val="top"/>
            <w:tcMar>
              <w:top w:w="80" w:type="dxa"/>
              <w:start w:w="100" w:type="dxa"/>
              <w:bottom w:w="80" w:type="dxa"/>
              <w:end w:w="100" w:type="dxa"/>
            </w:tcMar>
          </w:tcPr>
          <w:p>
            <w:r>
              <w:rPr>
                <w:b w:val="0"/>
                <w:sz w:val="18"/>
              </w:rPr>
              <w:t>Utiliza RAG, agentes, tools, MCP, integrações dinâmicas ou modelos alteráveis?</w:t>
            </w:r>
          </w:p>
        </w:tc>
      </w:tr>
      <w:tr>
        <w:tc>
          <w:tcPr>
            <w:tcW w:type="dxa" w:w="4762"/>
            <w:vAlign w:val="top"/>
            <w:tcMar>
              <w:top w:w="80" w:type="dxa"/>
              <w:start w:w="100" w:type="dxa"/>
              <w:bottom w:w="80" w:type="dxa"/>
              <w:end w:w="100" w:type="dxa"/>
            </w:tcMar>
            <w:shd w:fill="F7F9FA"/>
          </w:tcPr>
          <w:p>
            <w:r>
              <w:rPr>
                <w:b w:val="0"/>
                <w:sz w:val="18"/>
              </w:rPr>
              <w:t>F4</w:t>
            </w:r>
          </w:p>
        </w:tc>
        <w:tc>
          <w:tcPr>
            <w:tcW w:type="dxa" w:w="4762"/>
            <w:vAlign w:val="top"/>
            <w:tcMar>
              <w:top w:w="80" w:type="dxa"/>
              <w:start w:w="100" w:type="dxa"/>
              <w:bottom w:w="80" w:type="dxa"/>
              <w:end w:w="100" w:type="dxa"/>
            </w:tcMar>
            <w:shd w:fill="F7F9FA"/>
          </w:tcPr>
          <w:p>
            <w:r>
              <w:rPr>
                <w:b w:val="0"/>
                <w:sz w:val="18"/>
              </w:rPr>
              <w:t>Executa ações, decisões, escrita em sistemas ou acessa dados e privilégios relevantes?</w:t>
            </w:r>
          </w:p>
        </w:tc>
      </w:tr>
      <w:tr>
        <w:tc>
          <w:tcPr>
            <w:tcW w:type="dxa" w:w="4762"/>
            <w:vAlign w:val="top"/>
            <w:tcMar>
              <w:top w:w="80" w:type="dxa"/>
              <w:start w:w="100" w:type="dxa"/>
              <w:bottom w:w="80" w:type="dxa"/>
              <w:end w:w="100" w:type="dxa"/>
            </w:tcMar>
          </w:tcPr>
          <w:p>
            <w:r>
              <w:rPr>
                <w:b w:val="0"/>
                <w:sz w:val="18"/>
              </w:rPr>
              <w:t>F5</w:t>
            </w:r>
          </w:p>
        </w:tc>
        <w:tc>
          <w:tcPr>
            <w:tcW w:type="dxa" w:w="4762"/>
            <w:vAlign w:val="top"/>
            <w:tcMar>
              <w:top w:w="80" w:type="dxa"/>
              <w:start w:w="100" w:type="dxa"/>
              <w:bottom w:w="80" w:type="dxa"/>
              <w:end w:w="100" w:type="dxa"/>
            </w:tcMar>
          </w:tcPr>
          <w:p>
            <w:r>
              <w:rPr>
                <w:b w:val="0"/>
                <w:sz w:val="18"/>
              </w:rPr>
              <w:t>Existe dependência de terceiro com transparência limitada, evidência insuficiente ou mudanças fora do controle da organização?</w:t>
            </w:r>
          </w:p>
        </w:tc>
      </w:tr>
    </w:tbl>
    <w:p>
      <w:pPr>
        <w:spacing w:after="20"/>
      </w:pP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4762"/>
            <w:vAlign w:val="top"/>
            <w:tcMar>
              <w:top w:w="80" w:type="dxa"/>
              <w:start w:w="100" w:type="dxa"/>
              <w:bottom w:w="80" w:type="dxa"/>
              <w:end w:w="100" w:type="dxa"/>
            </w:tcMar>
            <w:shd w:fill="28465C"/>
          </w:tcPr>
          <w:p>
            <w:r>
              <w:rPr>
                <w:b/>
                <w:color w:val="FFFFFF"/>
                <w:sz w:val="18"/>
              </w:rPr>
              <w:t>Pontos</w:t>
            </w:r>
          </w:p>
        </w:tc>
        <w:tc>
          <w:tcPr>
            <w:tcW w:type="dxa" w:w="4762"/>
            <w:vAlign w:val="top"/>
            <w:tcMar>
              <w:top w:w="80" w:type="dxa"/>
              <w:start w:w="100" w:type="dxa"/>
              <w:bottom w:w="80" w:type="dxa"/>
              <w:end w:w="100" w:type="dxa"/>
            </w:tcMar>
            <w:shd w:fill="28465C"/>
          </w:tcPr>
          <w:p>
            <w:r>
              <w:rPr>
                <w:b/>
                <w:color w:val="FFFFFF"/>
                <w:sz w:val="18"/>
              </w:rPr>
              <w:t>Probabilidade</w:t>
            </w:r>
          </w:p>
        </w:tc>
      </w:tr>
      <w:tr>
        <w:tc>
          <w:tcPr>
            <w:tcW w:type="dxa" w:w="4762"/>
            <w:vAlign w:val="top"/>
            <w:tcMar>
              <w:top w:w="80" w:type="dxa"/>
              <w:start w:w="100" w:type="dxa"/>
              <w:bottom w:w="80" w:type="dxa"/>
              <w:end w:w="100" w:type="dxa"/>
            </w:tcMar>
          </w:tcPr>
          <w:p>
            <w:r>
              <w:rPr>
                <w:b w:val="0"/>
                <w:sz w:val="18"/>
              </w:rPr>
              <w:t>0</w:t>
            </w:r>
          </w:p>
        </w:tc>
        <w:tc>
          <w:tcPr>
            <w:tcW w:type="dxa" w:w="4762"/>
            <w:vAlign w:val="top"/>
            <w:tcMar>
              <w:top w:w="80" w:type="dxa"/>
              <w:start w:w="100" w:type="dxa"/>
              <w:bottom w:w="80" w:type="dxa"/>
              <w:end w:w="100" w:type="dxa"/>
            </w:tcMar>
          </w:tcPr>
          <w:p>
            <w:r>
              <w:rPr>
                <w:b w:val="0"/>
                <w:sz w:val="18"/>
              </w:rPr>
              <w:t>P1 — Baixa</w:t>
            </w:r>
          </w:p>
        </w:tc>
      </w:tr>
      <w:tr>
        <w:tc>
          <w:tcPr>
            <w:tcW w:type="dxa" w:w="4762"/>
            <w:vAlign w:val="top"/>
            <w:tcMar>
              <w:top w:w="80" w:type="dxa"/>
              <w:start w:w="100" w:type="dxa"/>
              <w:bottom w:w="80" w:type="dxa"/>
              <w:end w:w="100" w:type="dxa"/>
            </w:tcMar>
            <w:shd w:fill="F7F9FA"/>
          </w:tcPr>
          <w:p>
            <w:r>
              <w:rPr>
                <w:b w:val="0"/>
                <w:sz w:val="18"/>
              </w:rPr>
              <w:t>1</w:t>
            </w:r>
          </w:p>
        </w:tc>
        <w:tc>
          <w:tcPr>
            <w:tcW w:type="dxa" w:w="4762"/>
            <w:vAlign w:val="top"/>
            <w:tcMar>
              <w:top w:w="80" w:type="dxa"/>
              <w:start w:w="100" w:type="dxa"/>
              <w:bottom w:w="80" w:type="dxa"/>
              <w:end w:w="100" w:type="dxa"/>
            </w:tcMar>
            <w:shd w:fill="F7F9FA"/>
          </w:tcPr>
          <w:p>
            <w:r>
              <w:rPr>
                <w:b w:val="0"/>
                <w:sz w:val="18"/>
              </w:rPr>
              <w:t>P2 — Moderada</w:t>
            </w:r>
          </w:p>
        </w:tc>
      </w:tr>
      <w:tr>
        <w:tc>
          <w:tcPr>
            <w:tcW w:type="dxa" w:w="4762"/>
            <w:vAlign w:val="top"/>
            <w:tcMar>
              <w:top w:w="80" w:type="dxa"/>
              <w:start w:w="100" w:type="dxa"/>
              <w:bottom w:w="80" w:type="dxa"/>
              <w:end w:w="100" w:type="dxa"/>
            </w:tcMar>
          </w:tcPr>
          <w:p>
            <w:r>
              <w:rPr>
                <w:b w:val="0"/>
                <w:sz w:val="18"/>
              </w:rPr>
              <w:t>2 ou 3</w:t>
            </w:r>
          </w:p>
        </w:tc>
        <w:tc>
          <w:tcPr>
            <w:tcW w:type="dxa" w:w="4762"/>
            <w:vAlign w:val="top"/>
            <w:tcMar>
              <w:top w:w="80" w:type="dxa"/>
              <w:start w:w="100" w:type="dxa"/>
              <w:bottom w:w="80" w:type="dxa"/>
              <w:end w:w="100" w:type="dxa"/>
            </w:tcMar>
          </w:tcPr>
          <w:p>
            <w:r>
              <w:rPr>
                <w:b w:val="0"/>
                <w:sz w:val="18"/>
              </w:rPr>
              <w:t>P3 — Alta</w:t>
            </w:r>
          </w:p>
        </w:tc>
      </w:tr>
      <w:tr>
        <w:tc>
          <w:tcPr>
            <w:tcW w:type="dxa" w:w="4762"/>
            <w:vAlign w:val="top"/>
            <w:tcMar>
              <w:top w:w="80" w:type="dxa"/>
              <w:start w:w="100" w:type="dxa"/>
              <w:bottom w:w="80" w:type="dxa"/>
              <w:end w:w="100" w:type="dxa"/>
            </w:tcMar>
            <w:shd w:fill="F7F9FA"/>
          </w:tcPr>
          <w:p>
            <w:r>
              <w:rPr>
                <w:b w:val="0"/>
                <w:sz w:val="18"/>
              </w:rPr>
              <w:t>4 ou 5</w:t>
            </w:r>
          </w:p>
        </w:tc>
        <w:tc>
          <w:tcPr>
            <w:tcW w:type="dxa" w:w="4762"/>
            <w:vAlign w:val="top"/>
            <w:tcMar>
              <w:top w:w="80" w:type="dxa"/>
              <w:start w:w="100" w:type="dxa"/>
              <w:bottom w:w="80" w:type="dxa"/>
              <w:end w:w="100" w:type="dxa"/>
            </w:tcMar>
            <w:shd w:fill="F7F9FA"/>
          </w:tcPr>
          <w:p>
            <w:r>
              <w:rPr>
                <w:b w:val="0"/>
                <w:sz w:val="18"/>
              </w:rPr>
              <w:t>P4 — Muito alta</w:t>
            </w:r>
          </w:p>
        </w:tc>
      </w:tr>
    </w:tbl>
    <w:p>
      <w:pPr>
        <w:spacing w:after="20"/>
      </w:pPr>
    </w:p>
    <w:p>
      <w:pPr>
        <w:pStyle w:val="Heading2"/>
      </w:pPr>
      <w:r>
        <w:rPr>
          <w:b w:val="0"/>
        </w:rPr>
        <w:t>9.1 Pisos obrigatórios</w:t>
      </w:r>
    </w:p>
    <w:p>
      <w:r>
        <w:rPr>
          <w:b w:val="0"/>
        </w:rPr>
        <w:t>A probabilidade não pode ser inferior a P3 quando existir qualquer uma das condições abaixo:</w:t>
      </w:r>
    </w:p>
    <w:p>
      <w:pPr>
        <w:pStyle w:val="ListBullet"/>
      </w:pPr>
      <w:r>
        <w:rPr>
          <w:b w:val="0"/>
        </w:rPr>
        <w:t>aplicação ou API pública;</w:t>
      </w:r>
    </w:p>
    <w:p>
      <w:pPr>
        <w:pStyle w:val="ListBullet"/>
      </w:pPr>
      <w:r>
        <w:rPr>
          <w:b w:val="0"/>
        </w:rPr>
        <w:t>agente com escrita, transação ou ação material;</w:t>
      </w:r>
    </w:p>
    <w:p>
      <w:pPr>
        <w:pStyle w:val="ListBullet"/>
      </w:pPr>
      <w:r>
        <w:rPr>
          <w:b w:val="0"/>
        </w:rPr>
        <w:t>conteúdo da Internet alimentando RAG ou memória;</w:t>
      </w:r>
    </w:p>
    <w:p>
      <w:pPr>
        <w:pStyle w:val="ListBullet"/>
      </w:pPr>
      <w:r>
        <w:rPr>
          <w:b w:val="0"/>
        </w:rPr>
        <w:t>provider, modelo, região ou capacidade não homologada;</w:t>
      </w:r>
    </w:p>
    <w:p>
      <w:pPr>
        <w:pStyle w:val="ListBullet"/>
      </w:pPr>
      <w:r>
        <w:rPr>
          <w:b w:val="0"/>
        </w:rPr>
        <w:t>fornecedor sem evidências mínimas de segurança;</w:t>
      </w:r>
    </w:p>
    <w:p>
      <w:pPr>
        <w:pStyle w:val="ListBullet"/>
      </w:pPr>
      <w:r>
        <w:rPr>
          <w:b w:val="0"/>
        </w:rPr>
        <w:t>IA embarcada que não possa ser desabilitada ou controlada;</w:t>
      </w:r>
    </w:p>
    <w:p>
      <w:pPr>
        <w:pStyle w:val="ListBullet"/>
      </w:pPr>
      <w:r>
        <w:rPr>
          <w:b w:val="0"/>
        </w:rPr>
        <w:t>alteração automática de modelo, provider ou capacidade pelo fornecedor;</w:t>
      </w:r>
    </w:p>
    <w:p>
      <w:pPr>
        <w:pStyle w:val="ListBullet"/>
      </w:pPr>
      <w:r>
        <w:rPr>
          <w:b w:val="0"/>
        </w:rPr>
        <w:t>uso de dados corporativos para treinamento pelo fornecedor sem controle formal;</w:t>
      </w:r>
    </w:p>
    <w:p>
      <w:pPr>
        <w:pStyle w:val="ListBullet"/>
      </w:pPr>
      <w:r>
        <w:rPr>
          <w:b w:val="0"/>
        </w:rPr>
        <w:t>retenção, localização ou subprocessadores desconhecidos para dados relevantes;</w:t>
      </w:r>
    </w:p>
    <w:p>
      <w:pPr>
        <w:pStyle w:val="ListBullet"/>
      </w:pPr>
      <w:r>
        <w:rPr>
          <w:b w:val="0"/>
        </w:rPr>
        <w:t>componente crítico sem fallback, exportação ou plano de saída.</w:t>
      </w:r>
    </w:p>
    <w:tbl>
      <w:tblPr>
        <w:tblW w:type="auto" w:w="0"/>
        <w:jc w:val="left"/>
        <w:tblLook w:firstColumn="1" w:firstRow="1" w:lastColumn="0" w:lastRow="0" w:noHBand="0" w:noVBand="1" w:val="04A0"/>
      </w:tblPr>
      <w:tblGrid>
        <w:gridCol w:w="9524"/>
      </w:tblGrid>
      <w:tr>
        <w:tc>
          <w:tcPr>
            <w:tcW w:type="dxa" w:w="9524"/>
            <w:shd w:fill="EEF3F6"/>
            <w:tcMar>
              <w:top w:w="120" w:type="dxa"/>
              <w:start w:w="140" w:type="dxa"/>
              <w:bottom w:w="120" w:type="dxa"/>
              <w:end w:w="140" w:type="dxa"/>
            </w:tcMar>
          </w:tcPr>
          <w:p>
            <w:r>
              <w:rPr>
                <w:rFonts w:ascii="Consolas" w:hAnsi="Consolas"/>
                <w:color w:val="182939"/>
                <w:sz w:val="17"/>
              </w:rPr>
              <w:t>Probabilidade inerente = maior valor entre a pontuação e os pisos aplicáveis</w:t>
            </w:r>
          </w:p>
        </w:tc>
      </w:tr>
    </w:tbl>
    <w:p>
      <w:pPr>
        <w:pStyle w:val="Heading1"/>
        <w:pageBreakBefore/>
      </w:pPr>
      <w:r>
        <w:rPr>
          <w:b w:val="0"/>
        </w:rPr>
        <w:t>10. Risco inerente</w:t>
      </w:r>
    </w:p>
    <w:p>
      <w:r>
        <w:rPr>
          <w:b w:val="0"/>
        </w:rPr>
        <w:t>O risco inerente é obtido pela combinação do impacto e da probabilidade.</w:t>
      </w:r>
    </w:p>
    <w:tbl>
      <w:tblPr>
        <w:tblStyle w:val="TableGrid"/>
        <w:tblW w:type="auto" w:w="0"/>
        <w:jc w:val="center"/>
        <w:tblLayout w:type="autofit"/>
        <w:tblLook w:firstColumn="1" w:firstRow="1" w:lastColumn="0" w:lastRow="0" w:noHBand="0" w:noVBand="1" w:val="04A0"/>
      </w:tblPr>
      <w:tblGrid>
        <w:gridCol w:w="1905"/>
        <w:gridCol w:w="1905"/>
        <w:gridCol w:w="1905"/>
        <w:gridCol w:w="1905"/>
        <w:gridCol w:w="1905"/>
      </w:tblGrid>
      <w:tr>
        <w:trPr>
          <w:tblHeader w:val="true"/>
        </w:trPr>
        <w:tc>
          <w:tcPr>
            <w:tcW w:type="dxa" w:w="1905"/>
            <w:vAlign w:val="top"/>
            <w:tcMar>
              <w:top w:w="80" w:type="dxa"/>
              <w:start w:w="100" w:type="dxa"/>
              <w:bottom w:w="80" w:type="dxa"/>
              <w:end w:w="100" w:type="dxa"/>
            </w:tcMar>
            <w:shd w:fill="28465C"/>
          </w:tcPr>
          <w:p>
            <w:r>
              <w:rPr>
                <w:b/>
                <w:color w:val="FFFFFF"/>
                <w:sz w:val="17"/>
              </w:rPr>
              <w:t>Impacto \ Probabilidade</w:t>
            </w:r>
          </w:p>
        </w:tc>
        <w:tc>
          <w:tcPr>
            <w:tcW w:type="dxa" w:w="1905"/>
            <w:vAlign w:val="top"/>
            <w:tcMar>
              <w:top w:w="80" w:type="dxa"/>
              <w:start w:w="100" w:type="dxa"/>
              <w:bottom w:w="80" w:type="dxa"/>
              <w:end w:w="100" w:type="dxa"/>
            </w:tcMar>
            <w:shd w:fill="28465C"/>
          </w:tcPr>
          <w:p>
            <w:r>
              <w:rPr>
                <w:b/>
                <w:color w:val="FFFFFF"/>
                <w:sz w:val="17"/>
              </w:rPr>
              <w:t>P1 Baixa</w:t>
            </w:r>
          </w:p>
        </w:tc>
        <w:tc>
          <w:tcPr>
            <w:tcW w:type="dxa" w:w="1905"/>
            <w:vAlign w:val="top"/>
            <w:tcMar>
              <w:top w:w="80" w:type="dxa"/>
              <w:start w:w="100" w:type="dxa"/>
              <w:bottom w:w="80" w:type="dxa"/>
              <w:end w:w="100" w:type="dxa"/>
            </w:tcMar>
            <w:shd w:fill="28465C"/>
          </w:tcPr>
          <w:p>
            <w:r>
              <w:rPr>
                <w:b/>
                <w:color w:val="FFFFFF"/>
                <w:sz w:val="17"/>
              </w:rPr>
              <w:t>P2 Moderada</w:t>
            </w:r>
          </w:p>
        </w:tc>
        <w:tc>
          <w:tcPr>
            <w:tcW w:type="dxa" w:w="1905"/>
            <w:vAlign w:val="top"/>
            <w:tcMar>
              <w:top w:w="80" w:type="dxa"/>
              <w:start w:w="100" w:type="dxa"/>
              <w:bottom w:w="80" w:type="dxa"/>
              <w:end w:w="100" w:type="dxa"/>
            </w:tcMar>
            <w:shd w:fill="28465C"/>
          </w:tcPr>
          <w:p>
            <w:r>
              <w:rPr>
                <w:b/>
                <w:color w:val="FFFFFF"/>
                <w:sz w:val="17"/>
              </w:rPr>
              <w:t>P3 Alta</w:t>
            </w:r>
          </w:p>
        </w:tc>
        <w:tc>
          <w:tcPr>
            <w:tcW w:type="dxa" w:w="1905"/>
            <w:vAlign w:val="top"/>
            <w:tcMar>
              <w:top w:w="80" w:type="dxa"/>
              <w:start w:w="100" w:type="dxa"/>
              <w:bottom w:w="80" w:type="dxa"/>
              <w:end w:w="100" w:type="dxa"/>
            </w:tcMar>
            <w:shd w:fill="28465C"/>
          </w:tcPr>
          <w:p>
            <w:r>
              <w:rPr>
                <w:b/>
                <w:color w:val="FFFFFF"/>
                <w:sz w:val="17"/>
              </w:rPr>
              <w:t>P4 Muito alta</w:t>
            </w:r>
          </w:p>
        </w:tc>
      </w:tr>
      <w:tr>
        <w:tc>
          <w:tcPr>
            <w:tcW w:type="dxa" w:w="1905"/>
            <w:vAlign w:val="top"/>
            <w:tcMar>
              <w:top w:w="80" w:type="dxa"/>
              <w:start w:w="100" w:type="dxa"/>
              <w:bottom w:w="80" w:type="dxa"/>
              <w:end w:w="100" w:type="dxa"/>
            </w:tcMar>
          </w:tcPr>
          <w:p>
            <w:r>
              <w:rPr>
                <w:b w:val="0"/>
                <w:sz w:val="17"/>
              </w:rPr>
              <w:t>I1 Baixo</w:t>
            </w:r>
          </w:p>
        </w:tc>
        <w:tc>
          <w:tcPr>
            <w:tcW w:type="dxa" w:w="1905"/>
            <w:vAlign w:val="top"/>
            <w:tcMar>
              <w:top w:w="80" w:type="dxa"/>
              <w:start w:w="100" w:type="dxa"/>
              <w:bottom w:w="80" w:type="dxa"/>
              <w:end w:w="100" w:type="dxa"/>
            </w:tcMar>
          </w:tcPr>
          <w:p>
            <w:r>
              <w:rPr>
                <w:b w:val="0"/>
                <w:sz w:val="17"/>
              </w:rPr>
              <w:t>Baixo</w:t>
            </w:r>
          </w:p>
        </w:tc>
        <w:tc>
          <w:tcPr>
            <w:tcW w:type="dxa" w:w="1905"/>
            <w:vAlign w:val="top"/>
            <w:tcMar>
              <w:top w:w="80" w:type="dxa"/>
              <w:start w:w="100" w:type="dxa"/>
              <w:bottom w:w="80" w:type="dxa"/>
              <w:end w:w="100" w:type="dxa"/>
            </w:tcMar>
          </w:tcPr>
          <w:p>
            <w:r>
              <w:rPr>
                <w:b w:val="0"/>
                <w:sz w:val="17"/>
              </w:rPr>
              <w:t>Baixo</w:t>
            </w:r>
          </w:p>
        </w:tc>
        <w:tc>
          <w:tcPr>
            <w:tcW w:type="dxa" w:w="1905"/>
            <w:vAlign w:val="top"/>
            <w:tcMar>
              <w:top w:w="80" w:type="dxa"/>
              <w:start w:w="100" w:type="dxa"/>
              <w:bottom w:w="80" w:type="dxa"/>
              <w:end w:w="100" w:type="dxa"/>
            </w:tcMar>
          </w:tcPr>
          <w:p>
            <w:r>
              <w:rPr>
                <w:b w:val="0"/>
                <w:sz w:val="17"/>
              </w:rPr>
              <w:t>Moderado</w:t>
            </w:r>
          </w:p>
        </w:tc>
        <w:tc>
          <w:tcPr>
            <w:tcW w:type="dxa" w:w="1905"/>
            <w:vAlign w:val="top"/>
            <w:tcMar>
              <w:top w:w="80" w:type="dxa"/>
              <w:start w:w="100" w:type="dxa"/>
              <w:bottom w:w="80" w:type="dxa"/>
              <w:end w:w="100" w:type="dxa"/>
            </w:tcMar>
          </w:tcPr>
          <w:p>
            <w:r>
              <w:rPr>
                <w:b w:val="0"/>
                <w:sz w:val="17"/>
              </w:rPr>
              <w:t>Moderado</w:t>
            </w:r>
          </w:p>
        </w:tc>
      </w:tr>
      <w:tr>
        <w:tc>
          <w:tcPr>
            <w:tcW w:type="dxa" w:w="1905"/>
            <w:vAlign w:val="top"/>
            <w:tcMar>
              <w:top w:w="80" w:type="dxa"/>
              <w:start w:w="100" w:type="dxa"/>
              <w:bottom w:w="80" w:type="dxa"/>
              <w:end w:w="100" w:type="dxa"/>
            </w:tcMar>
            <w:shd w:fill="F7F9FA"/>
          </w:tcPr>
          <w:p>
            <w:r>
              <w:rPr>
                <w:b w:val="0"/>
                <w:sz w:val="17"/>
              </w:rPr>
              <w:t>I2 Moderado</w:t>
            </w:r>
          </w:p>
        </w:tc>
        <w:tc>
          <w:tcPr>
            <w:tcW w:type="dxa" w:w="1905"/>
            <w:vAlign w:val="top"/>
            <w:tcMar>
              <w:top w:w="80" w:type="dxa"/>
              <w:start w:w="100" w:type="dxa"/>
              <w:bottom w:w="80" w:type="dxa"/>
              <w:end w:w="100" w:type="dxa"/>
            </w:tcMar>
            <w:shd w:fill="F7F9FA"/>
          </w:tcPr>
          <w:p>
            <w:r>
              <w:rPr>
                <w:b w:val="0"/>
                <w:sz w:val="17"/>
              </w:rPr>
              <w:t>Baixo</w:t>
            </w:r>
          </w:p>
        </w:tc>
        <w:tc>
          <w:tcPr>
            <w:tcW w:type="dxa" w:w="1905"/>
            <w:vAlign w:val="top"/>
            <w:tcMar>
              <w:top w:w="80" w:type="dxa"/>
              <w:start w:w="100" w:type="dxa"/>
              <w:bottom w:w="80" w:type="dxa"/>
              <w:end w:w="100" w:type="dxa"/>
            </w:tcMar>
            <w:shd w:fill="F7F9FA"/>
          </w:tcPr>
          <w:p>
            <w:r>
              <w:rPr>
                <w:b w:val="0"/>
                <w:sz w:val="17"/>
              </w:rPr>
              <w:t>Moderado</w:t>
            </w:r>
          </w:p>
        </w:tc>
        <w:tc>
          <w:tcPr>
            <w:tcW w:type="dxa" w:w="1905"/>
            <w:vAlign w:val="top"/>
            <w:tcMar>
              <w:top w:w="80" w:type="dxa"/>
              <w:start w:w="100" w:type="dxa"/>
              <w:bottom w:w="80" w:type="dxa"/>
              <w:end w:w="100" w:type="dxa"/>
            </w:tcMar>
            <w:shd w:fill="F7F9FA"/>
          </w:tcPr>
          <w:p>
            <w:r>
              <w:rPr>
                <w:b w:val="0"/>
                <w:sz w:val="17"/>
              </w:rPr>
              <w:t>Alto</w:t>
            </w:r>
          </w:p>
        </w:tc>
        <w:tc>
          <w:tcPr>
            <w:tcW w:type="dxa" w:w="1905"/>
            <w:vAlign w:val="top"/>
            <w:tcMar>
              <w:top w:w="80" w:type="dxa"/>
              <w:start w:w="100" w:type="dxa"/>
              <w:bottom w:w="80" w:type="dxa"/>
              <w:end w:w="100" w:type="dxa"/>
            </w:tcMar>
            <w:shd w:fill="F7F9FA"/>
          </w:tcPr>
          <w:p>
            <w:r>
              <w:rPr>
                <w:b w:val="0"/>
                <w:sz w:val="17"/>
              </w:rPr>
              <w:t>Alto</w:t>
            </w:r>
          </w:p>
        </w:tc>
      </w:tr>
      <w:tr>
        <w:tc>
          <w:tcPr>
            <w:tcW w:type="dxa" w:w="1905"/>
            <w:vAlign w:val="top"/>
            <w:tcMar>
              <w:top w:w="80" w:type="dxa"/>
              <w:start w:w="100" w:type="dxa"/>
              <w:bottom w:w="80" w:type="dxa"/>
              <w:end w:w="100" w:type="dxa"/>
            </w:tcMar>
          </w:tcPr>
          <w:p>
            <w:r>
              <w:rPr>
                <w:b w:val="0"/>
                <w:sz w:val="17"/>
              </w:rPr>
              <w:t>I3 Alto</w:t>
            </w:r>
          </w:p>
        </w:tc>
        <w:tc>
          <w:tcPr>
            <w:tcW w:type="dxa" w:w="1905"/>
            <w:vAlign w:val="top"/>
            <w:tcMar>
              <w:top w:w="80" w:type="dxa"/>
              <w:start w:w="100" w:type="dxa"/>
              <w:bottom w:w="80" w:type="dxa"/>
              <w:end w:w="100" w:type="dxa"/>
            </w:tcMar>
          </w:tcPr>
          <w:p>
            <w:r>
              <w:rPr>
                <w:b w:val="0"/>
                <w:sz w:val="17"/>
              </w:rPr>
              <w:t>Moderado</w:t>
            </w:r>
          </w:p>
        </w:tc>
        <w:tc>
          <w:tcPr>
            <w:tcW w:type="dxa" w:w="1905"/>
            <w:vAlign w:val="top"/>
            <w:tcMar>
              <w:top w:w="80" w:type="dxa"/>
              <w:start w:w="100" w:type="dxa"/>
              <w:bottom w:w="80" w:type="dxa"/>
              <w:end w:w="100" w:type="dxa"/>
            </w:tcMar>
          </w:tcPr>
          <w:p>
            <w:r>
              <w:rPr>
                <w:b w:val="0"/>
                <w:sz w:val="17"/>
              </w:rPr>
              <w:t>Alto</w:t>
            </w:r>
          </w:p>
        </w:tc>
        <w:tc>
          <w:tcPr>
            <w:tcW w:type="dxa" w:w="1905"/>
            <w:vAlign w:val="top"/>
            <w:tcMar>
              <w:top w:w="80" w:type="dxa"/>
              <w:start w:w="100" w:type="dxa"/>
              <w:bottom w:w="80" w:type="dxa"/>
              <w:end w:w="100" w:type="dxa"/>
            </w:tcMar>
          </w:tcPr>
          <w:p>
            <w:r>
              <w:rPr>
                <w:b w:val="0"/>
                <w:sz w:val="17"/>
              </w:rPr>
              <w:t>Alto</w:t>
            </w:r>
          </w:p>
        </w:tc>
        <w:tc>
          <w:tcPr>
            <w:tcW w:type="dxa" w:w="1905"/>
            <w:vAlign w:val="top"/>
            <w:tcMar>
              <w:top w:w="80" w:type="dxa"/>
              <w:start w:w="100" w:type="dxa"/>
              <w:bottom w:w="80" w:type="dxa"/>
              <w:end w:w="100" w:type="dxa"/>
            </w:tcMar>
          </w:tcPr>
          <w:p>
            <w:r>
              <w:rPr>
                <w:b w:val="0"/>
                <w:sz w:val="17"/>
              </w:rPr>
              <w:t>Crítico</w:t>
            </w:r>
          </w:p>
        </w:tc>
      </w:tr>
      <w:tr>
        <w:tc>
          <w:tcPr>
            <w:tcW w:type="dxa" w:w="1905"/>
            <w:vAlign w:val="top"/>
            <w:tcMar>
              <w:top w:w="80" w:type="dxa"/>
              <w:start w:w="100" w:type="dxa"/>
              <w:bottom w:w="80" w:type="dxa"/>
              <w:end w:w="100" w:type="dxa"/>
            </w:tcMar>
            <w:shd w:fill="F7F9FA"/>
          </w:tcPr>
          <w:p>
            <w:r>
              <w:rPr>
                <w:b w:val="0"/>
                <w:sz w:val="17"/>
              </w:rPr>
              <w:t>I4 Crítico</w:t>
            </w:r>
          </w:p>
        </w:tc>
        <w:tc>
          <w:tcPr>
            <w:tcW w:type="dxa" w:w="1905"/>
            <w:vAlign w:val="top"/>
            <w:tcMar>
              <w:top w:w="80" w:type="dxa"/>
              <w:start w:w="100" w:type="dxa"/>
              <w:bottom w:w="80" w:type="dxa"/>
              <w:end w:w="100" w:type="dxa"/>
            </w:tcMar>
            <w:shd w:fill="F7F9FA"/>
          </w:tcPr>
          <w:p>
            <w:r>
              <w:rPr>
                <w:b w:val="0"/>
                <w:sz w:val="17"/>
              </w:rPr>
              <w:t>Alto</w:t>
            </w:r>
          </w:p>
        </w:tc>
        <w:tc>
          <w:tcPr>
            <w:tcW w:type="dxa" w:w="1905"/>
            <w:vAlign w:val="top"/>
            <w:tcMar>
              <w:top w:w="80" w:type="dxa"/>
              <w:start w:w="100" w:type="dxa"/>
              <w:bottom w:w="80" w:type="dxa"/>
              <w:end w:w="100" w:type="dxa"/>
            </w:tcMar>
            <w:shd w:fill="F7F9FA"/>
          </w:tcPr>
          <w:p>
            <w:r>
              <w:rPr>
                <w:b w:val="0"/>
                <w:sz w:val="17"/>
              </w:rPr>
              <w:t>Alto</w:t>
            </w:r>
          </w:p>
        </w:tc>
        <w:tc>
          <w:tcPr>
            <w:tcW w:type="dxa" w:w="1905"/>
            <w:vAlign w:val="top"/>
            <w:tcMar>
              <w:top w:w="80" w:type="dxa"/>
              <w:start w:w="100" w:type="dxa"/>
              <w:bottom w:w="80" w:type="dxa"/>
              <w:end w:w="100" w:type="dxa"/>
            </w:tcMar>
            <w:shd w:fill="F7F9FA"/>
          </w:tcPr>
          <w:p>
            <w:r>
              <w:rPr>
                <w:b w:val="0"/>
                <w:sz w:val="17"/>
              </w:rPr>
              <w:t>Crítico</w:t>
            </w:r>
          </w:p>
        </w:tc>
        <w:tc>
          <w:tcPr>
            <w:tcW w:type="dxa" w:w="1905"/>
            <w:vAlign w:val="top"/>
            <w:tcMar>
              <w:top w:w="80" w:type="dxa"/>
              <w:start w:w="100" w:type="dxa"/>
              <w:bottom w:w="80" w:type="dxa"/>
              <w:end w:w="100" w:type="dxa"/>
            </w:tcMar>
            <w:shd w:fill="F7F9FA"/>
          </w:tcPr>
          <w:p>
            <w:r>
              <w:rPr>
                <w:b w:val="0"/>
                <w:sz w:val="17"/>
              </w:rPr>
              <w:t>Crítico</w:t>
            </w:r>
          </w:p>
        </w:tc>
      </w:tr>
    </w:tbl>
    <w:p>
      <w:pPr>
        <w:spacing w:after="20"/>
      </w:pPr>
    </w:p>
    <w:tbl>
      <w:tblPr>
        <w:tblW w:type="auto" w:w="0"/>
        <w:jc w:val="left"/>
        <w:tblLook w:firstColumn="1" w:firstRow="1" w:lastColumn="0" w:lastRow="0" w:noHBand="0" w:noVBand="1" w:val="04A0"/>
      </w:tblPr>
      <w:tblGrid>
        <w:gridCol w:w="9524"/>
      </w:tblGrid>
      <w:tr>
        <w:tc>
          <w:tcPr>
            <w:tcW w:type="dxa" w:w="9524"/>
            <w:shd w:fill="EEF3F6"/>
            <w:tcMar>
              <w:top w:w="120" w:type="dxa"/>
              <w:start w:w="140" w:type="dxa"/>
              <w:bottom w:w="120" w:type="dxa"/>
              <w:end w:w="140" w:type="dxa"/>
            </w:tcMar>
          </w:tcPr>
          <w:p>
            <w:r>
              <w:rPr>
                <w:rFonts w:ascii="Consolas" w:hAnsi="Consolas"/>
                <w:color w:val="182939"/>
                <w:sz w:val="17"/>
              </w:rPr>
              <w:t>Risco inerente = matriz(Impacto, Probabilidade inerente)</w:t>
            </w:r>
          </w:p>
        </w:tc>
      </w:tr>
    </w:tbl>
    <w:p>
      <w:r>
        <w:rPr>
          <w:b w:val="0"/>
        </w:rPr>
        <w:t>Quando houver vários cenários:</w:t>
      </w:r>
    </w:p>
    <w:tbl>
      <w:tblPr>
        <w:tblW w:type="auto" w:w="0"/>
        <w:jc w:val="left"/>
        <w:tblLook w:firstColumn="1" w:firstRow="1" w:lastColumn="0" w:lastRow="0" w:noHBand="0" w:noVBand="1" w:val="04A0"/>
      </w:tblPr>
      <w:tblGrid>
        <w:gridCol w:w="9524"/>
      </w:tblGrid>
      <w:tr>
        <w:tc>
          <w:tcPr>
            <w:tcW w:type="dxa" w:w="9524"/>
            <w:shd w:fill="EEF3F6"/>
            <w:tcMar>
              <w:top w:w="120" w:type="dxa"/>
              <w:start w:w="140" w:type="dxa"/>
              <w:bottom w:w="120" w:type="dxa"/>
              <w:end w:w="140" w:type="dxa"/>
            </w:tcMar>
          </w:tcPr>
          <w:p>
            <w:r>
              <w:rPr>
                <w:rFonts w:ascii="Consolas" w:hAnsi="Consolas"/>
                <w:color w:val="182939"/>
                <w:sz w:val="17"/>
              </w:rPr>
              <w:t>Risco consolidado = maior risco material identificado</w:t>
            </w:r>
          </w:p>
        </w:tc>
      </w:tr>
    </w:tbl>
    <w:p>
      <w:r>
        <w:rPr>
          <w:b w:val="0"/>
        </w:rPr>
        <w:t>Uma média entre cenários não deve ser utilizada para reduzir ou ocultar um cenário crítico.</w:t>
      </w:r>
    </w:p>
    <w:p>
      <w:pPr>
        <w:pStyle w:val="Heading1"/>
        <w:pageBreakBefore/>
      </w:pPr>
      <w:r>
        <w:rPr>
          <w:b w:val="0"/>
        </w:rPr>
        <w:t>11. Seleção dos baselines e controles</w:t>
      </w:r>
    </w:p>
    <w:p>
      <w:r>
        <w:rPr>
          <w:b w:val="0"/>
        </w:rPr>
        <w:t>A seleção deve considerar as capacidades e a arquitetura, e não apenas o tipo de contratação. A MTR-001 converte as respostas do FRM-001 em baselines, perfis e controles técnicos aplicáveis.</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4762"/>
            <w:vAlign w:val="top"/>
            <w:tcMar>
              <w:top w:w="80" w:type="dxa"/>
              <w:start w:w="100" w:type="dxa"/>
              <w:bottom w:w="80" w:type="dxa"/>
              <w:end w:w="100" w:type="dxa"/>
            </w:tcMar>
            <w:shd w:fill="28465C"/>
          </w:tcPr>
          <w:p>
            <w:r>
              <w:rPr>
                <w:b/>
                <w:color w:val="FFFFFF"/>
                <w:sz w:val="18"/>
              </w:rPr>
              <w:t>Condição identificada</w:t>
            </w:r>
          </w:p>
        </w:tc>
        <w:tc>
          <w:tcPr>
            <w:tcW w:type="dxa" w:w="4762"/>
            <w:vAlign w:val="top"/>
            <w:tcMar>
              <w:top w:w="80" w:type="dxa"/>
              <w:start w:w="100" w:type="dxa"/>
              <w:bottom w:w="80" w:type="dxa"/>
              <w:end w:w="100" w:type="dxa"/>
            </w:tcMar>
            <w:shd w:fill="28465C"/>
          </w:tcPr>
          <w:p>
            <w:r>
              <w:rPr>
                <w:b/>
                <w:color w:val="FFFFFF"/>
                <w:sz w:val="18"/>
              </w:rPr>
              <w:t>Baseline aplicável</w:t>
            </w:r>
          </w:p>
        </w:tc>
      </w:tr>
      <w:tr>
        <w:tc>
          <w:tcPr>
            <w:tcW w:type="dxa" w:w="4762"/>
            <w:vAlign w:val="top"/>
            <w:tcMar>
              <w:top w:w="80" w:type="dxa"/>
              <w:start w:w="100" w:type="dxa"/>
              <w:bottom w:w="80" w:type="dxa"/>
              <w:end w:w="100" w:type="dxa"/>
            </w:tcMar>
          </w:tcPr>
          <w:p>
            <w:r>
              <w:rPr>
                <w:b w:val="0"/>
                <w:sz w:val="18"/>
              </w:rPr>
              <w:t>Qualquer solução ou uso corporativo de IA</w:t>
            </w:r>
          </w:p>
        </w:tc>
        <w:tc>
          <w:tcPr>
            <w:tcW w:type="dxa" w:w="4762"/>
            <w:vAlign w:val="top"/>
            <w:tcMar>
              <w:top w:w="80" w:type="dxa"/>
              <w:start w:w="100" w:type="dxa"/>
              <w:bottom w:w="80" w:type="dxa"/>
              <w:end w:w="100" w:type="dxa"/>
            </w:tcMar>
          </w:tcPr>
          <w:p>
            <w:r>
              <w:rPr>
                <w:b w:val="0"/>
                <w:sz w:val="18"/>
              </w:rPr>
              <w:t>BAS-001</w:t>
            </w:r>
          </w:p>
        </w:tc>
      </w:tr>
      <w:tr>
        <w:tc>
          <w:tcPr>
            <w:tcW w:type="dxa" w:w="4762"/>
            <w:vAlign w:val="top"/>
            <w:tcMar>
              <w:top w:w="80" w:type="dxa"/>
              <w:start w:w="100" w:type="dxa"/>
              <w:bottom w:w="80" w:type="dxa"/>
              <w:end w:w="100" w:type="dxa"/>
            </w:tcMar>
            <w:shd w:fill="F7F9FA"/>
          </w:tcPr>
          <w:p>
            <w:r>
              <w:rPr>
                <w:b w:val="0"/>
                <w:sz w:val="18"/>
              </w:rPr>
              <w:t>Aplicações, APIs, gateways, roteamento ou exposição</w:t>
            </w:r>
          </w:p>
        </w:tc>
        <w:tc>
          <w:tcPr>
            <w:tcW w:type="dxa" w:w="4762"/>
            <w:vAlign w:val="top"/>
            <w:tcMar>
              <w:top w:w="80" w:type="dxa"/>
              <w:start w:w="100" w:type="dxa"/>
              <w:bottom w:w="80" w:type="dxa"/>
              <w:end w:w="100" w:type="dxa"/>
            </w:tcMar>
            <w:shd w:fill="F7F9FA"/>
          </w:tcPr>
          <w:p>
            <w:r>
              <w:rPr>
                <w:b w:val="0"/>
                <w:sz w:val="18"/>
              </w:rPr>
              <w:t>BAS-002</w:t>
            </w:r>
          </w:p>
        </w:tc>
      </w:tr>
      <w:tr>
        <w:tc>
          <w:tcPr>
            <w:tcW w:type="dxa" w:w="4762"/>
            <w:vAlign w:val="top"/>
            <w:tcMar>
              <w:top w:w="80" w:type="dxa"/>
              <w:start w:w="100" w:type="dxa"/>
              <w:bottom w:w="80" w:type="dxa"/>
              <w:end w:w="100" w:type="dxa"/>
            </w:tcMar>
          </w:tcPr>
          <w:p>
            <w:r>
              <w:rPr>
                <w:b w:val="0"/>
                <w:sz w:val="18"/>
              </w:rPr>
              <w:t>Dados, RAG, contexto, memória, índices ou conhecimento</w:t>
            </w:r>
          </w:p>
        </w:tc>
        <w:tc>
          <w:tcPr>
            <w:tcW w:type="dxa" w:w="4762"/>
            <w:vAlign w:val="top"/>
            <w:tcMar>
              <w:top w:w="80" w:type="dxa"/>
              <w:start w:w="100" w:type="dxa"/>
              <w:bottom w:w="80" w:type="dxa"/>
              <w:end w:w="100" w:type="dxa"/>
            </w:tcMar>
          </w:tcPr>
          <w:p>
            <w:r>
              <w:rPr>
                <w:b w:val="0"/>
                <w:sz w:val="18"/>
              </w:rPr>
              <w:t>BAS-003</w:t>
            </w:r>
          </w:p>
        </w:tc>
      </w:tr>
      <w:tr>
        <w:tc>
          <w:tcPr>
            <w:tcW w:type="dxa" w:w="4762"/>
            <w:vAlign w:val="top"/>
            <w:tcMar>
              <w:top w:w="80" w:type="dxa"/>
              <w:start w:w="100" w:type="dxa"/>
              <w:bottom w:w="80" w:type="dxa"/>
              <w:end w:w="100" w:type="dxa"/>
            </w:tcMar>
            <w:shd w:fill="F7F9FA"/>
          </w:tcPr>
          <w:p>
            <w:r>
              <w:rPr>
                <w:b w:val="0"/>
                <w:sz w:val="18"/>
              </w:rPr>
              <w:t>Agentes, tools, function calling, MCP ou computer use</w:t>
            </w:r>
          </w:p>
        </w:tc>
        <w:tc>
          <w:tcPr>
            <w:tcW w:type="dxa" w:w="4762"/>
            <w:vAlign w:val="top"/>
            <w:tcMar>
              <w:top w:w="80" w:type="dxa"/>
              <w:start w:w="100" w:type="dxa"/>
              <w:bottom w:w="80" w:type="dxa"/>
              <w:end w:w="100" w:type="dxa"/>
            </w:tcMar>
            <w:shd w:fill="F7F9FA"/>
          </w:tcPr>
          <w:p>
            <w:r>
              <w:rPr>
                <w:b w:val="0"/>
                <w:sz w:val="18"/>
              </w:rPr>
              <w:t>BAS-004</w:t>
            </w:r>
          </w:p>
        </w:tc>
      </w:tr>
      <w:tr>
        <w:tc>
          <w:tcPr>
            <w:tcW w:type="dxa" w:w="4762"/>
            <w:vAlign w:val="top"/>
            <w:tcMar>
              <w:top w:w="80" w:type="dxa"/>
              <w:start w:w="100" w:type="dxa"/>
              <w:bottom w:w="80" w:type="dxa"/>
              <w:end w:w="100" w:type="dxa"/>
            </w:tcMar>
          </w:tcPr>
          <w:p>
            <w:r>
              <w:rPr>
                <w:b w:val="0"/>
                <w:sz w:val="18"/>
              </w:rPr>
              <w:t>Desenvolvimento, treinamento, modelos, registries ou MLOps</w:t>
            </w:r>
          </w:p>
        </w:tc>
        <w:tc>
          <w:tcPr>
            <w:tcW w:type="dxa" w:w="4762"/>
            <w:vAlign w:val="top"/>
            <w:tcMar>
              <w:top w:w="80" w:type="dxa"/>
              <w:start w:w="100" w:type="dxa"/>
              <w:bottom w:w="80" w:type="dxa"/>
              <w:end w:w="100" w:type="dxa"/>
            </w:tcMar>
          </w:tcPr>
          <w:p>
            <w:r>
              <w:rPr>
                <w:b w:val="0"/>
                <w:sz w:val="18"/>
              </w:rPr>
              <w:t>BAS-005</w:t>
            </w:r>
          </w:p>
        </w:tc>
      </w:tr>
      <w:tr>
        <w:tc>
          <w:tcPr>
            <w:tcW w:type="dxa" w:w="4762"/>
            <w:vAlign w:val="top"/>
            <w:tcMar>
              <w:top w:w="80" w:type="dxa"/>
              <w:start w:w="100" w:type="dxa"/>
              <w:bottom w:w="80" w:type="dxa"/>
              <w:end w:w="100" w:type="dxa"/>
            </w:tcMar>
            <w:shd w:fill="F7F9FA"/>
          </w:tcPr>
          <w:p>
            <w:r>
              <w:rPr>
                <w:b w:val="0"/>
                <w:sz w:val="18"/>
              </w:rPr>
              <w:t>Produção, telemetria, detecção, contenção, continuidade ou recuperação</w:t>
            </w:r>
          </w:p>
        </w:tc>
        <w:tc>
          <w:tcPr>
            <w:tcW w:type="dxa" w:w="4762"/>
            <w:vAlign w:val="top"/>
            <w:tcMar>
              <w:top w:w="80" w:type="dxa"/>
              <w:start w:w="100" w:type="dxa"/>
              <w:bottom w:w="80" w:type="dxa"/>
              <w:end w:w="100" w:type="dxa"/>
            </w:tcMar>
            <w:shd w:fill="F7F9FA"/>
          </w:tcPr>
          <w:p>
            <w:r>
              <w:rPr>
                <w:b w:val="0"/>
                <w:sz w:val="18"/>
              </w:rPr>
              <w:t>BAS-006</w:t>
            </w:r>
          </w:p>
        </w:tc>
      </w:tr>
    </w:tbl>
    <w:p>
      <w:pPr>
        <w:spacing w:after="20"/>
      </w:pPr>
    </w:p>
    <w:p>
      <w:r>
        <w:rPr>
          <w:b w:val="0"/>
        </w:rPr>
        <w:t>Os baselines são cumulativos. A aplicabilidade deve ser determinada também no nível de cada controle. Por exemplo, o uso de RAG torna o BAS-003 aplicável, mas controles de multi-tenancy somente se aplicam quando houver compartilhamento entre tenants ou domínios equivalentes.</w:t>
      </w:r>
    </w:p>
    <w:p>
      <w:r>
        <w:rPr>
          <w:b w:val="0"/>
        </w:rPr>
        <w:t>Para soluções terceirizadas, os controles devem ser selecionados normalmente e sua responsabilidade atribuída ao fornecedor, à organização ou a ambos.</w:t>
      </w:r>
    </w:p>
    <w:p>
      <w:r>
        <w:rPr>
          <w:b w:val="0"/>
        </w:rPr>
        <w:t>Cada controle selecionado deve preservar, no mínimo:</w:t>
      </w:r>
    </w:p>
    <w:p>
      <w:pPr>
        <w:pStyle w:val="ListBullet"/>
      </w:pPr>
      <w:r>
        <w:rPr>
          <w:b w:val="0"/>
        </w:rPr>
        <w:t>identificador e baseline;</w:t>
      </w:r>
    </w:p>
    <w:p>
      <w:pPr>
        <w:pStyle w:val="ListBullet"/>
      </w:pPr>
      <w:r>
        <w:rPr>
          <w:b w:val="0"/>
        </w:rPr>
        <w:t>seção e perfil de aplicabilidade;</w:t>
      </w:r>
    </w:p>
    <w:p>
      <w:pPr>
        <w:pStyle w:val="ListBullet"/>
      </w:pPr>
      <w:r>
        <w:rPr>
          <w:b w:val="0"/>
        </w:rPr>
        <w:t>criticidade e obrigatoriedade;</w:t>
      </w:r>
    </w:p>
    <w:p>
      <w:pPr>
        <w:pStyle w:val="ListBullet"/>
      </w:pPr>
      <w:r>
        <w:rPr>
          <w:b w:val="0"/>
        </w:rPr>
        <w:t>conteúdo completo do controle;</w:t>
      </w:r>
    </w:p>
    <w:p>
      <w:pPr>
        <w:pStyle w:val="ListBullet"/>
      </w:pPr>
      <w:r>
        <w:rPr>
          <w:b w:val="0"/>
        </w:rPr>
        <w:t>condição e justificativa de aplicabilidade;</w:t>
      </w:r>
    </w:p>
    <w:p>
      <w:pPr>
        <w:pStyle w:val="ListBullet"/>
      </w:pPr>
      <w:r>
        <w:rPr>
          <w:b w:val="0"/>
        </w:rPr>
        <w:t>responsabilidade e critério específico de atribuição;</w:t>
      </w:r>
    </w:p>
    <w:p>
      <w:pPr>
        <w:pStyle w:val="ListBullet"/>
      </w:pPr>
      <w:r>
        <w:rPr>
          <w:b w:val="0"/>
        </w:rPr>
        <w:t>orientações técnicas de auditoria e remediação;</w:t>
      </w:r>
    </w:p>
    <w:p>
      <w:pPr>
        <w:pStyle w:val="ListBullet"/>
      </w:pPr>
      <w:r>
        <w:rPr>
          <w:b w:val="0"/>
        </w:rPr>
        <w:t>mapeamentos e referências existentes no baseline.</w:t>
      </w:r>
    </w:p>
    <w:p>
      <w:pPr>
        <w:pStyle w:val="Heading1"/>
        <w:pageBreakBefore/>
      </w:pPr>
      <w:r>
        <w:rPr>
          <w:b w:val="0"/>
        </w:rPr>
        <w:t>12. Premissa de aplicação dos controles</w:t>
      </w:r>
    </w:p>
    <w:p>
      <w:r>
        <w:rPr>
          <w:b w:val="0"/>
        </w:rPr>
        <w:t>Esta metodologia não realiza, nesta etapa, avaliação individual de conformidade ou coleta obrigatória de evidências. Todos os controles selecionados pela MTR-001 são considerados parte do plano técnico obrigatório do projeto.</w:t>
      </w:r>
    </w:p>
    <w:p>
      <w:r>
        <w:rPr>
          <w:b w:val="0"/>
        </w:rPr>
        <w:t>Para o cálculo prospectivo do risco residual, considera-se que:</w:t>
      </w:r>
    </w:p>
    <w:p>
      <w:pPr>
        <w:pStyle w:val="ListBullet"/>
      </w:pPr>
      <w:r>
        <w:rPr>
          <w:b w:val="0"/>
        </w:rPr>
        <w:t>todos os controles aplicáveis serão implementados integralmente antes da homologação ou entrada em produção;</w:t>
      </w:r>
    </w:p>
    <w:p>
      <w:pPr>
        <w:pStyle w:val="ListBullet"/>
      </w:pPr>
      <w:r>
        <w:rPr>
          <w:b w:val="0"/>
        </w:rPr>
        <w:t>os controles estarão operacionais e cobrirão todo o escopo técnico previsto;</w:t>
      </w:r>
    </w:p>
    <w:p>
      <w:pPr>
        <w:pStyle w:val="ListBullet"/>
      </w:pPr>
      <w:r>
        <w:rPr>
          <w:b w:val="0"/>
        </w:rPr>
        <w:t>a responsabilidade atribuída será aceita e executada pela organização, pelo fornecedor ou por ambos;</w:t>
      </w:r>
    </w:p>
    <w:p>
      <w:pPr>
        <w:pStyle w:val="ListBullet"/>
      </w:pPr>
      <w:r>
        <w:rPr>
          <w:b w:val="0"/>
        </w:rPr>
        <w:t>não haverá exclusão unilateral de controles selecionados;</w:t>
      </w:r>
    </w:p>
    <w:p>
      <w:pPr>
        <w:pStyle w:val="ListBullet"/>
      </w:pPr>
      <w:r>
        <w:rPr>
          <w:b w:val="0"/>
        </w:rPr>
        <w:t>a implementação parcial não satisfaz a premissa de aplicação integral.</w:t>
      </w:r>
    </w:p>
    <w:tbl>
      <w:tblPr>
        <w:tblW w:type="auto" w:w="0"/>
        <w:jc w:val="left"/>
        <w:tblLook w:firstColumn="1" w:firstRow="1" w:lastColumn="0" w:lastRow="0" w:noHBand="0" w:noVBand="1" w:val="04A0"/>
      </w:tblPr>
      <w:tblGrid>
        <w:gridCol w:w="9524"/>
      </w:tblGrid>
      <w:tr>
        <w:tc>
          <w:tcPr>
            <w:tcW w:type="dxa" w:w="9524"/>
            <w:shd w:fill="EEF3F6"/>
            <w:tcMar>
              <w:top w:w="120" w:type="dxa"/>
              <w:start w:w="140" w:type="dxa"/>
              <w:bottom w:w="120" w:type="dxa"/>
              <w:end w:w="140" w:type="dxa"/>
            </w:tcMar>
          </w:tcPr>
          <w:p>
            <w:r>
              <w:rPr>
                <w:rFonts w:ascii="Consolas" w:hAnsi="Consolas"/>
                <w:color w:val="182939"/>
                <w:sz w:val="17"/>
              </w:rPr>
              <w:t>Controles considerados no cálculo residual = todos os controles selecionados pela MTR-001</w:t>
              <w:br/>
              <w:t>Aplicação considerada = integral</w:t>
              <w:br/>
              <w:t>Cobertura considerada = 100% dos controles aplicáveis</w:t>
            </w:r>
          </w:p>
        </w:tc>
      </w:tr>
    </w:tbl>
    <w:p>
      <w:r>
        <w:rPr>
          <w:b w:val="0"/>
        </w:rPr>
        <w:t>A evidência descrita nos baselines permanece útil para implementação, auditoria e monitoramento, mas não é requisito de preenchimento do FRM-001 nem entrada para o cálculo prospectivo.</w:t>
      </w:r>
    </w:p>
    <w:p>
      <w:pPr>
        <w:pStyle w:val="Heading2"/>
      </w:pPr>
      <w:r>
        <w:rPr>
          <w:b w:val="0"/>
        </w:rPr>
        <w:t>12.1 Controle que não possa ser implementado</w:t>
      </w:r>
    </w:p>
    <w:p>
      <w:r>
        <w:rPr>
          <w:b w:val="0"/>
        </w:rPr>
        <w:t>Quando um controle aplicável não puder ser implementado:</w:t>
      </w:r>
    </w:p>
    <w:p>
      <w:pPr>
        <w:pStyle w:val="ListNumber"/>
      </w:pPr>
      <w:r>
        <w:rPr>
          <w:b w:val="0"/>
        </w:rPr>
        <w:t>o responsável deve solicitar exceção formal;</w:t>
      </w:r>
    </w:p>
    <w:p>
      <w:pPr>
        <w:pStyle w:val="ListNumber"/>
      </w:pPr>
      <w:r>
        <w:rPr>
          <w:b w:val="0"/>
        </w:rPr>
        <w:t>a solicitação deve identificar o controle, a justificativa, o risco, os controles compensatórios, o owner e o prazo;</w:t>
      </w:r>
    </w:p>
    <w:p>
      <w:pPr>
        <w:pStyle w:val="ListNumber"/>
      </w:pPr>
      <w:r>
        <w:rPr>
          <w:b w:val="0"/>
        </w:rPr>
        <w:t>o risco residual deve ser recalculado após a decisão da exceção;</w:t>
      </w:r>
    </w:p>
    <w:p>
      <w:pPr>
        <w:pStyle w:val="ListNumber"/>
      </w:pPr>
      <w:r>
        <w:rPr>
          <w:b w:val="0"/>
        </w:rPr>
        <w:t>até a aprovação, o Parecer não deve ser interpretado como autorização do desvio.</w:t>
      </w:r>
    </w:p>
    <w:p>
      <w:pPr>
        <w:pStyle w:val="Heading2"/>
      </w:pPr>
      <w:r>
        <w:rPr>
          <w:b w:val="0"/>
        </w:rPr>
        <w:t>12.2 Controle cuja aplicabilidade seja questionada</w:t>
      </w:r>
    </w:p>
    <w:p>
      <w:r>
        <w:rPr>
          <w:b w:val="0"/>
        </w:rPr>
        <w:t>Quando um controle selecionado não fizer sentido para a arquitetura ou cenário:</w:t>
      </w:r>
    </w:p>
    <w:p>
      <w:pPr>
        <w:pStyle w:val="ListNumber"/>
      </w:pPr>
      <w:r>
        <w:rPr>
          <w:b w:val="0"/>
        </w:rPr>
        <w:t>o controle não deve ser removido automaticamente;</w:t>
      </w:r>
    </w:p>
    <w:p>
      <w:pPr>
        <w:pStyle w:val="ListNumber"/>
      </w:pPr>
      <w:r>
        <w:rPr>
          <w:b w:val="0"/>
        </w:rPr>
        <w:t>deve ser solicitada revisão manual à Segurança de IA ou à Arquitetura de Segurança;</w:t>
      </w:r>
    </w:p>
    <w:p>
      <w:pPr>
        <w:pStyle w:val="ListNumber"/>
      </w:pPr>
      <w:r>
        <w:rPr>
          <w:b w:val="0"/>
        </w:rPr>
        <w:t>a decisão deve registrar a condição técnica inexistente e a justificativa;</w:t>
      </w:r>
    </w:p>
    <w:p>
      <w:pPr>
        <w:pStyle w:val="ListNumber"/>
      </w:pPr>
      <w:r>
        <w:rPr>
          <w:b w:val="0"/>
        </w:rPr>
        <w:t>a MTR-001 deve ser processada novamente após a revisão.</w:t>
      </w:r>
    </w:p>
    <w:p>
      <w:pPr>
        <w:pStyle w:val="Heading1"/>
        <w:pageBreakBefore/>
      </w:pPr>
      <w:r>
        <w:rPr>
          <w:b w:val="0"/>
        </w:rPr>
        <w:t>13. Cálculo do risco residual projetado</w:t>
      </w:r>
    </w:p>
    <w:p>
      <w:r>
        <w:rPr>
          <w:b w:val="0"/>
        </w:rPr>
        <w:t>O impacto residual permanece igual ao impacto inerente. A consequência potencial não desaparece apenas porque controles serão implementados.</w:t>
      </w:r>
    </w:p>
    <w:p>
      <w:r>
        <w:rPr>
          <w:b w:val="0"/>
        </w:rPr>
        <w:t>A probabilidade residual é reduzida em um nível, nunca abaixo de P1, porque a projeção presume a implementação integral de todos os controles aplicáveis.</w:t>
      </w:r>
    </w:p>
    <w:tbl>
      <w:tblPr>
        <w:tblW w:type="auto" w:w="0"/>
        <w:jc w:val="left"/>
        <w:tblLook w:firstColumn="1" w:firstRow="1" w:lastColumn="0" w:lastRow="0" w:noHBand="0" w:noVBand="1" w:val="04A0"/>
      </w:tblPr>
      <w:tblGrid>
        <w:gridCol w:w="9524"/>
      </w:tblGrid>
      <w:tr>
        <w:tc>
          <w:tcPr>
            <w:tcW w:type="dxa" w:w="9524"/>
            <w:shd w:fill="EEF3F6"/>
            <w:tcMar>
              <w:top w:w="120" w:type="dxa"/>
              <w:start w:w="140" w:type="dxa"/>
              <w:bottom w:w="120" w:type="dxa"/>
              <w:end w:w="140" w:type="dxa"/>
            </w:tcMar>
          </w:tcPr>
          <w:p>
            <w:r>
              <w:rPr>
                <w:rFonts w:ascii="Consolas" w:hAnsi="Consolas"/>
                <w:color w:val="182939"/>
                <w:sz w:val="17"/>
              </w:rPr>
              <w:t>Impacto residual = Impacto inerente</w:t>
              <w:br/>
              <w:t>Probabilidade residual = máximo(P1, Probabilidade inerente - 1 nível)</w:t>
              <w:br/>
              <w:t>Risco residual projetado = matriz(Impacto residual, Probabilidade residual)</w:t>
            </w:r>
          </w:p>
        </w:tc>
      </w:tr>
    </w:tbl>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4762"/>
            <w:vAlign w:val="top"/>
            <w:tcMar>
              <w:top w:w="80" w:type="dxa"/>
              <w:start w:w="100" w:type="dxa"/>
              <w:bottom w:w="80" w:type="dxa"/>
              <w:end w:w="100" w:type="dxa"/>
            </w:tcMar>
            <w:shd w:fill="28465C"/>
          </w:tcPr>
          <w:p>
            <w:r>
              <w:rPr>
                <w:b/>
                <w:color w:val="FFFFFF"/>
                <w:sz w:val="18"/>
              </w:rPr>
              <w:t>Probabilidade inerente</w:t>
            </w:r>
          </w:p>
        </w:tc>
        <w:tc>
          <w:tcPr>
            <w:tcW w:type="dxa" w:w="4762"/>
            <w:vAlign w:val="top"/>
            <w:tcMar>
              <w:top w:w="80" w:type="dxa"/>
              <w:start w:w="100" w:type="dxa"/>
              <w:bottom w:w="80" w:type="dxa"/>
              <w:end w:w="100" w:type="dxa"/>
            </w:tcMar>
            <w:shd w:fill="28465C"/>
          </w:tcPr>
          <w:p>
            <w:r>
              <w:rPr>
                <w:b/>
                <w:color w:val="FFFFFF"/>
                <w:sz w:val="18"/>
              </w:rPr>
              <w:t>Probabilidade residual projetada</w:t>
            </w:r>
          </w:p>
        </w:tc>
      </w:tr>
      <w:tr>
        <w:tc>
          <w:tcPr>
            <w:tcW w:type="dxa" w:w="4762"/>
            <w:vAlign w:val="top"/>
            <w:tcMar>
              <w:top w:w="80" w:type="dxa"/>
              <w:start w:w="100" w:type="dxa"/>
              <w:bottom w:w="80" w:type="dxa"/>
              <w:end w:w="100" w:type="dxa"/>
            </w:tcMar>
          </w:tcPr>
          <w:p>
            <w:r>
              <w:rPr>
                <w:b w:val="0"/>
                <w:sz w:val="18"/>
              </w:rPr>
              <w:t>P1 — Baixa</w:t>
            </w:r>
          </w:p>
        </w:tc>
        <w:tc>
          <w:tcPr>
            <w:tcW w:type="dxa" w:w="4762"/>
            <w:vAlign w:val="top"/>
            <w:tcMar>
              <w:top w:w="80" w:type="dxa"/>
              <w:start w:w="100" w:type="dxa"/>
              <w:bottom w:w="80" w:type="dxa"/>
              <w:end w:w="100" w:type="dxa"/>
            </w:tcMar>
          </w:tcPr>
          <w:p>
            <w:r>
              <w:rPr>
                <w:b w:val="0"/>
                <w:sz w:val="18"/>
              </w:rPr>
              <w:t>P1 — Baixa</w:t>
            </w:r>
          </w:p>
        </w:tc>
      </w:tr>
      <w:tr>
        <w:tc>
          <w:tcPr>
            <w:tcW w:type="dxa" w:w="4762"/>
            <w:vAlign w:val="top"/>
            <w:tcMar>
              <w:top w:w="80" w:type="dxa"/>
              <w:start w:w="100" w:type="dxa"/>
              <w:bottom w:w="80" w:type="dxa"/>
              <w:end w:w="100" w:type="dxa"/>
            </w:tcMar>
            <w:shd w:fill="F7F9FA"/>
          </w:tcPr>
          <w:p>
            <w:r>
              <w:rPr>
                <w:b w:val="0"/>
                <w:sz w:val="18"/>
              </w:rPr>
              <w:t>P2 — Moderada</w:t>
            </w:r>
          </w:p>
        </w:tc>
        <w:tc>
          <w:tcPr>
            <w:tcW w:type="dxa" w:w="4762"/>
            <w:vAlign w:val="top"/>
            <w:tcMar>
              <w:top w:w="80" w:type="dxa"/>
              <w:start w:w="100" w:type="dxa"/>
              <w:bottom w:w="80" w:type="dxa"/>
              <w:end w:w="100" w:type="dxa"/>
            </w:tcMar>
            <w:shd w:fill="F7F9FA"/>
          </w:tcPr>
          <w:p>
            <w:r>
              <w:rPr>
                <w:b w:val="0"/>
                <w:sz w:val="18"/>
              </w:rPr>
              <w:t>P1 — Baixa</w:t>
            </w:r>
          </w:p>
        </w:tc>
      </w:tr>
      <w:tr>
        <w:tc>
          <w:tcPr>
            <w:tcW w:type="dxa" w:w="4762"/>
            <w:vAlign w:val="top"/>
            <w:tcMar>
              <w:top w:w="80" w:type="dxa"/>
              <w:start w:w="100" w:type="dxa"/>
              <w:bottom w:w="80" w:type="dxa"/>
              <w:end w:w="100" w:type="dxa"/>
            </w:tcMar>
          </w:tcPr>
          <w:p>
            <w:r>
              <w:rPr>
                <w:b w:val="0"/>
                <w:sz w:val="18"/>
              </w:rPr>
              <w:t>P3 — Alta</w:t>
            </w:r>
          </w:p>
        </w:tc>
        <w:tc>
          <w:tcPr>
            <w:tcW w:type="dxa" w:w="4762"/>
            <w:vAlign w:val="top"/>
            <w:tcMar>
              <w:top w:w="80" w:type="dxa"/>
              <w:start w:w="100" w:type="dxa"/>
              <w:bottom w:w="80" w:type="dxa"/>
              <w:end w:w="100" w:type="dxa"/>
            </w:tcMar>
          </w:tcPr>
          <w:p>
            <w:r>
              <w:rPr>
                <w:b w:val="0"/>
                <w:sz w:val="18"/>
              </w:rPr>
              <w:t>P2 — Moderada</w:t>
            </w:r>
          </w:p>
        </w:tc>
      </w:tr>
      <w:tr>
        <w:tc>
          <w:tcPr>
            <w:tcW w:type="dxa" w:w="4762"/>
            <w:vAlign w:val="top"/>
            <w:tcMar>
              <w:top w:w="80" w:type="dxa"/>
              <w:start w:w="100" w:type="dxa"/>
              <w:bottom w:w="80" w:type="dxa"/>
              <w:end w:w="100" w:type="dxa"/>
            </w:tcMar>
            <w:shd w:fill="F7F9FA"/>
          </w:tcPr>
          <w:p>
            <w:r>
              <w:rPr>
                <w:b w:val="0"/>
                <w:sz w:val="18"/>
              </w:rPr>
              <w:t>P4 — Muito alta</w:t>
            </w:r>
          </w:p>
        </w:tc>
        <w:tc>
          <w:tcPr>
            <w:tcW w:type="dxa" w:w="4762"/>
            <w:vAlign w:val="top"/>
            <w:tcMar>
              <w:top w:w="80" w:type="dxa"/>
              <w:start w:w="100" w:type="dxa"/>
              <w:bottom w:w="80" w:type="dxa"/>
              <w:end w:w="100" w:type="dxa"/>
            </w:tcMar>
            <w:shd w:fill="F7F9FA"/>
          </w:tcPr>
          <w:p>
            <w:r>
              <w:rPr>
                <w:b w:val="0"/>
                <w:sz w:val="18"/>
              </w:rPr>
              <w:t>P3 — Alta</w:t>
            </w:r>
          </w:p>
        </w:tc>
      </w:tr>
    </w:tbl>
    <w:p>
      <w:pPr>
        <w:spacing w:after="20"/>
      </w:pPr>
    </w:p>
    <w:p>
      <w:r>
        <w:rPr>
          <w:b w:val="0"/>
        </w:rPr>
        <w:t xml:space="preserve">O risco residual é uma </w:t>
      </w:r>
      <w:r>
        <w:rPr>
          <w:b/>
        </w:rPr>
        <w:t>projeção condicionada</w:t>
      </w:r>
      <w:r>
        <w:rPr>
          <w:b w:val="0"/>
        </w:rPr>
        <w:t>. Ele somente permanece válido enquanto todos os controles selecionados forem implementados integralmente.</w:t>
      </w:r>
    </w:p>
    <w:p>
      <w:r>
        <w:rPr>
          <w:b w:val="0"/>
        </w:rPr>
        <w:t>Se um controle não puder ser implementado ou tiver sua aplicabilidade alterada, o cenário deve ser revisto e o risco recalculado.</w:t>
      </w:r>
    </w:p>
    <w:p>
      <w:pPr>
        <w:pStyle w:val="Heading1"/>
        <w:pageBreakBefore/>
      </w:pPr>
      <w:r>
        <w:rPr>
          <w:b w:val="0"/>
        </w:rPr>
        <w:t>14. Condicionantes, exceções e revisão manual</w:t>
      </w:r>
    </w:p>
    <w:p>
      <w:r>
        <w:rPr>
          <w:b w:val="0"/>
        </w:rPr>
        <w:t>A avaliação prospectiva não produz bloqueio por ausência de evidência individual dos controles. Entretanto, o Parecer deve registrar condicionantes que preservem a validade do cálculo.</w:t>
      </w:r>
    </w:p>
    <w:p>
      <w:r>
        <w:rPr>
          <w:b w:val="0"/>
        </w:rPr>
        <w:t>São condições materiais para encaminhamento:</w:t>
      </w:r>
    </w:p>
    <w:p>
      <w:pPr>
        <w:pStyle w:val="ListBullet"/>
      </w:pPr>
      <w:r>
        <w:rPr>
          <w:b w:val="0"/>
        </w:rPr>
        <w:t>pergunta aplicável sem resposta ou informação crítica desconhecida;</w:t>
      </w:r>
    </w:p>
    <w:p>
      <w:pPr>
        <w:pStyle w:val="ListBullet"/>
      </w:pPr>
      <w:r>
        <w:rPr>
          <w:b w:val="0"/>
        </w:rPr>
        <w:t>uso de provider, modelo, região ou capacidade proibida ou não autorizada;</w:t>
      </w:r>
    </w:p>
    <w:p>
      <w:pPr>
        <w:pStyle w:val="ListBullet"/>
      </w:pPr>
      <w:r>
        <w:rPr>
          <w:b w:val="0"/>
        </w:rPr>
        <w:t>tratamento de dado proibido ou incompatível com a finalidade;</w:t>
      </w:r>
    </w:p>
    <w:p>
      <w:pPr>
        <w:pStyle w:val="ListBullet"/>
      </w:pPr>
      <w:r>
        <w:rPr>
          <w:b w:val="0"/>
        </w:rPr>
        <w:t>controle aplicável que não possa ser implementado;</w:t>
      </w:r>
    </w:p>
    <w:p>
      <w:pPr>
        <w:pStyle w:val="ListBullet"/>
      </w:pPr>
      <w:r>
        <w:rPr>
          <w:b w:val="0"/>
        </w:rPr>
        <w:t>responsabilidade por controle não determinada;</w:t>
      </w:r>
    </w:p>
    <w:p>
      <w:pPr>
        <w:pStyle w:val="ListBullet"/>
      </w:pPr>
      <w:r>
        <w:rPr>
          <w:b w:val="0"/>
        </w:rPr>
        <w:t>divergência sobre a aplicabilidade de controle selecionado;</w:t>
      </w:r>
    </w:p>
    <w:p>
      <w:pPr>
        <w:pStyle w:val="ListBullet"/>
      </w:pPr>
      <w:r>
        <w:rPr>
          <w:b w:val="0"/>
        </w:rPr>
        <w:t>mudança material posterior ao cálculo;</w:t>
      </w:r>
    </w:p>
    <w:p>
      <w:pPr>
        <w:pStyle w:val="ListBullet"/>
      </w:pPr>
      <w:r>
        <w:rPr>
          <w:b w:val="0"/>
        </w:rPr>
        <w:t>exceção vencida ou condicionante não cumprida.</w:t>
      </w:r>
    </w:p>
    <w:p>
      <w:pPr>
        <w:pStyle w:val="Heading2"/>
      </w:pPr>
      <w:r>
        <w:rPr>
          <w:b w:val="0"/>
        </w:rPr>
        <w:t>14.1 Exceção</w:t>
      </w:r>
    </w:p>
    <w:p>
      <w:r>
        <w:rPr>
          <w:b w:val="0"/>
        </w:rPr>
        <w:t>A impossibilidade de aplicar um controle deve gerar solicitação formal de exceção. A aprovação da exceção não é automática e depende das alçadas corporativas aplicáveis.</w:t>
      </w:r>
    </w:p>
    <w:p>
      <w:pPr>
        <w:pStyle w:val="Heading2"/>
      </w:pPr>
      <w:r>
        <w:rPr>
          <w:b w:val="0"/>
        </w:rPr>
        <w:t>14.2 Revisão manual</w:t>
      </w:r>
    </w:p>
    <w:p>
      <w:r>
        <w:rPr>
          <w:b w:val="0"/>
        </w:rPr>
        <w:t>A alegação de que um controle não faz sentido deve gerar revisão manual. Somente após a decisão registrada o controle pode ser removido e a aplicabilidade recalculada.</w:t>
      </w:r>
    </w:p>
    <w:p>
      <w:pPr>
        <w:pStyle w:val="Heading2"/>
      </w:pPr>
      <w:r>
        <w:rPr>
          <w:b w:val="0"/>
        </w:rPr>
        <w:t>14.3 Validade do Parecer</w:t>
      </w:r>
    </w:p>
    <w:p>
      <w:r>
        <w:rPr>
          <w:b w:val="0"/>
        </w:rPr>
        <w:t>O Parecer permanece condicionado:</w:t>
      </w:r>
    </w:p>
    <w:p>
      <w:pPr>
        <w:pStyle w:val="ListBullet"/>
      </w:pPr>
      <w:r>
        <w:rPr>
          <w:b w:val="0"/>
        </w:rPr>
        <w:t>à implementação integral dos controles selecionados;</w:t>
      </w:r>
    </w:p>
    <w:p>
      <w:pPr>
        <w:pStyle w:val="ListBullet"/>
      </w:pPr>
      <w:r>
        <w:rPr>
          <w:b w:val="0"/>
        </w:rPr>
        <w:t>ao atendimento das aprovações corporativas pertinentes;</w:t>
      </w:r>
    </w:p>
    <w:p>
      <w:pPr>
        <w:pStyle w:val="ListBullet"/>
      </w:pPr>
      <w:r>
        <w:rPr>
          <w:b w:val="0"/>
        </w:rPr>
        <w:t>à inexistência de mudança material após a avaliação;</w:t>
      </w:r>
    </w:p>
    <w:p>
      <w:pPr>
        <w:pStyle w:val="ListBullet"/>
      </w:pPr>
      <w:r>
        <w:rPr>
          <w:b w:val="0"/>
        </w:rPr>
        <w:t>ao tratamento das pendências e exceções identificadas.</w:t>
      </w:r>
    </w:p>
    <w:p>
      <w:pPr>
        <w:pStyle w:val="Heading1"/>
        <w:pageBreakBefore/>
      </w:pPr>
      <w:r>
        <w:rPr>
          <w:b w:val="0"/>
        </w:rPr>
        <w:t>15. Decisão recomendada</w:t>
      </w:r>
    </w:p>
    <w:p>
      <w:r>
        <w:rPr>
          <w:b w:val="0"/>
        </w:rPr>
        <w:t>O cálculo automatizado deve produzir uma das seguintes recomendações técnicas:</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4762"/>
            <w:vAlign w:val="top"/>
            <w:tcMar>
              <w:top w:w="80" w:type="dxa"/>
              <w:start w:w="100" w:type="dxa"/>
              <w:bottom w:w="80" w:type="dxa"/>
              <w:end w:w="100" w:type="dxa"/>
            </w:tcMar>
            <w:shd w:fill="28465C"/>
          </w:tcPr>
          <w:p>
            <w:r>
              <w:rPr>
                <w:b/>
                <w:color w:val="FFFFFF"/>
                <w:sz w:val="18"/>
              </w:rPr>
              <w:t>Decisão</w:t>
            </w:r>
          </w:p>
        </w:tc>
        <w:tc>
          <w:tcPr>
            <w:tcW w:type="dxa" w:w="4762"/>
            <w:vAlign w:val="top"/>
            <w:tcMar>
              <w:top w:w="80" w:type="dxa"/>
              <w:start w:w="100" w:type="dxa"/>
              <w:bottom w:w="80" w:type="dxa"/>
              <w:end w:w="100" w:type="dxa"/>
            </w:tcMar>
            <w:shd w:fill="28465C"/>
          </w:tcPr>
          <w:p>
            <w:r>
              <w:rPr>
                <w:b/>
                <w:color w:val="FFFFFF"/>
                <w:sz w:val="18"/>
              </w:rPr>
              <w:t>Uso esperado</w:t>
            </w:r>
          </w:p>
        </w:tc>
      </w:tr>
      <w:tr>
        <w:tc>
          <w:tcPr>
            <w:tcW w:type="dxa" w:w="4762"/>
            <w:vAlign w:val="top"/>
            <w:tcMar>
              <w:top w:w="80" w:type="dxa"/>
              <w:start w:w="100" w:type="dxa"/>
              <w:bottom w:w="80" w:type="dxa"/>
              <w:end w:w="100" w:type="dxa"/>
            </w:tcMar>
          </w:tcPr>
          <w:p>
            <w:r>
              <w:rPr>
                <w:b w:val="0"/>
                <w:sz w:val="18"/>
              </w:rPr>
              <w:t>Aprovado</w:t>
            </w:r>
          </w:p>
        </w:tc>
        <w:tc>
          <w:tcPr>
            <w:tcW w:type="dxa" w:w="4762"/>
            <w:vAlign w:val="top"/>
            <w:tcMar>
              <w:top w:w="80" w:type="dxa"/>
              <w:start w:w="100" w:type="dxa"/>
              <w:bottom w:w="80" w:type="dxa"/>
              <w:end w:w="100" w:type="dxa"/>
            </w:tcMar>
          </w:tcPr>
          <w:p>
            <w:r>
              <w:rPr>
                <w:b w:val="0"/>
                <w:sz w:val="18"/>
              </w:rPr>
              <w:t>Risco residual projetado Baixo ou Moderado, condicionado à implementação integral dos controles e às demais aprovações corporativas.</w:t>
            </w:r>
          </w:p>
        </w:tc>
      </w:tr>
      <w:tr>
        <w:tc>
          <w:tcPr>
            <w:tcW w:type="dxa" w:w="4762"/>
            <w:vAlign w:val="top"/>
            <w:tcMar>
              <w:top w:w="80" w:type="dxa"/>
              <w:start w:w="100" w:type="dxa"/>
              <w:bottom w:w="80" w:type="dxa"/>
              <w:end w:w="100" w:type="dxa"/>
            </w:tcMar>
            <w:shd w:fill="F7F9FA"/>
          </w:tcPr>
          <w:p>
            <w:r>
              <w:rPr>
                <w:b w:val="0"/>
                <w:sz w:val="18"/>
              </w:rPr>
              <w:t>Aprovado com condições</w:t>
            </w:r>
          </w:p>
        </w:tc>
        <w:tc>
          <w:tcPr>
            <w:tcW w:type="dxa" w:w="4762"/>
            <w:vAlign w:val="top"/>
            <w:tcMar>
              <w:top w:w="80" w:type="dxa"/>
              <w:start w:w="100" w:type="dxa"/>
              <w:bottom w:w="80" w:type="dxa"/>
              <w:end w:w="100" w:type="dxa"/>
            </w:tcMar>
            <w:shd w:fill="F7F9FA"/>
          </w:tcPr>
          <w:p>
            <w:r>
              <w:rPr>
                <w:b w:val="0"/>
                <w:sz w:val="18"/>
              </w:rPr>
              <w:t>Risco residual projetado Alto, exigindo implementação integral dos controles, acompanhamento reforçado e atendimento das condicionantes registradas.</w:t>
            </w:r>
          </w:p>
        </w:tc>
      </w:tr>
      <w:tr>
        <w:tc>
          <w:tcPr>
            <w:tcW w:type="dxa" w:w="4762"/>
            <w:vAlign w:val="top"/>
            <w:tcMar>
              <w:top w:w="80" w:type="dxa"/>
              <w:start w:w="100" w:type="dxa"/>
              <w:bottom w:w="80" w:type="dxa"/>
              <w:end w:w="100" w:type="dxa"/>
            </w:tcMar>
          </w:tcPr>
          <w:p>
            <w:r>
              <w:rPr>
                <w:b w:val="0"/>
                <w:sz w:val="18"/>
              </w:rPr>
              <w:t>Não aprovado</w:t>
            </w:r>
          </w:p>
        </w:tc>
        <w:tc>
          <w:tcPr>
            <w:tcW w:type="dxa" w:w="4762"/>
            <w:vAlign w:val="top"/>
            <w:tcMar>
              <w:top w:w="80" w:type="dxa"/>
              <w:start w:w="100" w:type="dxa"/>
              <w:bottom w:w="80" w:type="dxa"/>
              <w:end w:w="100" w:type="dxa"/>
            </w:tcMar>
          </w:tcPr>
          <w:p>
            <w:r>
              <w:rPr>
                <w:b w:val="0"/>
                <w:sz w:val="18"/>
              </w:rPr>
              <w:t>Risco residual projetado Crítico ou existência de condição incompatível com o uso pretendido.</w:t>
            </w:r>
          </w:p>
        </w:tc>
      </w:tr>
    </w:tbl>
    <w:p>
      <w:pPr>
        <w:spacing w:after="20"/>
      </w:pPr>
    </w:p>
    <w:p>
      <w:r>
        <w:rPr>
          <w:b w:val="0"/>
        </w:rPr>
        <w:t>Encaminhamentos complementares podem ser necessários:</w:t>
      </w:r>
    </w:p>
    <w:p>
      <w:pPr>
        <w:pStyle w:val="ListBullet"/>
      </w:pPr>
      <w:r>
        <w:rPr>
          <w:b/>
        </w:rPr>
        <w:t>Solicitação de exceção</w:t>
      </w:r>
      <w:r>
        <w:rPr>
          <w:b w:val="0"/>
        </w:rPr>
        <w:t>, quando um controle aplicável não puder ser implementado;</w:t>
      </w:r>
    </w:p>
    <w:p>
      <w:pPr>
        <w:pStyle w:val="ListBullet"/>
      </w:pPr>
      <w:r>
        <w:rPr>
          <w:b/>
        </w:rPr>
        <w:t>Revisão manual</w:t>
      </w:r>
      <w:r>
        <w:rPr>
          <w:b w:val="0"/>
        </w:rPr>
        <w:t>, quando a aplicabilidade de um controle for questionada;</w:t>
      </w:r>
    </w:p>
    <w:p>
      <w:pPr>
        <w:pStyle w:val="ListBullet"/>
      </w:pPr>
      <w:r>
        <w:rPr>
          <w:b/>
        </w:rPr>
        <w:t>Complementação de informações</w:t>
      </w:r>
      <w:r>
        <w:rPr>
          <w:b w:val="0"/>
        </w:rPr>
        <w:t>, quando respostas necessárias não estiverem disponíveis.</w:t>
      </w:r>
    </w:p>
    <w:p>
      <w:r>
        <w:rPr>
          <w:b w:val="0"/>
        </w:rPr>
        <w:t>O resultado calculado é uma recomendação técnica e não substitui alçadas de homologação, aceite de risco, contratação, privacidade, jurídico, continuidade ou GRC.</w:t>
      </w:r>
    </w:p>
    <w:p>
      <w:pPr>
        <w:pStyle w:val="Heading1"/>
        <w:pageBreakBefore/>
      </w:pPr>
      <w:r>
        <w:rPr>
          <w:b w:val="0"/>
        </w:rPr>
        <w:t>16. Saídas mínimas e trilha de auditoria</w:t>
      </w:r>
    </w:p>
    <w:p>
      <w:r>
        <w:rPr>
          <w:b w:val="0"/>
        </w:rPr>
        <w:t>A avaliação deve registrar:</w:t>
      </w:r>
    </w:p>
    <w:p>
      <w:pPr>
        <w:pStyle w:val="ListBullet"/>
      </w:pPr>
      <w:r>
        <w:rPr>
          <w:b w:val="0"/>
        </w:rPr>
        <w:t>identificação do projeto, produto, serviço ou fornecedor;</w:t>
      </w:r>
    </w:p>
    <w:p>
      <w:pPr>
        <w:pStyle w:val="ListBullet"/>
      </w:pPr>
      <w:r>
        <w:rPr>
          <w:b w:val="0"/>
        </w:rPr>
        <w:t>respostas aplicáveis do FRM-001;</w:t>
      </w:r>
    </w:p>
    <w:p>
      <w:pPr>
        <w:pStyle w:val="ListBullet"/>
      </w:pPr>
      <w:r>
        <w:rPr>
          <w:b w:val="0"/>
        </w:rPr>
        <w:t>cenário ou cenários avaliados;</w:t>
      </w:r>
    </w:p>
    <w:p>
      <w:pPr>
        <w:pStyle w:val="ListBullet"/>
      </w:pPr>
      <w:r>
        <w:rPr>
          <w:b w:val="0"/>
        </w:rPr>
        <w:t>modelo de fornecimento e responsabilidades;</w:t>
      </w:r>
    </w:p>
    <w:p>
      <w:pPr>
        <w:pStyle w:val="ListBullet"/>
      </w:pPr>
      <w:r>
        <w:rPr>
          <w:b w:val="0"/>
        </w:rPr>
        <w:t>classe H1-H4 e justificativa;</w:t>
      </w:r>
    </w:p>
    <w:p>
      <w:pPr>
        <w:pStyle w:val="ListBullet"/>
      </w:pPr>
      <w:r>
        <w:rPr>
          <w:b w:val="0"/>
        </w:rPr>
        <w:t>quatro dimensões de impacto, valores e justificativas;</w:t>
      </w:r>
    </w:p>
    <w:p>
      <w:pPr>
        <w:pStyle w:val="ListBullet"/>
      </w:pPr>
      <w:r>
        <w:rPr>
          <w:b w:val="0"/>
        </w:rPr>
        <w:t>cinco fatores de probabilidade, pontuação e justificativas;</w:t>
      </w:r>
    </w:p>
    <w:p>
      <w:pPr>
        <w:pStyle w:val="ListBullet"/>
      </w:pPr>
      <w:r>
        <w:rPr>
          <w:b w:val="0"/>
        </w:rPr>
        <w:t>pisos aplicados e condições que os acionaram;</w:t>
      </w:r>
    </w:p>
    <w:p>
      <w:pPr>
        <w:pStyle w:val="ListBullet"/>
      </w:pPr>
      <w:r>
        <w:rPr>
          <w:b w:val="0"/>
        </w:rPr>
        <w:t>risco inerente;</w:t>
      </w:r>
    </w:p>
    <w:p>
      <w:pPr>
        <w:pStyle w:val="ListBullet"/>
      </w:pPr>
      <w:r>
        <w:rPr>
          <w:b w:val="0"/>
        </w:rPr>
        <w:t>baselines e controles aplicáveis selecionados pela MTR-001;</w:t>
      </w:r>
    </w:p>
    <w:p>
      <w:pPr>
        <w:pStyle w:val="ListBullet"/>
      </w:pPr>
      <w:r>
        <w:rPr>
          <w:b w:val="0"/>
        </w:rPr>
        <w:t>conteúdo completo dos controles;</w:t>
      </w:r>
    </w:p>
    <w:p>
      <w:pPr>
        <w:pStyle w:val="ListBullet"/>
      </w:pPr>
      <w:r>
        <w:rPr>
          <w:b w:val="0"/>
        </w:rPr>
        <w:t>responsabilidade e critério de atribuição de cada controle;</w:t>
      </w:r>
    </w:p>
    <w:p>
      <w:pPr>
        <w:pStyle w:val="ListBullet"/>
      </w:pPr>
      <w:r>
        <w:rPr>
          <w:b w:val="0"/>
        </w:rPr>
        <w:t>premissa de aplicação integral;</w:t>
      </w:r>
    </w:p>
    <w:p>
      <w:pPr>
        <w:pStyle w:val="ListBullet"/>
      </w:pPr>
      <w:r>
        <w:rPr>
          <w:b w:val="0"/>
        </w:rPr>
        <w:t>risco residual projetado;</w:t>
      </w:r>
    </w:p>
    <w:p>
      <w:pPr>
        <w:pStyle w:val="ListBullet"/>
      </w:pPr>
      <w:r>
        <w:rPr>
          <w:b w:val="0"/>
        </w:rPr>
        <w:t>condicionantes, pendências, exceções e revisões manuais necessárias;</w:t>
      </w:r>
    </w:p>
    <w:p>
      <w:pPr>
        <w:pStyle w:val="ListBullet"/>
      </w:pPr>
      <w:r>
        <w:rPr>
          <w:b w:val="0"/>
        </w:rPr>
        <w:t>decisão recomendada;</w:t>
      </w:r>
    </w:p>
    <w:p>
      <w:pPr>
        <w:pStyle w:val="ListBullet"/>
      </w:pPr>
      <w:r>
        <w:rPr>
          <w:b w:val="0"/>
        </w:rPr>
        <w:t>versões do FRM-001, MET-001, MTR-001 e BAS-001 a BAS-006;</w:t>
      </w:r>
    </w:p>
    <w:p>
      <w:pPr>
        <w:pStyle w:val="ListBullet"/>
      </w:pPr>
      <w:r>
        <w:rPr>
          <w:b w:val="0"/>
        </w:rPr>
        <w:t>data e hora de geração;</w:t>
      </w:r>
    </w:p>
    <w:p>
      <w:pPr>
        <w:pStyle w:val="ListBullet"/>
      </w:pPr>
      <w:r>
        <w:rPr>
          <w:b w:val="0"/>
        </w:rPr>
        <w:t>identificador único e impressão digital do snapshot exportado.</w:t>
      </w:r>
    </w:p>
    <w:p>
      <w:r>
        <w:rPr>
          <w:b w:val="0"/>
        </w:rPr>
        <w:t>Não são exigidos nesta etapa:</w:t>
      </w:r>
    </w:p>
    <w:p>
      <w:pPr>
        <w:pStyle w:val="ListBullet"/>
      </w:pPr>
      <w:r>
        <w:rPr>
          <w:b w:val="0"/>
        </w:rPr>
        <w:t>status individual de conformidade;</w:t>
      </w:r>
    </w:p>
    <w:p>
      <w:pPr>
        <w:pStyle w:val="ListBullet"/>
      </w:pPr>
      <w:r>
        <w:rPr>
          <w:b w:val="0"/>
        </w:rPr>
        <w:t>percentual de controles conformes;</w:t>
      </w:r>
    </w:p>
    <w:p>
      <w:pPr>
        <w:pStyle w:val="ListBullet"/>
      </w:pPr>
      <w:r>
        <w:rPr>
          <w:b w:val="0"/>
        </w:rPr>
        <w:t>evidência individual anexada ao formulário;</w:t>
      </w:r>
    </w:p>
    <w:p>
      <w:pPr>
        <w:pStyle w:val="ListBullet"/>
      </w:pPr>
      <w:r>
        <w:rPr>
          <w:b w:val="0"/>
        </w:rPr>
        <w:t>classificação de efetividade baseada em evidência.</w:t>
      </w:r>
    </w:p>
    <w:p>
      <w:r>
        <w:rPr>
          <w:b w:val="0"/>
        </w:rPr>
        <w:t>Qualquer alteração manual de impacto, probabilidade, aplicabilidade, responsabilidade ou resultado deve possuir justificativa, responsável, data e aprovação conforme alçada.</w:t>
      </w:r>
    </w:p>
    <w:p>
      <w:pPr>
        <w:pStyle w:val="Heading1"/>
        <w:pageBreakBefore/>
      </w:pPr>
      <w:r>
        <w:rPr>
          <w:b w:val="0"/>
        </w:rPr>
        <w:t>17. Gatilhos de reavaliação</w:t>
      </w:r>
    </w:p>
    <w:p>
      <w:r>
        <w:rPr>
          <w:b w:val="0"/>
        </w:rPr>
        <w:t>A avaliação deve ser repetida quando ocorrer:</w:t>
      </w:r>
    </w:p>
    <w:p>
      <w:pPr>
        <w:pStyle w:val="ListBullet"/>
      </w:pPr>
      <w:r>
        <w:rPr>
          <w:b w:val="0"/>
        </w:rPr>
        <w:t>mudança de finalidade, público-alvo ou dados tratados;</w:t>
      </w:r>
    </w:p>
    <w:p>
      <w:pPr>
        <w:pStyle w:val="ListBullet"/>
      </w:pPr>
      <w:r>
        <w:rPr>
          <w:b w:val="0"/>
        </w:rPr>
        <w:t>novo provider, modelo, região, deployment ou capacidade;</w:t>
      </w:r>
    </w:p>
    <w:p>
      <w:pPr>
        <w:pStyle w:val="ListBullet"/>
      </w:pPr>
      <w:r>
        <w:rPr>
          <w:b w:val="0"/>
        </w:rPr>
        <w:t>ativação de RAG, agente, tool, MCP, memória ou autonomia;</w:t>
      </w:r>
    </w:p>
    <w:p>
      <w:pPr>
        <w:pStyle w:val="ListBullet"/>
      </w:pPr>
      <w:r>
        <w:rPr>
          <w:b w:val="0"/>
        </w:rPr>
        <w:t>alteração relevante do fornecedor, contrato, subprocessador ou termo de uso;</w:t>
      </w:r>
    </w:p>
    <w:p>
      <w:pPr>
        <w:pStyle w:val="ListBullet"/>
      </w:pPr>
      <w:r>
        <w:rPr>
          <w:b w:val="0"/>
        </w:rPr>
        <w:t>mudança de retenção, treinamento com dados, localização ou compartilhamento;</w:t>
      </w:r>
    </w:p>
    <w:p>
      <w:pPr>
        <w:pStyle w:val="ListBullet"/>
      </w:pPr>
      <w:r>
        <w:rPr>
          <w:b w:val="0"/>
        </w:rPr>
        <w:t>exposição externa, integração com sistema crítico ou aumento de privilégio;</w:t>
      </w:r>
    </w:p>
    <w:p>
      <w:pPr>
        <w:pStyle w:val="ListBullet"/>
      </w:pPr>
      <w:r>
        <w:rPr>
          <w:b w:val="0"/>
        </w:rPr>
        <w:t>incidente, quase incidente, vulnerabilidade ou falha de controle;</w:t>
      </w:r>
    </w:p>
    <w:p>
      <w:pPr>
        <w:pStyle w:val="ListBullet"/>
      </w:pPr>
      <w:r>
        <w:rPr>
          <w:b w:val="0"/>
        </w:rPr>
        <w:t>exceção vencida, condicionante não cumprida ou evidência expirada;</w:t>
      </w:r>
    </w:p>
    <w:p>
      <w:pPr>
        <w:pStyle w:val="ListBullet"/>
      </w:pPr>
      <w:r>
        <w:rPr>
          <w:b w:val="0"/>
        </w:rPr>
        <w:t>descontinuação de modelo, provider ou serviço;</w:t>
      </w:r>
    </w:p>
    <w:p>
      <w:pPr>
        <w:pStyle w:val="ListBullet"/>
      </w:pPr>
      <w:r>
        <w:rPr>
          <w:b w:val="0"/>
        </w:rPr>
        <w:t>mudança regulatória, normativa ou no apetite de risco.</w:t>
      </w:r>
    </w:p>
    <w:p>
      <w:pPr>
        <w:pStyle w:val="Heading1"/>
        <w:pageBreakBefore/>
      </w:pPr>
      <w:r>
        <w:rPr>
          <w:b w:val="0"/>
        </w:rPr>
        <w:t>18. Exemplos de aplicação</w:t>
      </w:r>
    </w:p>
    <w:p>
      <w:pPr>
        <w:pStyle w:val="Heading2"/>
      </w:pPr>
      <w:r>
        <w:rPr>
          <w:b w:val="0"/>
        </w:rPr>
        <w:t>18.1 SaaS com IA para resumir documentos públicos</w:t>
      </w:r>
    </w:p>
    <w:p>
      <w:pPr>
        <w:pStyle w:val="ListBullet"/>
      </w:pPr>
      <w:r>
        <w:rPr>
          <w:b w:val="0"/>
        </w:rPr>
        <w:t>Cenário: solução de terceiro, sem dados sensíveis e sem integração com sistemas.</w:t>
      </w:r>
    </w:p>
    <w:p>
      <w:pPr>
        <w:pStyle w:val="ListBullet"/>
      </w:pPr>
      <w:r>
        <w:rPr>
          <w:b w:val="0"/>
        </w:rPr>
        <w:t>Impacto: I1.</w:t>
      </w:r>
    </w:p>
    <w:p>
      <w:pPr>
        <w:pStyle w:val="ListBullet"/>
      </w:pPr>
      <w:r>
        <w:rPr>
          <w:b w:val="0"/>
        </w:rPr>
        <w:t>Fatores positivos: dependência de terceiro — 1 ponto.</w:t>
      </w:r>
    </w:p>
    <w:p>
      <w:pPr>
        <w:pStyle w:val="ListBullet"/>
      </w:pPr>
      <w:r>
        <w:rPr>
          <w:b w:val="0"/>
        </w:rPr>
        <w:t>Probabilidade inerente: P2.</w:t>
      </w:r>
    </w:p>
    <w:p>
      <w:pPr>
        <w:pStyle w:val="ListBullet"/>
      </w:pPr>
      <w:r>
        <w:rPr>
          <w:b w:val="0"/>
        </w:rPr>
        <w:t>Risco inerente: Baixo.</w:t>
      </w:r>
    </w:p>
    <w:p>
      <w:pPr>
        <w:pStyle w:val="ListBullet"/>
      </w:pPr>
      <w:r>
        <w:rPr>
          <w:b w:val="0"/>
        </w:rPr>
        <w:t>Baselines: BAS-001 e BAS-006, conforme operação e logging.</w:t>
      </w:r>
    </w:p>
    <w:p>
      <w:pPr>
        <w:pStyle w:val="ListBullet"/>
      </w:pPr>
      <w:r>
        <w:rPr>
          <w:b w:val="0"/>
        </w:rPr>
        <w:t>Premissa: todos os controles selecionados serão implementados integralmente.</w:t>
      </w:r>
    </w:p>
    <w:p>
      <w:pPr>
        <w:pStyle w:val="ListBullet"/>
      </w:pPr>
      <w:r>
        <w:rPr>
          <w:b w:val="0"/>
        </w:rPr>
        <w:t>Probabilidade residual projetada: P1.</w:t>
      </w:r>
    </w:p>
    <w:p>
      <w:pPr>
        <w:pStyle w:val="ListBullet"/>
      </w:pPr>
      <w:r>
        <w:rPr>
          <w:b w:val="0"/>
        </w:rPr>
        <w:t>Risco residual projetado: Baixo.</w:t>
      </w:r>
    </w:p>
    <w:p>
      <w:pPr>
        <w:pStyle w:val="ListBullet"/>
      </w:pPr>
      <w:r>
        <w:rPr>
          <w:b w:val="0"/>
        </w:rPr>
        <w:t>Decisão técnica: Aprovado, condicionado à implementação dos controles.</w:t>
      </w:r>
    </w:p>
    <w:p>
      <w:pPr>
        <w:pStyle w:val="Heading2"/>
      </w:pPr>
      <w:r>
        <w:rPr>
          <w:b w:val="0"/>
        </w:rPr>
        <w:t>18.2 SaaS com IA processando dados bancários</w:t>
      </w:r>
    </w:p>
    <w:p>
      <w:pPr>
        <w:pStyle w:val="ListBullet"/>
      </w:pPr>
      <w:r>
        <w:rPr>
          <w:b w:val="0"/>
        </w:rPr>
        <w:t>Cenário: solução de terceiro, dados bancários, subprocessadores e retenção desconhecida.</w:t>
      </w:r>
    </w:p>
    <w:p>
      <w:pPr>
        <w:pStyle w:val="ListBullet"/>
      </w:pPr>
      <w:r>
        <w:rPr>
          <w:b w:val="0"/>
        </w:rPr>
        <w:t>Impacto: I4.</w:t>
      </w:r>
    </w:p>
    <w:p>
      <w:pPr>
        <w:pStyle w:val="ListBullet"/>
      </w:pPr>
      <w:r>
        <w:rPr>
          <w:b w:val="0"/>
        </w:rPr>
        <w:t>Fatores positivos: conteúdo relevante, terceiro e integrações — 3 pontos.</w:t>
      </w:r>
    </w:p>
    <w:p>
      <w:pPr>
        <w:pStyle w:val="ListBullet"/>
      </w:pPr>
      <w:r>
        <w:rPr>
          <w:b w:val="0"/>
        </w:rPr>
        <w:t>Piso: localização ou subprocessadores desconhecidos — P3.</w:t>
      </w:r>
    </w:p>
    <w:p>
      <w:pPr>
        <w:pStyle w:val="ListBullet"/>
      </w:pPr>
      <w:r>
        <w:rPr>
          <w:b w:val="0"/>
        </w:rPr>
        <w:t>Probabilidade inerente: P3.</w:t>
      </w:r>
    </w:p>
    <w:p>
      <w:pPr>
        <w:pStyle w:val="ListBullet"/>
      </w:pPr>
      <w:r>
        <w:rPr>
          <w:b w:val="0"/>
        </w:rPr>
        <w:t>Risco inerente: Crítico.</w:t>
      </w:r>
    </w:p>
    <w:p>
      <w:pPr>
        <w:pStyle w:val="ListBullet"/>
      </w:pPr>
      <w:r>
        <w:rPr>
          <w:b w:val="0"/>
        </w:rPr>
        <w:t>Premissa: aplicação integral dos controles selecionados.</w:t>
      </w:r>
    </w:p>
    <w:p>
      <w:pPr>
        <w:pStyle w:val="ListBullet"/>
      </w:pPr>
      <w:r>
        <w:rPr>
          <w:b w:val="0"/>
        </w:rPr>
        <w:t>Probabilidade residual projetada: P2.</w:t>
      </w:r>
    </w:p>
    <w:p>
      <w:pPr>
        <w:pStyle w:val="ListBullet"/>
      </w:pPr>
      <w:r>
        <w:rPr>
          <w:b w:val="0"/>
        </w:rPr>
        <w:t>Risco residual projetado: Alto.</w:t>
      </w:r>
    </w:p>
    <w:p>
      <w:pPr>
        <w:pStyle w:val="ListBullet"/>
      </w:pPr>
      <w:r>
        <w:rPr>
          <w:b w:val="0"/>
        </w:rPr>
        <w:t>Decisão técnica: Aprovado com condições, desde que todos os controles sejam implementados e as informações pendentes sejam resolvidas.</w:t>
      </w:r>
    </w:p>
    <w:p>
      <w:pPr>
        <w:pStyle w:val="ListBullet"/>
      </w:pPr>
      <w:r>
        <w:rPr>
          <w:b w:val="0"/>
        </w:rPr>
        <w:t>Caso o fornecedor não possa atender um controle: solicitar exceção e recalcular.</w:t>
      </w:r>
    </w:p>
    <w:p>
      <w:pPr>
        <w:pStyle w:val="Heading2"/>
      </w:pPr>
      <w:r>
        <w:rPr>
          <w:b w:val="0"/>
        </w:rPr>
        <w:t>18.3 Agente interno com ação em sistema corporativo</w:t>
      </w:r>
    </w:p>
    <w:p>
      <w:pPr>
        <w:pStyle w:val="ListBullet"/>
      </w:pPr>
      <w:r>
        <w:rPr>
          <w:b w:val="0"/>
        </w:rPr>
        <w:t>Cenário: agente que consulta RAG e cria registros em sistema interno.</w:t>
      </w:r>
    </w:p>
    <w:p>
      <w:pPr>
        <w:pStyle w:val="ListBullet"/>
      </w:pPr>
      <w:r>
        <w:rPr>
          <w:b w:val="0"/>
        </w:rPr>
        <w:t>Impacto: I3.</w:t>
      </w:r>
    </w:p>
    <w:p>
      <w:pPr>
        <w:pStyle w:val="ListBullet"/>
      </w:pPr>
      <w:r>
        <w:rPr>
          <w:b w:val="0"/>
        </w:rPr>
        <w:t>Fatores positivos: conteúdo não confiável, RAG e ação em sistema — 3 pontos.</w:t>
      </w:r>
    </w:p>
    <w:p>
      <w:pPr>
        <w:pStyle w:val="ListBullet"/>
      </w:pPr>
      <w:r>
        <w:rPr>
          <w:b w:val="0"/>
        </w:rPr>
        <w:t>Piso: agente com escrita — P3.</w:t>
      </w:r>
    </w:p>
    <w:p>
      <w:pPr>
        <w:pStyle w:val="ListBullet"/>
      </w:pPr>
      <w:r>
        <w:rPr>
          <w:b w:val="0"/>
        </w:rPr>
        <w:t>Probabilidade inerente: P3.</w:t>
      </w:r>
    </w:p>
    <w:p>
      <w:pPr>
        <w:pStyle w:val="ListBullet"/>
      </w:pPr>
      <w:r>
        <w:rPr>
          <w:b w:val="0"/>
        </w:rPr>
        <w:t>Risco inerente: Alto.</w:t>
      </w:r>
    </w:p>
    <w:p>
      <w:pPr>
        <w:pStyle w:val="ListBullet"/>
      </w:pPr>
      <w:r>
        <w:rPr>
          <w:b w:val="0"/>
        </w:rPr>
        <w:t>Baselines: BAS-001, BAS-002, BAS-003, BAS-004 e BAS-006.</w:t>
      </w:r>
    </w:p>
    <w:p>
      <w:pPr>
        <w:pStyle w:val="ListBullet"/>
      </w:pPr>
      <w:r>
        <w:rPr>
          <w:b w:val="0"/>
        </w:rPr>
        <w:t>Premissa: aplicação integral dos controles selecionados, incluindo autorização determinística, limites de ação, logging e contenção.</w:t>
      </w:r>
    </w:p>
    <w:p>
      <w:pPr>
        <w:pStyle w:val="ListBullet"/>
      </w:pPr>
      <w:r>
        <w:rPr>
          <w:b w:val="0"/>
        </w:rPr>
        <w:t>Probabilidade residual projetada: P2.</w:t>
      </w:r>
    </w:p>
    <w:p>
      <w:pPr>
        <w:pStyle w:val="ListBullet"/>
      </w:pPr>
      <w:r>
        <w:rPr>
          <w:b w:val="0"/>
        </w:rPr>
        <w:t>Risco residual projetado: Alto.</w:t>
      </w:r>
    </w:p>
    <w:p>
      <w:pPr>
        <w:pStyle w:val="ListBullet"/>
      </w:pPr>
      <w:r>
        <w:rPr>
          <w:b w:val="0"/>
        </w:rPr>
        <w:t>Decisão técnica: Aprovado com condições e monitoramento reforçado.</w:t>
      </w:r>
    </w:p>
    <w:p>
      <w:pPr>
        <w:pStyle w:val="Heading1"/>
        <w:pageBreakBefore/>
      </w:pPr>
      <w:r>
        <w:rPr>
          <w:b w:val="0"/>
        </w:rPr>
        <w:t>19. Resumo do algoritmo</w:t>
      </w:r>
    </w:p>
    <w:tbl>
      <w:tblPr>
        <w:tblW w:type="auto" w:w="0"/>
        <w:jc w:val="left"/>
        <w:tblLook w:firstColumn="1" w:firstRow="1" w:lastColumn="0" w:lastRow="0" w:noHBand="0" w:noVBand="1" w:val="04A0"/>
      </w:tblPr>
      <w:tblGrid>
        <w:gridCol w:w="9524"/>
      </w:tblGrid>
      <w:tr>
        <w:tc>
          <w:tcPr>
            <w:tcW w:type="dxa" w:w="9524"/>
            <w:shd w:fill="EEF3F6"/>
            <w:tcMar>
              <w:top w:w="120" w:type="dxa"/>
              <w:start w:w="140" w:type="dxa"/>
              <w:bottom w:w="120" w:type="dxa"/>
              <w:end w:w="140" w:type="dxa"/>
            </w:tcMar>
          </w:tcPr>
          <w:p>
            <w:r>
              <w:rPr>
                <w:rFonts w:ascii="Consolas" w:hAnsi="Consolas"/>
                <w:color w:val="182939"/>
                <w:sz w:val="17"/>
              </w:rPr>
              <w:t>1. Coletar no FRM-001 as informações do cenário, dados, capacidades e responsabilidades.</w:t>
              <w:br/>
              <w:t>2. Definir H = maior classe acionada.</w:t>
              <w:br/>
              <w:t>3. Definir I = maior impacto entre as quatro dimensões.</w:t>
              <w:br/>
              <w:t>4. Somar F1 a F5 e converter para P1 a P4.</w:t>
              <w:br/>
              <w:t>5. Aplicar pisos obrigatórios de probabilidade.</w:t>
              <w:br/>
              <w:t>6. Consultar a matriz para obter o risco inerente.</w:t>
              <w:br/>
              <w:t>7. Aplicar a MTR-001 para selecionar cumulativamente BAS-001 a BAS-006 e os controles específicos.</w:t>
              <w:br/>
              <w:t>8. Atribuir responsabilidade a cada controle com base no FRM-001 e na natureza técnica do requisito.</w:t>
              <w:br/>
              <w:t>9. Presumir a aplicação integral de todos os controles selecionados.</w:t>
              <w:br/>
              <w:t>10. Reduzir P em um nível, nunca abaixo de P1, e manter I.</w:t>
              <w:br/>
              <w:t>11. Consultar novamente a matriz para obter o risco residual projetado.</w:t>
              <w:br/>
              <w:t>12. Emitir o Parecer de Segurança e registrar condicionantes, exceções ou revisões manuais necessárias.</w:t>
            </w:r>
          </w:p>
        </w:tc>
      </w:tr>
    </w:tbl>
    <w:p>
      <w:pPr>
        <w:pStyle w:val="Heading1"/>
        <w:pageBreakBefore/>
      </w:pPr>
      <w:r>
        <w:rPr>
          <w:b w:val="0"/>
        </w:rPr>
        <w:t>20. Histórico de versão</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2381"/>
            <w:vAlign w:val="top"/>
            <w:tcMar>
              <w:top w:w="80" w:type="dxa"/>
              <w:start w:w="100" w:type="dxa"/>
              <w:bottom w:w="80" w:type="dxa"/>
              <w:end w:w="100" w:type="dxa"/>
            </w:tcMar>
            <w:shd w:fill="28465C"/>
          </w:tcPr>
          <w:p>
            <w:r>
              <w:rPr>
                <w:b/>
                <w:color w:val="FFFFFF"/>
                <w:sz w:val="17"/>
              </w:rPr>
              <w:t>Versão</w:t>
            </w:r>
          </w:p>
        </w:tc>
        <w:tc>
          <w:tcPr>
            <w:tcW w:type="dxa" w:w="2381"/>
            <w:vAlign w:val="top"/>
            <w:tcMar>
              <w:top w:w="80" w:type="dxa"/>
              <w:start w:w="100" w:type="dxa"/>
              <w:bottom w:w="80" w:type="dxa"/>
              <w:end w:w="100" w:type="dxa"/>
            </w:tcMar>
            <w:shd w:fill="28465C"/>
          </w:tcPr>
          <w:p>
            <w:r>
              <w:rPr>
                <w:b/>
                <w:color w:val="FFFFFF"/>
                <w:sz w:val="17"/>
              </w:rPr>
              <w:t>Data</w:t>
            </w:r>
          </w:p>
        </w:tc>
        <w:tc>
          <w:tcPr>
            <w:tcW w:type="dxa" w:w="2381"/>
            <w:vAlign w:val="top"/>
            <w:tcMar>
              <w:top w:w="80" w:type="dxa"/>
              <w:start w:w="100" w:type="dxa"/>
              <w:bottom w:w="80" w:type="dxa"/>
              <w:end w:w="100" w:type="dxa"/>
            </w:tcMar>
            <w:shd w:fill="28465C"/>
          </w:tcPr>
          <w:p>
            <w:r>
              <w:rPr>
                <w:b/>
                <w:color w:val="FFFFFF"/>
                <w:sz w:val="17"/>
              </w:rPr>
              <w:t>Descrição</w:t>
            </w:r>
          </w:p>
        </w:tc>
        <w:tc>
          <w:tcPr>
            <w:tcW w:type="dxa" w:w="2381"/>
            <w:vAlign w:val="top"/>
            <w:tcMar>
              <w:top w:w="80" w:type="dxa"/>
              <w:start w:w="100" w:type="dxa"/>
              <w:bottom w:w="80" w:type="dxa"/>
              <w:end w:w="100" w:type="dxa"/>
            </w:tcMar>
            <w:shd w:fill="28465C"/>
          </w:tcPr>
          <w:p>
            <w:r>
              <w:rPr>
                <w:b/>
                <w:color w:val="FFFFFF"/>
                <w:sz w:val="17"/>
              </w:rPr>
              <w:t>Responsável</w:t>
            </w:r>
          </w:p>
        </w:tc>
      </w:tr>
      <w:tr>
        <w:tc>
          <w:tcPr>
            <w:tcW w:type="dxa" w:w="2381"/>
            <w:vAlign w:val="top"/>
            <w:tcMar>
              <w:top w:w="80" w:type="dxa"/>
              <w:start w:w="100" w:type="dxa"/>
              <w:bottom w:w="80" w:type="dxa"/>
              <w:end w:w="100" w:type="dxa"/>
            </w:tcMar>
          </w:tcPr>
          <w:p>
            <w:r>
              <w:rPr>
                <w:b w:val="0"/>
                <w:sz w:val="17"/>
              </w:rPr>
              <w:t>1.2</w:t>
            </w:r>
          </w:p>
        </w:tc>
        <w:tc>
          <w:tcPr>
            <w:tcW w:type="dxa" w:w="2381"/>
            <w:vAlign w:val="top"/>
            <w:tcMar>
              <w:top w:w="80" w:type="dxa"/>
              <w:start w:w="100" w:type="dxa"/>
              <w:bottom w:w="80" w:type="dxa"/>
              <w:end w:w="100" w:type="dxa"/>
            </w:tcMar>
          </w:tcPr>
          <w:p>
            <w:r>
              <w:rPr>
                <w:b w:val="0"/>
                <w:sz w:val="17"/>
              </w:rPr>
              <w:t>15/07/2026</w:t>
            </w:r>
          </w:p>
        </w:tc>
        <w:tc>
          <w:tcPr>
            <w:tcW w:type="dxa" w:w="2381"/>
            <w:vAlign w:val="top"/>
            <w:tcMar>
              <w:top w:w="80" w:type="dxa"/>
              <w:start w:w="100" w:type="dxa"/>
              <w:bottom w:w="80" w:type="dxa"/>
              <w:end w:w="100" w:type="dxa"/>
            </w:tcMar>
          </w:tcPr>
          <w:p>
            <w:r>
              <w:rPr>
                <w:b w:val="0"/>
                <w:sz w:val="17"/>
              </w:rPr>
              <w:t>Alinhamento ao FRM-001 autossuficiente e à MTR-001; remoção de dependências de outros formulários; adoção do cálculo prospectivo com aplicação integral presumida dos controles; inclusão de orientação para exceção e revisão manual; atualização das saídas mínimas e decisões recomendadas.</w:t>
            </w:r>
          </w:p>
        </w:tc>
        <w:tc>
          <w:tcPr>
            <w:tcW w:type="dxa" w:w="2381"/>
            <w:vAlign w:val="top"/>
            <w:tcMar>
              <w:top w:w="80" w:type="dxa"/>
              <w:start w:w="100" w:type="dxa"/>
              <w:bottom w:w="80" w:type="dxa"/>
              <w:end w:w="100" w:type="dxa"/>
            </w:tcMar>
          </w:tcPr>
          <w:p>
            <w:r>
              <w:rPr>
                <w:b w:val="0"/>
                <w:sz w:val="17"/>
              </w:rPr>
              <w:t>Segurança de IA / Arquitetura de Segurança / GRC</w:t>
            </w:r>
          </w:p>
        </w:tc>
      </w:tr>
      <w:tr>
        <w:tc>
          <w:tcPr>
            <w:tcW w:type="dxa" w:w="2381"/>
            <w:vAlign w:val="top"/>
            <w:tcMar>
              <w:top w:w="80" w:type="dxa"/>
              <w:start w:w="100" w:type="dxa"/>
              <w:bottom w:w="80" w:type="dxa"/>
              <w:end w:w="100" w:type="dxa"/>
            </w:tcMar>
            <w:shd w:fill="F7F9FA"/>
          </w:tcPr>
          <w:p>
            <w:r>
              <w:rPr>
                <w:b w:val="0"/>
                <w:sz w:val="17"/>
              </w:rPr>
              <w:t>1.1</w:t>
            </w:r>
          </w:p>
        </w:tc>
        <w:tc>
          <w:tcPr>
            <w:tcW w:type="dxa" w:w="2381"/>
            <w:vAlign w:val="top"/>
            <w:tcMar>
              <w:top w:w="80" w:type="dxa"/>
              <w:start w:w="100" w:type="dxa"/>
              <w:bottom w:w="80" w:type="dxa"/>
              <w:end w:w="100" w:type="dxa"/>
            </w:tcMar>
            <w:shd w:fill="F7F9FA"/>
          </w:tcPr>
          <w:p>
            <w:r>
              <w:rPr>
                <w:b w:val="0"/>
                <w:sz w:val="17"/>
              </w:rPr>
              <w:t>13/07/2026</w:t>
            </w:r>
          </w:p>
        </w:tc>
        <w:tc>
          <w:tcPr>
            <w:tcW w:type="dxa" w:w="2381"/>
            <w:vAlign w:val="top"/>
            <w:tcMar>
              <w:top w:w="80" w:type="dxa"/>
              <w:start w:w="100" w:type="dxa"/>
              <w:bottom w:w="80" w:type="dxa"/>
              <w:end w:w="100" w:type="dxa"/>
            </w:tcMar>
            <w:shd w:fill="F7F9FA"/>
          </w:tcPr>
          <w:p>
            <w:r>
              <w:rPr>
                <w:b w:val="0"/>
                <w:sz w:val="17"/>
              </w:rPr>
              <w:t>Simplificação do método; redução das dimensões e fatores; inclusão explícita de SaaS, IA embarcada, soluções de terceiros, serviços gerenciados e responsabilidade compartilhada; adoção de regra simples para risco residual.</w:t>
            </w:r>
          </w:p>
        </w:tc>
        <w:tc>
          <w:tcPr>
            <w:tcW w:type="dxa" w:w="2381"/>
            <w:vAlign w:val="top"/>
            <w:tcMar>
              <w:top w:w="80" w:type="dxa"/>
              <w:start w:w="100" w:type="dxa"/>
              <w:bottom w:w="80" w:type="dxa"/>
              <w:end w:w="100" w:type="dxa"/>
            </w:tcMar>
            <w:shd w:fill="F7F9FA"/>
          </w:tcPr>
          <w:p>
            <w:r>
              <w:rPr>
                <w:b w:val="0"/>
                <w:sz w:val="17"/>
              </w:rPr>
              <w:t>Segurança de IA / Arquitetura de Segurança / GRC</w:t>
            </w:r>
          </w:p>
        </w:tc>
      </w:tr>
      <w:tr>
        <w:tc>
          <w:tcPr>
            <w:tcW w:type="dxa" w:w="2381"/>
            <w:vAlign w:val="top"/>
            <w:tcMar>
              <w:top w:w="80" w:type="dxa"/>
              <w:start w:w="100" w:type="dxa"/>
              <w:bottom w:w="80" w:type="dxa"/>
              <w:end w:w="100" w:type="dxa"/>
            </w:tcMar>
          </w:tcPr>
          <w:p>
            <w:r>
              <w:rPr>
                <w:b w:val="0"/>
                <w:sz w:val="17"/>
              </w:rPr>
              <w:t>1.0</w:t>
            </w:r>
          </w:p>
        </w:tc>
        <w:tc>
          <w:tcPr>
            <w:tcW w:type="dxa" w:w="2381"/>
            <w:vAlign w:val="top"/>
            <w:tcMar>
              <w:top w:w="80" w:type="dxa"/>
              <w:start w:w="100" w:type="dxa"/>
              <w:bottom w:w="80" w:type="dxa"/>
              <w:end w:w="100" w:type="dxa"/>
            </w:tcMar>
          </w:tcPr>
          <w:p>
            <w:r>
              <w:rPr>
                <w:b w:val="0"/>
                <w:sz w:val="17"/>
              </w:rPr>
              <w:t>13/07/2026</w:t>
            </w:r>
          </w:p>
        </w:tc>
        <w:tc>
          <w:tcPr>
            <w:tcW w:type="dxa" w:w="2381"/>
            <w:vAlign w:val="top"/>
            <w:tcMar>
              <w:top w:w="80" w:type="dxa"/>
              <w:start w:w="100" w:type="dxa"/>
              <w:bottom w:w="80" w:type="dxa"/>
              <w:end w:w="100" w:type="dxa"/>
            </w:tcMar>
          </w:tcPr>
          <w:p>
            <w:r>
              <w:rPr>
                <w:b w:val="0"/>
                <w:sz w:val="17"/>
              </w:rPr>
              <w:t>Criação da metodologia corporativa inicial para cálculo de riscos de soluções de IA.</w:t>
            </w:r>
          </w:p>
        </w:tc>
        <w:tc>
          <w:tcPr>
            <w:tcW w:type="dxa" w:w="2381"/>
            <w:vAlign w:val="top"/>
            <w:tcMar>
              <w:top w:w="80" w:type="dxa"/>
              <w:start w:w="100" w:type="dxa"/>
              <w:bottom w:w="80" w:type="dxa"/>
              <w:end w:w="100" w:type="dxa"/>
            </w:tcMar>
          </w:tcPr>
          <w:p>
            <w:r>
              <w:rPr>
                <w:b w:val="0"/>
                <w:sz w:val="17"/>
              </w:rPr>
              <w:t>Segurança de IA / Arquitetura de Segurança / GRC</w:t>
            </w:r>
          </w:p>
        </w:tc>
      </w:tr>
    </w:tbl>
    <w:p>
      <w:pPr>
        <w:spacing w:after="20"/>
      </w:pPr>
    </w:p>
    <w:sectPr w:rsidR="00FC693F" w:rsidRPr="0006063C" w:rsidSect="00034616">
      <w:headerReference w:type="default" r:id="rId9"/>
      <w:footerReference w:type="default" r:id="rId10"/>
      <w:pgSz w:w="11906" w:h="16838"/>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F7D"/>
        <w:sz w:val="16"/>
      </w:rPr>
      <w:t xml:space="preserve">Uso Interno  |  Versão 1.2  |  Página </w:t>
    </w:r>
    <w:r>
      <w:fldChar w:fldCharType="begin"/>
      <w:instrText xml:space="preserve">PAGE</w:instrText>
      <w:fldChar w:fldCharType="separate"/>
      <w:t>1</w:t>
      <w:fldChar w:fldCharType="end"/>
    </w:r>
    <w:r>
      <w:t xml:space="preserve"> de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F6F7D"/>
        <w:sz w:val="16"/>
      </w:rPr>
      <w:t>MET-001 — Metodologia de Avaliação e Cálculo de Riscos de Soluções de 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82939"/>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8465C"/>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76B8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293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F6F7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MET-001 — Metodologia de Avaliação e Cálculo de Riscos de Soluções de Inteligência Artificial</dc:title>
  <dc:subject>Metodologia corporativa de avaliação e cálculo de riscos de soluções de IA</dc:subject>
  <dc:creator>Segurança de IA / Arquitetura de Segurança / GRC</dc:creator>
  <cp:keywords/>
  <dc:description>Atualizado para FRM-001 autossuficiente e MTR-001; risco residual prospectivo.</dc:description>
  <cp:lastModifiedBy/>
  <cp:revision>1</cp:revision>
  <dcterms:created xsi:type="dcterms:W3CDTF">2013-12-23T23:15:00Z</dcterms:created>
  <dcterms:modified xsi:type="dcterms:W3CDTF">2013-12-23T23:15:00Z</dcterms:modified>
  <cp:category/>
</cp:coreProperties>
</file>