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t>MTR-001 — Matriz de Aplicabilidade de Baselines e Controles Técnicos de Inteligência Artificial</w:t>
      </w:r>
    </w:p>
    <w:p>
      <w:pPr>
        <w:spacing w:after="60"/>
      </w:pPr>
      <w:r>
        <w:rPr>
          <w:b/>
          <w:color w:val="176B87"/>
          <w:sz w:val="22"/>
        </w:rPr>
        <w:t>Uso Interno | Versão 1.1 | Minuta para revisão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FCBD3"/>
          <w:left w:val="single" w:sz="4" w:color="BFCBD3"/>
          <w:bottom w:val="single" w:sz="4" w:color="BFCBD3"/>
          <w:right w:val="single" w:sz="4" w:color="BFCBD3"/>
          <w:insideH w:val="single" w:sz="4" w:color="BFCBD3"/>
          <w:insideV w:val="single" w:sz="4" w:color="BFCBD3"/>
        </w:tblBorders>
      </w:tblPr>
      <w:tblGrid>
        <w:gridCol w:w="7070"/>
        <w:gridCol w:w="7070"/>
      </w:tblGrid>
      <w:tr>
        <w:trPr>
          <w:tblHeader w:val="true"/>
        </w:trP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3"/>
              </w:rPr>
              <w:t>Campo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3"/>
              </w:rPr>
              <w:t>Valor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Código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sz w:val="13"/>
              </w:rPr>
              <w:t>MTR-001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Nome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F7F9FA"/>
          </w:tcPr>
          <w:p>
            <w:pPr>
              <w:spacing w:after="20"/>
            </w:pPr>
            <w:r>
              <w:rPr>
                <w:sz w:val="13"/>
              </w:rPr>
              <w:t>Matriz de Aplicabilidade de Baselines e Controles Técnicos de Inteligência Artificial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Tipo documental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sz w:val="13"/>
              </w:rPr>
              <w:t>Matriz de aplicabilidade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Domínio sugerido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F7F9FA"/>
          </w:tcPr>
          <w:p>
            <w:pPr>
              <w:spacing w:after="20"/>
            </w:pPr>
            <w:r>
              <w:rPr>
                <w:sz w:val="13"/>
              </w:rPr>
              <w:t>Segurança de IA &gt; Matrizes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Classificação da informação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sz w:val="13"/>
              </w:rPr>
              <w:t>Uso Interno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Prioridade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F7F9FA"/>
          </w:tcPr>
          <w:p>
            <w:pPr>
              <w:spacing w:after="20"/>
            </w:pPr>
            <w:r>
              <w:rPr>
                <w:sz w:val="13"/>
              </w:rPr>
              <w:t>P0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Status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sz w:val="13"/>
              </w:rPr>
              <w:t>Minuta para revisão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Versão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F7F9FA"/>
          </w:tcPr>
          <w:p>
            <w:pPr>
              <w:spacing w:after="20"/>
            </w:pPr>
            <w:r>
              <w:rPr>
                <w:sz w:val="13"/>
              </w:rPr>
              <w:t>1.1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Data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sz w:val="13"/>
              </w:rPr>
              <w:t>15/07/2026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Vigência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F7F9FA"/>
          </w:tcPr>
          <w:p>
            <w:pPr>
              <w:spacing w:after="20"/>
            </w:pPr>
            <w:r>
              <w:rPr>
                <w:sz w:val="13"/>
              </w:rPr>
              <w:t>Após aprovação formal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Periodicidade mínima de revisão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sz w:val="13"/>
              </w:rPr>
              <w:t>Semestral, ou extraordinária em caso de alteração do MET-001, FRM-001, BAS-001 a BAS-006, processo de homologação, arquitetura de referência, apetite de risco ou lógica do MVP.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Owner institucional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F7F9FA"/>
          </w:tcPr>
          <w:p>
            <w:pPr>
              <w:spacing w:after="20"/>
            </w:pPr>
            <w:r>
              <w:rPr>
                <w:sz w:val="13"/>
              </w:rPr>
              <w:t>Segurança da Informação / Segurança de IA / GRC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Custodiante técnico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sz w:val="13"/>
              </w:rPr>
              <w:t>Arquitetura de Segurança da Informação / Segurança de IA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Corresponsáveis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F7F9FA"/>
          </w:tcPr>
          <w:p>
            <w:pPr>
              <w:spacing w:after="20"/>
            </w:pPr>
            <w:r>
              <w:rPr>
                <w:sz w:val="13"/>
              </w:rPr>
              <w:t>Arquitetura Corporativa; AppSec; Cloud Security; IAM/PAM; Dados; MLOps/LLMOps; SOC/Blue Team; Red Team; Continuidade; Gestão de Terceiros; Compras; Jurídico; Privacidade; Owners de Plataforma e de Negócio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Público-alvo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sz w:val="13"/>
              </w:rPr>
              <w:t>Analistas de Segurança de IA, arquitetos, GRC, squads, owners, fornecedores, auditoria e equipes responsáveis por avaliar, implementar ou evidenciar controles de IA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Documento superior relacionado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F7F9FA"/>
          </w:tcPr>
          <w:p>
            <w:pPr>
              <w:spacing w:after="20"/>
            </w:pPr>
            <w:r>
              <w:rPr>
                <w:sz w:val="13"/>
              </w:rPr>
              <w:t>MET-001 v1.2 — Metodologia de Avaliação e Cálculo de Riscos de Soluções de Inteligência Artificial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Documentos correlatos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20"/>
            </w:pPr>
            <w:r>
              <w:rPr>
                <w:sz w:val="13"/>
              </w:rPr>
              <w:t>FRM-001; MET-001; PRC-001; PRC-003; PRC-004; PRC-007; PRC-008; BAS-001; BAS-002; BAS-003; BAS-004; BAS-005; BAS-006</w:t>
            </w:r>
          </w:p>
        </w:tc>
      </w:tr>
      <w:tr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EAF0F4"/>
          </w:tcPr>
          <w:p>
            <w:pPr>
              <w:spacing w:after="20"/>
            </w:pPr>
            <w:r>
              <w:rPr>
                <w:b/>
                <w:sz w:val="13"/>
              </w:rPr>
              <w:t>Fonte primária para</w:t>
            </w:r>
          </w:p>
        </w:tc>
        <w:tc>
          <w:tcPr>
            <w:tcW w:type="dxa" w:w="7070"/>
            <w:vAlign w:val="top"/>
            <w:tcMar>
              <w:top w:w="45" w:type="dxa"/>
              <w:start w:w="80" w:type="dxa"/>
              <w:bottom w:w="45" w:type="dxa"/>
              <w:end w:w="80" w:type="dxa"/>
            </w:tcMar>
            <w:shd w:fill="F7F9FA"/>
          </w:tcPr>
          <w:p>
            <w:pPr>
              <w:spacing w:after="20"/>
            </w:pPr>
            <w:r>
              <w:rPr>
                <w:sz w:val="13"/>
              </w:rPr>
              <w:t>Conversão das respostas do FRM-001 em baselines, perfis, controles técnicos aplicáveis, responsabilidades e insumos para o Parecer de Segurança.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Sumário</w:t>
      </w:r>
    </w:p>
    <w:p>
      <w:r>
        <w:fldChar w:fldCharType="begin"/>
        <w:instrText xml:space="preserve"> TOC \o "1-3" \h \z \u </w:instrText>
        <w:fldChar w:fldCharType="separate"/>
        <w:t>Atualize o campo no Word para gerar o sumário.</w:t>
        <w:fldChar w:fldCharType="end"/>
      </w:r>
    </w:p>
    <w:p>
      <w:pPr>
        <w:pStyle w:val="Heading1"/>
      </w:pPr>
      <w:r>
        <w:t>1. Finalidade</w:t>
      </w:r>
    </w:p>
    <w:p>
      <w:r>
        <w:t xml:space="preserve">Estabelecer regras determinísticas e auditáveis para converter as respostas do </w:t>
      </w:r>
      <w:r>
        <w:rPr>
          <w:b/>
        </w:rPr>
        <w:t>FRM-001 — Formulário de Avaliação de Risco e Aplicabilidade de Controles de Inteligência Artificial</w:t>
      </w:r>
      <w:r>
        <w:t xml:space="preserve"> em baselines, perfis e controles técnicos aplicáveis ao cenário avaliado.</w:t>
      </w:r>
    </w:p>
    <w:p>
      <w:r>
        <w:t xml:space="preserve">A MTR-001 complementa a </w:t>
      </w:r>
      <w:r>
        <w:rPr>
          <w:b/>
        </w:rPr>
        <w:t>MET-001 — Metodologia de Avaliação e Cálculo de Riscos de Soluções de Inteligência Artificial</w:t>
      </w:r>
      <w:r>
        <w:t>. A metodologia calcula a classificação e os riscos; a matriz seleciona cumulativamente os controles técnicos, atribui responsabilidades e fornece a base do anexo técnico do Parecer de Segurança.</w:t>
      </w:r>
    </w:p>
    <w:p>
      <w:r>
        <w:t>O FRM-001 é autossuficiente e constitui a única fonte de perguntas da avaliação. Nenhum outro formulário é pré-requisito para executar esta matriz.</w:t>
      </w:r>
    </w:p>
    <w:p>
      <w:pPr>
        <w:pStyle w:val="Heading1"/>
      </w:pPr>
      <w:r>
        <w:t>2. Escopo</w:t>
      </w:r>
    </w:p>
    <w:p>
      <w:r>
        <w:t>Aplica-se a projetos internos, soluções existentes, SaaS, COTS, IA embarcada, providers, modelos locais, ferramentas de produtividade, RAG, agentes, MCP, MLOps, serviços gerenciados e serviços prestados por terceiros que utilizem IA.</w:t>
      </w:r>
    </w:p>
    <w:p>
      <w:r>
        <w:t>A matriz possui duas representações complementares:</w:t>
      </w:r>
    </w:p>
    <w:p>
      <w:pPr>
        <w:pStyle w:val="ListNumber"/>
        <w:spacing w:after="40"/>
      </w:pPr>
      <w:r>
        <w:t>este documento, que define regras, precedências e exemplos;</w:t>
      </w:r>
    </w:p>
    <w:p>
      <w:pPr>
        <w:pStyle w:val="ListNumber"/>
        <w:spacing w:after="40"/>
      </w:pPr>
      <w:r>
        <w:t>a planilha operacional, que contém uma linha para cada controle dos BAS-001 a BAS-006.</w:t>
      </w:r>
    </w:p>
    <w:p>
      <w:pPr>
        <w:pStyle w:val="Heading1"/>
      </w:pPr>
      <w:r>
        <w:t>3. Entradas e saídas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FCBD3"/>
          <w:left w:val="single" w:sz="4" w:color="BFCBD3"/>
          <w:bottom w:val="single" w:sz="4" w:color="BFCBD3"/>
          <w:right w:val="single" w:sz="4" w:color="BFCBD3"/>
          <w:insideH w:val="single" w:sz="4" w:color="BFCBD3"/>
          <w:insideV w:val="single" w:sz="4" w:color="BFCBD3"/>
        </w:tblBorders>
      </w:tblPr>
      <w:tblGrid>
        <w:gridCol w:w="7070"/>
        <w:gridCol w:w="7070"/>
      </w:tblGrid>
      <w:tr>
        <w:trPr>
          <w:tblHeader w:val="true"/>
        </w:trP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b/>
                <w:sz w:val="15"/>
              </w:rPr>
              <w:t>FRM-001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Fonte autossuficiente das respostas sobre cenário, arquitetura, dados, terceiros, capacidades e responsabilidades.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b/>
                <w:sz w:val="15"/>
              </w:rPr>
              <w:t>MET-001 v1.2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Fonte da classe H1–H4, impacto, probabilidade, pisos, risco inerente e risco residual projetado.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b/>
                <w:sz w:val="15"/>
              </w:rPr>
              <w:t>BAS-001 a BAS-006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Catálogo oficial de controles, perfil, criticidade, aplicabilidade, audit, remediação e evidência esperada.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b/>
                <w:sz w:val="15"/>
              </w:rPr>
              <w:t>MTR-001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Resultado de aplicabilidade, perfil, responsabilidade, critério de atribuição e justificativa de seleção de cada controle.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b/>
                <w:sz w:val="15"/>
              </w:rPr>
              <w:t>Parecer de Segurança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Saída consolidada com respostas, cálculos, baselines e anexo técnico dos controles selecionados.</w:t>
            </w:r>
          </w:p>
        </w:tc>
      </w:tr>
    </w:tbl>
    <w:p>
      <w:pPr>
        <w:spacing w:after="20"/>
      </w:pPr>
    </w:p>
    <w:p>
      <w:r>
        <w:t>A matriz não declara conformidade nem comprova implementação. Para a projeção do risco residual, o motor considera que todos os controles selecionados serão aplicados integralmente. A impossibilidade de implementar um controle exige exceção formal e recálculo; a discordância sobre aplicabilidade exige revisão manual.</w:t>
      </w:r>
    </w:p>
    <w:p>
      <w:pPr>
        <w:pStyle w:val="Heading1"/>
      </w:pPr>
      <w:r>
        <w:t>4. Princípios de aplicação</w:t>
      </w:r>
    </w:p>
    <w:p>
      <w:pPr>
        <w:pStyle w:val="ListNumber"/>
        <w:spacing w:after="40"/>
      </w:pPr>
      <w:r>
        <w:rPr>
          <w:b/>
        </w:rPr>
        <w:t>Aplicação cumulativa:</w:t>
      </w:r>
      <w:r>
        <w:t xml:space="preserve"> BAS-001 e todos os baselines especializados compatíveis devem ser combinados.</w:t>
      </w:r>
    </w:p>
    <w:p>
      <w:pPr>
        <w:pStyle w:val="ListNumber"/>
        <w:spacing w:after="40"/>
      </w:pPr>
      <w:r>
        <w:rPr>
          <w:b/>
        </w:rPr>
        <w:t>Seleção por capacidade:</w:t>
      </w:r>
      <w:r>
        <w:t xml:space="preserve"> o modelo de contratação não elimina controles tecnicamente aplicáveis.</w:t>
      </w:r>
    </w:p>
    <w:p>
      <w:pPr>
        <w:pStyle w:val="ListNumber"/>
        <w:spacing w:after="40"/>
      </w:pPr>
      <w:r>
        <w:rPr>
          <w:b/>
        </w:rPr>
        <w:t>Duas etapas:</w:t>
      </w:r>
      <w:r>
        <w:t xml:space="preserve"> primeiro é selecionado o baseline; depois cada controle é avaliado segundo sua condição de aplicabilidade.</w:t>
      </w:r>
    </w:p>
    <w:p>
      <w:pPr>
        <w:pStyle w:val="ListNumber"/>
        <w:spacing w:after="40"/>
      </w:pPr>
      <w:r>
        <w:rPr>
          <w:b/>
        </w:rPr>
        <w:t>Level 1:</w:t>
      </w:r>
      <w:r>
        <w:t xml:space="preserve"> controle obrigatório quando sua condição técnica existir.</w:t>
      </w:r>
    </w:p>
    <w:p>
      <w:pPr>
        <w:pStyle w:val="ListNumber"/>
        <w:spacing w:after="40"/>
      </w:pPr>
      <w:r>
        <w:rPr>
          <w:b/>
        </w:rPr>
        <w:t>Level 2:</w:t>
      </w:r>
      <w:r>
        <w:t xml:space="preserve"> obrigatório quando o perfil de defesa em profundidade for acionado; caso contrário pode permanecer recomendado.</w:t>
      </w:r>
    </w:p>
    <w:p>
      <w:pPr>
        <w:pStyle w:val="ListNumber"/>
        <w:spacing w:after="40"/>
      </w:pPr>
      <w:r>
        <w:rPr>
          <w:b/>
        </w:rPr>
        <w:t>Terceiros:</w:t>
      </w:r>
      <w:r>
        <w:t xml:space="preserve"> o controle permanece aplicável quando estiver sob domínio do fornecedor e deve receber responsabilidade correspondente.</w:t>
      </w:r>
    </w:p>
    <w:p>
      <w:pPr>
        <w:pStyle w:val="ListNumber"/>
        <w:spacing w:after="40"/>
      </w:pPr>
      <w:r>
        <w:rPr>
          <w:b/>
        </w:rPr>
        <w:t>Incerteza não reduz escopo:</w:t>
      </w:r>
      <w:r>
        <w:t xml:space="preserve"> “Não sei”, “Não determinado” ou ausência de informação geram revisão técnica, não exclusão automática.</w:t>
      </w:r>
    </w:p>
    <w:p>
      <w:pPr>
        <w:pStyle w:val="ListNumber"/>
        <w:spacing w:after="40"/>
      </w:pPr>
      <w:r>
        <w:rPr>
          <w:b/>
        </w:rPr>
        <w:t>Não aplicável exige justificativa:</w:t>
      </w:r>
      <w:r>
        <w:t xml:space="preserve"> a condição técnica inexistente deve ser registrada de forma específica.</w:t>
      </w:r>
    </w:p>
    <w:p>
      <w:pPr>
        <w:pStyle w:val="ListNumber"/>
        <w:spacing w:after="40"/>
      </w:pPr>
      <w:r>
        <w:rPr>
          <w:b/>
        </w:rPr>
        <w:t>Condição bloqueante prevalece:</w:t>
      </w:r>
      <w:r>
        <w:t xml:space="preserve"> a ausência de controle indispensável não pode ser compensada por controles de outra natureza.</w:t>
      </w:r>
    </w:p>
    <w:p>
      <w:pPr>
        <w:pStyle w:val="ListNumber"/>
        <w:spacing w:after="40"/>
      </w:pPr>
      <w:r>
        <w:rPr>
          <w:b/>
        </w:rPr>
        <w:t>Projeção condicionada:</w:t>
      </w:r>
      <w:r>
        <w:t xml:space="preserve"> a seleção de um controle não declara que ele já está implementado; o risco residual projetado pressupõe aplicação integral futura.</w:t>
      </w:r>
    </w:p>
    <w:p>
      <w:pPr>
        <w:pStyle w:val="ListNumber"/>
        <w:spacing w:after="40"/>
      </w:pPr>
      <w:r>
        <w:rPr>
          <w:b/>
        </w:rPr>
        <w:t>Exceção e revisão:</w:t>
      </w:r>
      <w:r>
        <w:t xml:space="preserve"> controle não implementável exige exceção; controle questionado exige revisão manual antes de ser removido.</w:t>
      </w:r>
    </w:p>
    <w:p>
      <w:pPr>
        <w:pStyle w:val="ListNumber"/>
        <w:spacing w:after="40"/>
      </w:pPr>
      <w:r>
        <w:rPr>
          <w:b/>
        </w:rPr>
        <w:t>Versionamento:</w:t>
      </w:r>
      <w:r>
        <w:t xml:space="preserve"> o resultado deve registrar as versões do FRM-001, MET-001, MTR-001 e baselines utilizados.</w:t>
      </w:r>
    </w:p>
    <w:p>
      <w:pPr>
        <w:pStyle w:val="Heading1"/>
      </w:pPr>
      <w:r>
        <w:t>5. Resultados de aplicabilidade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FCBD3"/>
          <w:left w:val="single" w:sz="4" w:color="BFCBD3"/>
          <w:bottom w:val="single" w:sz="4" w:color="BFCBD3"/>
          <w:right w:val="single" w:sz="4" w:color="BFCBD3"/>
          <w:insideH w:val="single" w:sz="4" w:color="BFCBD3"/>
          <w:insideV w:val="single" w:sz="4" w:color="BFCBD3"/>
        </w:tblBorders>
      </w:tblPr>
      <w:tblGrid>
        <w:gridCol w:w="7070"/>
        <w:gridCol w:w="7070"/>
      </w:tblGrid>
      <w:tr>
        <w:trPr>
          <w:tblHeader w:val="true"/>
        </w:trP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Resultado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Critério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Aplicável — Obrigatório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Controle Level 1 aplicável ou Level 2 com perfil acionado.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Aplicável — Recomendado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Controle Level 2 tecnicamente útil, mas sem gatilho obrigatório de defesa em profundidade.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Revisão técnica obrigatória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Informação insuficiente, resposta contraditória, texto livre relevante ou condição não decidível automaticamente.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Não aplicável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A capacidade, componente, fluxo ou condição descrita no campo Applicability do controle não existe.</w:t>
            </w:r>
          </w:p>
        </w:tc>
      </w:tr>
    </w:tbl>
    <w:p>
      <w:pPr>
        <w:spacing w:after="20"/>
      </w:pPr>
    </w:p>
    <w:p>
      <w:pPr>
        <w:pStyle w:val="Heading1"/>
      </w:pPr>
      <w:r>
        <w:t>6. Fluxo de decisão</w:t>
      </w:r>
    </w:p>
    <w:p>
      <w:pPr>
        <w:pStyle w:val="CodeBlock"/>
        <w:shd w:fill="F2F6F8"/>
      </w:pPr>
      <w:r>
        <w:t>FRM-001 → Regra do baseline → Regra da seção → Applicability do controle</w:t>
        <w:br/>
        <w:t xml:space="preserve">        → Perfil Level 1/Level 2 → Resultado de aplicabilidade</w:t>
        <w:br/>
        <w:t xml:space="preserve">        → Responsabilidade e critério de atribuição</w:t>
        <w:br/>
        <w:t xml:space="preserve">        → Evidência esperada como orientação → Parecer de Segurança</w:t>
      </w:r>
    </w:p>
    <w:p>
      <w:r>
        <w:t>A expressão conceitual é:</w:t>
      </w:r>
    </w:p>
    <w:p>
      <w:pPr>
        <w:pStyle w:val="CodeBlock"/>
        <w:shd w:fill="F2F6F8"/>
      </w:pPr>
      <w:r>
        <w:t>Controle selecionado = baseline ativo</w:t>
        <w:br/>
        <w:t xml:space="preserve">                    AND seção ativa</w:t>
        <w:br/>
        <w:t xml:space="preserve">                    AND condição técnica do controle presente</w:t>
      </w:r>
    </w:p>
    <w:p>
      <w:r>
        <w:t xml:space="preserve">Respostas desconhecidas relacionadas à condição devem produzir </w:t>
      </w:r>
      <w:r>
        <w:rPr>
          <w:b/>
        </w:rPr>
        <w:t>Revisão técnica obrigatória</w:t>
      </w:r>
      <w:r>
        <w:t>. A seleção não representa comprovação de implementação ou conformidade.</w:t>
      </w:r>
    </w:p>
    <w:p>
      <w:pPr>
        <w:pStyle w:val="Heading1"/>
      </w:pPr>
      <w:r>
        <w:t>7. Regras de seleção dos baselines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FCBD3"/>
          <w:left w:val="single" w:sz="4" w:color="BFCBD3"/>
          <w:bottom w:val="single" w:sz="4" w:color="BFCBD3"/>
          <w:right w:val="single" w:sz="4" w:color="BFCBD3"/>
          <w:insideH w:val="single" w:sz="4" w:color="BFCBD3"/>
          <w:insideV w:val="single" w:sz="4" w:color="BFCBD3"/>
        </w:tblBorders>
      </w:tblPr>
      <w:tblGrid>
        <w:gridCol w:w="2828"/>
        <w:gridCol w:w="2828"/>
        <w:gridCol w:w="2828"/>
        <w:gridCol w:w="2828"/>
        <w:gridCol w:w="2828"/>
      </w:tblGrid>
      <w:tr>
        <w:trPr>
          <w:tblHeader w:val="true"/>
        </w:trPr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Regra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Baseline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Perguntas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Gatilho de seleção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Gatilho Level 2</w:t>
            </w:r>
          </w:p>
        </w:tc>
      </w:tr>
      <w:tr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MTR1-B001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BAS-001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B01; B02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Qualquer uso corporativo, projeto, produto, sistema, serviço ou funcionalidade que utilize IA.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H3 ou H4; risco Alto ou Crítico; dados sensíveis; exposição externa; multi-tenancy; privilégio; autonomia ou impacto material.</w:t>
            </w:r>
          </w:p>
        </w:tc>
      </w:tr>
      <w:tr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MTR1-B002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BAS-002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B01; E02; F01; F02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Aplicação, API, gateway, proxy, broker, roteamento, integração com provider ou exposição de capacidade de IA.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Serviço externo, multi-tenant, crítico, com dados sensíveis, alta disponibilidade ou impacto material.</w:t>
            </w:r>
          </w:p>
        </w:tc>
      </w:tr>
      <w:tr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MTR1-B003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BAS-003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B01; G01; G02; G03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RAG, embeddings, vector store, memória, cache semântico, base de conhecimento, ingestão ou recuperação de contexto.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Dados sensíveis; conteúdo externo; multi-tenancy; agentes; decisão ou operação de impacto material.</w:t>
            </w:r>
          </w:p>
        </w:tc>
      </w:tr>
      <w:tr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MTR1-B004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BAS-004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B01; H01; H02; H03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Agente, planner, executor, tool/function calling, plugin, action, skill, MCP, computer use ou automação acionada por IA.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Agente autônomo; ação material; computer use; acesso privilegiado; ambiente crítico; múltiplos tenants ou operação irreversível.</w:t>
            </w:r>
          </w:p>
        </w:tc>
      </w:tr>
      <w:tr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MTR1-B005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BAS-005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B01; B09; B10; I01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Desenvolvimento, treinamento, adaptação, empacotamento, registro, avaliação, implantação ou gestão de modelo e artefatos de IA.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Modelo crítico; dados sensíveis; componente externo; serviço exposto; pipeline de alto impacto; artefato executável ou supply chain relevante.</w:t>
            </w:r>
          </w:p>
        </w:tc>
      </w:tr>
      <w:tr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MTR1-B006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BAS-006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A08; A09; J01; J06; J07; J09; J10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Solução em homologação material, produção, operação existente ou que exija telemetria, detecção, contenção, continuidade ou recuperação.</w:t>
            </w:r>
          </w:p>
        </w:tc>
        <w:tc>
          <w:tcPr>
            <w:tcW w:type="dxa" w:w="28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Solução crítica, sensível, externa, regulada, de alto impacto ou cuja falha possa produzir ação sem trilha ou indisponibilidade material.</w:t>
            </w:r>
          </w:p>
        </w:tc>
      </w:tr>
    </w:tbl>
    <w:p>
      <w:pPr>
        <w:spacing w:after="20"/>
      </w:pPr>
    </w:p>
    <w:p>
      <w:pPr>
        <w:pStyle w:val="Heading1"/>
      </w:pPr>
      <w:r>
        <w:t>8. Regras de perfil Level 2</w:t>
      </w:r>
    </w:p>
    <w:p>
      <w:r>
        <w:t>O perfil Level 2 deve ser acionado por baseline quando existir qualquer uma das condições específicas registradas na tabela anterior ou quando:</w:t>
      </w:r>
    </w:p>
    <w:p>
      <w:pPr>
        <w:pStyle w:val="ListBullet"/>
        <w:spacing w:after="40"/>
      </w:pPr>
      <w:r>
        <w:t>a classe de homologação for H3 ou H4;</w:t>
      </w:r>
    </w:p>
    <w:p>
      <w:pPr>
        <w:pStyle w:val="ListBullet"/>
        <w:spacing w:after="40"/>
      </w:pPr>
      <w:r>
        <w:t>o risco inerente for Alto ou Crítico;</w:t>
      </w:r>
    </w:p>
    <w:p>
      <w:pPr>
        <w:pStyle w:val="ListBullet"/>
        <w:spacing w:after="40"/>
      </w:pPr>
      <w:r>
        <w:t>houver dado sensível, cliente, exposição externa, multi-tenancy, privilégio, autonomia ou processo crítico;</w:t>
      </w:r>
    </w:p>
    <w:p>
      <w:pPr>
        <w:pStyle w:val="ListBullet"/>
        <w:spacing w:after="40"/>
      </w:pPr>
      <w:r>
        <w:t>a ausência do controle puder impedir contenção, segregação, detecção ou recuperação adequada.</w:t>
      </w:r>
    </w:p>
    <w:p>
      <w:r>
        <w:t>O acionamento do Level 2 não elimina os controles Level 1. Os perfis são cumulativos.</w:t>
      </w:r>
    </w:p>
    <w:p>
      <w:pPr>
        <w:pStyle w:val="Heading1"/>
      </w:pPr>
      <w:r>
        <w:t>9. Regras de aplicabilidade por seção</w:t>
      </w:r>
    </w:p>
    <w:p>
      <w:r>
        <w:t xml:space="preserve">As regras abaixo ativam a revisão dos controles de cada seção. A aplicabilidade final continua condicionada ao campo </w:t>
      </w:r>
      <w:r>
        <w:rPr>
          <w:b/>
        </w:rPr>
        <w:t>Applicability</w:t>
      </w:r>
      <w:r>
        <w:t xml:space="preserve"> de cada controle.</w:t>
      </w:r>
    </w:p>
    <w:p>
      <w:pPr>
        <w:pStyle w:val="Heading2"/>
      </w:pPr>
      <w:r>
        <w:t>9.1 BAS-001 — Controles Técnicos Transversais para Soluções de 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FCBD3"/>
          <w:left w:val="single" w:sz="4" w:color="BFCBD3"/>
          <w:bottom w:val="single" w:sz="4" w:color="BFCBD3"/>
          <w:right w:val="single" w:sz="4" w:color="BFCBD3"/>
          <w:insideH w:val="single" w:sz="4" w:color="BFCBD3"/>
          <w:insideV w:val="single" w:sz="4" w:color="BFCBD3"/>
        </w:tblBorders>
      </w:tblPr>
      <w:tblGrid>
        <w:gridCol w:w="3535"/>
        <w:gridCol w:w="3535"/>
        <w:gridCol w:w="3535"/>
        <w:gridCol w:w="3535"/>
      </w:tblGrid>
      <w:tr>
        <w:trPr>
          <w:tblHeader w:val="true"/>
        </w:trP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Regra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Seção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Perguntas do FRM-001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Condição de revisão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MTR1-B001-S01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1. Arquitetura e configuração segura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A09; B05; F01; F02; F07; F10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Sempre que houver componente, deployment, endpoint, runtime, gateway ou ambiente de IA.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MTR1-B001-S02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2. Identidade, acesso e segredos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C05; F03; F04; F05; F06; F12; J12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houver usuário, workload, conta administrativa, credencial, segredo ou acesso a recurso de IA.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MTR1-B001-S03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3. Proteção de dados, prompts e outputs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D01–D12; E03; F08; F09; J04; J05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a solução processar, armazenar, transmitir ou produzir dados, prompts, anexos, contexto ou outputs.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MTR1-B001-S04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4. Modelos, runtime e cadeia de fornecimento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B05; B07; B09; B10; I01–I07; I12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houver modelo, runtime, container, dependência, provider, artefato ou atualização técnica.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MTR1-B001-S05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5. Segurança de aplicação e integrações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E02; F01–F13; H01; G01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houver aplicação consumidora, API, integração, sessão, payload, gateway, RAG ou agente.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MTR1-B001-S06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6. Logging, auditoria e monitoramento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C06; J01–J08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a solução estiver em teste material, homologação, produção ou processar dados relevantes.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MTR1-B001-S07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7. Resiliência e recuperação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C10; C11; E10; E11; I11; J09–J13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houver dependência operacional, serviço produtivo, ação material ou necessidade de recuperação e desativação.</w:t>
            </w:r>
          </w:p>
        </w:tc>
      </w:tr>
    </w:tbl>
    <w:p>
      <w:pPr>
        <w:spacing w:after="20"/>
      </w:pPr>
    </w:p>
    <w:p>
      <w:pPr>
        <w:pStyle w:val="Heading2"/>
      </w:pPr>
      <w:r>
        <w:t>9.2 BAS-002 — Integração e Exposição de Serviços de 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FCBD3"/>
          <w:left w:val="single" w:sz="4" w:color="BFCBD3"/>
          <w:bottom w:val="single" w:sz="4" w:color="BFCBD3"/>
          <w:right w:val="single" w:sz="4" w:color="BFCBD3"/>
          <w:insideH w:val="single" w:sz="4" w:color="BFCBD3"/>
          <w:insideV w:val="single" w:sz="4" w:color="BFCBD3"/>
        </w:tblBorders>
      </w:tblPr>
      <w:tblGrid>
        <w:gridCol w:w="3535"/>
        <w:gridCol w:w="3535"/>
        <w:gridCol w:w="3535"/>
        <w:gridCol w:w="3535"/>
      </w:tblGrid>
      <w:tr>
        <w:trPr>
          <w:tblHeader w:val="true"/>
        </w:trP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Regra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Seção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Perguntas do FRM-001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Condição de revisão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MTR1-B002-S01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1. Arquitetura de integração e fronteiras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E02; F01; F02; F07; F10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houver consumo, intermediação, roteamento ou exposição de serviço de IA.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MTR1-B002-S02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2. Autenticação e identidade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C05; F03; F04; F05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usuários, workloads ou clientes acessarem aplicação, API, gateway ou provider.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MTR1-B002-S03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3. Autorização e segregação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C04; F11; F12; F13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houver múltiplos usuários, tenants, ambientes, privilégios, recursos ou políticas de autorização.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MTR1-B002-S04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4. Roteamento, modelos e policies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B05; B07; F01; F02; I12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houver escolha de provider/modelo, aliases, rotas, fallback ou policies de gateway.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MTR1-B002-S05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5. Entrada, prompt e payload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D12; E02; F08; G03; H07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entradas, prompts, anexos, parâmetros ou conteúdo não confiável forem aceitos.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MTR1-B002-S06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6. Saída e uso downstream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E03; E04; E05; F09; H05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outputs forem exibidos, persistidos, usados em decisões ou encaminhados a sistemas downstream.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MTR1-B002-S07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7. Exposição, sessão e abuso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E01–E07; F11; J08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houver Internet, clientes, público, muitos usuários, sessão, streaming, custo ou risco de abuso.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MTR1-B002-S08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8. Resiliência e comportamento de falha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C10; E10; E11; F13; J09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a integração exigir timeout, retry, fallback, circuit breaker, fail-closed ou continuidade.</w:t>
            </w:r>
          </w:p>
        </w:tc>
      </w:tr>
    </w:tbl>
    <w:p>
      <w:pPr>
        <w:spacing w:after="20"/>
      </w:pPr>
    </w:p>
    <w:p>
      <w:pPr>
        <w:pStyle w:val="Heading2"/>
      </w:pPr>
      <w:r>
        <w:t>9.3 BAS-003 — Dados, Contexto e Conhecimento em 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FCBD3"/>
          <w:left w:val="single" w:sz="4" w:color="BFCBD3"/>
          <w:bottom w:val="single" w:sz="4" w:color="BFCBD3"/>
          <w:right w:val="single" w:sz="4" w:color="BFCBD3"/>
          <w:insideH w:val="single" w:sz="4" w:color="BFCBD3"/>
          <w:insideV w:val="single" w:sz="4" w:color="BFCBD3"/>
        </w:tblBorders>
      </w:tblPr>
      <w:tblGrid>
        <w:gridCol w:w="3535"/>
        <w:gridCol w:w="3535"/>
        <w:gridCol w:w="3535"/>
        <w:gridCol w:w="3535"/>
      </w:tblGrid>
      <w:tr>
        <w:trPr>
          <w:tblHeader w:val="true"/>
        </w:trP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Regra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Seção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Perguntas do FRM-001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Condição de revisão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MTR1-B003-S01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1. Fontes, ingestão e elegibilidade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D01–D08; G02–G05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fontes, uploads, conectores, APIs, Internet ou terceiros alimentarem contexto ou conhecimento.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MTR1-B003-S02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2. Transformação, parsing e metadados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G04; G05; G10; I02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houver parsing, chunking, normalização, enriquecimento, OCR ou geração de derivados.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MTR1-B003-S03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3. Embeddings, índices e armazenamento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G01; G07; G08; G09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houver embeddings, índices, vector stores, caches, memória ou armazenamento de derivados.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MTR1-B003-S04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4. Autorização, segregação e recuperação permitida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C04; F11; G06; G07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dados ou documentos possuírem escopo por usuário, grupo, tenant, classificação ou autorização.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MTR1-B003-S05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5. Retrieval, ranking e montagem de contexto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G06; G10; G11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o sistema recuperar, ranquear, filtrar ou montar contexto para o modelo.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MTR1-B003-S06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6. Proteção contra poisoning e conteúdo adversarial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G03; G05; G11; J07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fontes externas, uploads ou conteúdo não confiável puderem influenciar ingestão ou recuperação.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MTR1-B003-S07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7. Memória, caches e dados derivados em execução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G07; G09; H14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houver memória persistente, cache semântico, estado conversacional ou compartilhamento de contexto.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MTR1-B003-S08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8. Retenção, exclusão, sincronização e recuperação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C11; D10; D11; G08; J10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dados, índices, embeddings, memória ou derivados forem persistidos e precisarem ser excluídos ou restaurados.</w:t>
            </w:r>
          </w:p>
        </w:tc>
      </w:tr>
    </w:tbl>
    <w:p>
      <w:pPr>
        <w:spacing w:after="20"/>
      </w:pPr>
    </w:p>
    <w:p>
      <w:pPr>
        <w:pStyle w:val="Heading2"/>
      </w:pPr>
      <w:r>
        <w:t>9.4 BAS-004 — Agentes, Ferramentas e Protocolos Agentic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FCBD3"/>
          <w:left w:val="single" w:sz="4" w:color="BFCBD3"/>
          <w:bottom w:val="single" w:sz="4" w:color="BFCBD3"/>
          <w:right w:val="single" w:sz="4" w:color="BFCBD3"/>
          <w:insideH w:val="single" w:sz="4" w:color="BFCBD3"/>
          <w:insideV w:val="single" w:sz="4" w:color="BFCBD3"/>
        </w:tblBorders>
      </w:tblPr>
      <w:tblGrid>
        <w:gridCol w:w="3535"/>
        <w:gridCol w:w="3535"/>
        <w:gridCol w:w="3535"/>
        <w:gridCol w:w="3535"/>
      </w:tblGrid>
      <w:tr>
        <w:trPr>
          <w:tblHeader w:val="true"/>
        </w:trP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Regra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Seção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Perguntas do FRM-001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Condição de revisão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MTR1-B004-S01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1. Identidades agentic e contexto de execução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F04; F05; H01; H09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existir agente, worker, executor ou ação realizada em nome de usuário ou workload.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MTR1-B004-S02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2. Registro, integridade e schemas de tools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H01; H02; H06; H07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houver tools, functions, actions, skills, plugins, capabilities, resources ou prompts MCP.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MTR1-B004-S03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3. Autorização determinística e limites de ação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H05; H08; H10; H11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o agente puder acessar recurso, tomar decisão ou produzir efeito em sistema externo.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MTR1-B004-S04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4. Segurança de clientes, servidores e registries MCP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H02; H06; H12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houver cliente, servidor, registry, discovery, resource ou prompt MCP.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MTR1-B004-S05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5. Proteção contra instruções e capabilities adversariais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G03; H01; H06; H07; J07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conteúdo não confiável puder influenciar planejamento, seleção de tool, capability ou instrução do agente.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MTR1-B004-S06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6. Sandbox, host, navegador e computer use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B09; H03; H13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houver execução de código, terminal, navegador, desktop, IDE, endpoint ou computer use.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MTR1-B004-S07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7. Memória, delegação e comunicação entre agentes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G09; H04; H14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houver memória agentic, agentes secundários, delegação, comunicação multiagente ou contexto persistente.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MTR1-B004-S08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8. Observabilidade agentic e comportamento fail-safe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H05; H11; H12; J01–J09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ações agentic exigirem logs, correlação, detecção, kill switch, limites e comportamento seguro.</w:t>
            </w:r>
          </w:p>
        </w:tc>
      </w:tr>
    </w:tbl>
    <w:p>
      <w:pPr>
        <w:spacing w:after="20"/>
      </w:pPr>
    </w:p>
    <w:p>
      <w:pPr>
        <w:pStyle w:val="Heading2"/>
      </w:pPr>
      <w:r>
        <w:t>9.5 BAS-005 — Desenvolvimento, Versionamento, MLOps e Cadeia de Suprimentos de Modelos de 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FCBD3"/>
          <w:left w:val="single" w:sz="4" w:color="BFCBD3"/>
          <w:bottom w:val="single" w:sz="4" w:color="BFCBD3"/>
          <w:right w:val="single" w:sz="4" w:color="BFCBD3"/>
          <w:insideH w:val="single" w:sz="4" w:color="BFCBD3"/>
          <w:insideV w:val="single" w:sz="4" w:color="BFCBD3"/>
        </w:tblBorders>
      </w:tblPr>
      <w:tblGrid>
        <w:gridCol w:w="3535"/>
        <w:gridCol w:w="3535"/>
        <w:gridCol w:w="3535"/>
        <w:gridCol w:w="3535"/>
      </w:tblGrid>
      <w:tr>
        <w:trPr>
          <w:tblHeader w:val="true"/>
        </w:trP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Regra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Seção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Perguntas do FRM-001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Condição de revisão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MTR1-B005-S01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1. Repositórios, código e versionamento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B10; I01; I02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código, notebook, prompt, policy, manifesto ou configuração for desenvolvido ou mantido para a solução.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MTR1-B005-S02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2. Datasets, prompts e configurações de treinamento e avaliação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B10; D06; I02; I03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houver treinamento, fine-tuning, avaliação, dataset, prompt sistêmico ou configuração de geração por release.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MTR1-B005-S03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3. Modelos, artefatos e registries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B05; B09; I04; I05; I06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modelos, weights, checkpoints, adapters, tokenizers ou bundles forem registrados, carregados ou distribuídos.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MTR1-B005-S04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4. Dependências, containers e proveniência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I05; I06; I07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builds utilizarem pacotes, containers, imagens, dependências ou artefatos externos.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MTR1-B005-S05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5. Pipelines MLOps, LLMOps e ambientes de build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I01; I08; I09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houver pipeline de dados, treinamento, build, teste, promoção ou deploy.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MTR1-B005-S06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6. Testes, evals e critérios técnicos de release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C07; I10; J07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releases, modelos, prompts ou soluções forem avaliados antes da promoção ou contratação.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MTR1-B005-S07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7. Deploy, serving e mudança técnica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A09; B07; I09; I12; J08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houver deployment, endpoint, serving, atualização, reconciliação ou mudança de versão/configuração.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MTR1-B005-S08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8. Rollback, descontinuação e descarte técnico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C11; I11; J10; J13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a solução precisar retornar versão, retirar modelo, revogar acesso, eliminar caches ou impedir reativação.</w:t>
            </w:r>
          </w:p>
        </w:tc>
      </w:tr>
    </w:tbl>
    <w:p>
      <w:pPr>
        <w:spacing w:after="20"/>
      </w:pPr>
    </w:p>
    <w:p>
      <w:pPr>
        <w:pStyle w:val="Heading2"/>
      </w:pPr>
      <w:r>
        <w:t>9.6 BAS-006 — Telemetria, Detecção e Resiliência de 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FCBD3"/>
          <w:left w:val="single" w:sz="4" w:color="BFCBD3"/>
          <w:bottom w:val="single" w:sz="4" w:color="BFCBD3"/>
          <w:right w:val="single" w:sz="4" w:color="BFCBD3"/>
          <w:insideH w:val="single" w:sz="4" w:color="BFCBD3"/>
          <w:insideV w:val="single" w:sz="4" w:color="BFCBD3"/>
        </w:tblBorders>
      </w:tblPr>
      <w:tblGrid>
        <w:gridCol w:w="3535"/>
        <w:gridCol w:w="3535"/>
        <w:gridCol w:w="3535"/>
        <w:gridCol w:w="3535"/>
      </w:tblGrid>
      <w:tr>
        <w:trPr>
          <w:tblHeader w:val="true"/>
        </w:trP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Regra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Seção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Perguntas do FRM-001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Condição de revisão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MTR1-B006-S01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1. Geração de eventos e integridade temporal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J01; J02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execuções, decisões, erros ou bloqueios precisarem produzir eventos auditáveis.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MTR1-B006-S02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2. Correlação e contexto ponta a ponta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F05; G10; H09; J03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o fluxo atravessar aplicação, gateway, provider, RAG, agente, tool, fila ou sistema downstream.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MTR1-B006-S03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3. Proteção, minimização e integridade dos registros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C06; D01–D05; J04; J05; J06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logs, traces, prompts, outputs ou eventos contiverem informação sensível ou evidência crítica.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MTR1-B006-S04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4. Coleta, transporte e integração com SIEM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C06; J06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eventos forem enviados a collector, broker, data lake, APM, SIEM ou SOC.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MTR1-B006-S05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5. Detecções técnicas de segurança para IA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D12; G11; H12; J07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forem necessárias detecções de vazamento, prompt injection, abuso agentic, poisoning, shadow AI ou MCP desconhecido.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MTR1-B006-S06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6. Anomalias de comportamento, custo e desempenho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E07; H11; J08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volume, custo, tokens, loops, drift, falha, latência ou saturação precisarem ser monitorados.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MTR1-B006-S07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7. Contenção técnica e comportamento seguro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F13; H12; J09; J12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Quando a solução exigir kill switch, bloqueio individual, circuit breaker, retries limitados, revogação ou fallback seguro.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MTR1-B006-S08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8. Recuperação, continuidade e desativação técnica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C10; C11; E10; I11; J10; J11; J13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Quando houver requisito de backup, restauração, redundância, recuperação, plano de saída ou desativação segura.</w:t>
            </w:r>
          </w:p>
        </w:tc>
      </w:tr>
    </w:tbl>
    <w:p>
      <w:pPr>
        <w:spacing w:after="20"/>
      </w:pPr>
    </w:p>
    <w:p>
      <w:pPr>
        <w:pStyle w:val="Heading1"/>
      </w:pPr>
      <w:r>
        <w:t>10. Regra individual de controle</w:t>
      </w:r>
    </w:p>
    <w:p>
      <w:r>
        <w:t>Após a ativação da seção, cada controle deve ser decidido individualmente:</w:t>
      </w:r>
    </w:p>
    <w:p>
      <w:pPr>
        <w:pStyle w:val="ListNumber"/>
        <w:spacing w:after="40"/>
      </w:pPr>
      <w:r>
        <w:t xml:space="preserve">verificar o campo </w:t>
      </w:r>
      <w:r>
        <w:rPr>
          <w:b/>
        </w:rPr>
        <w:t>Applicability</w:t>
      </w:r>
      <w:r>
        <w:t xml:space="preserve"> do baseline;</w:t>
      </w:r>
    </w:p>
    <w:p>
      <w:pPr>
        <w:pStyle w:val="ListNumber"/>
        <w:spacing w:after="40"/>
      </w:pPr>
      <w:r>
        <w:t>confirmar se o componente, capacidade ou fluxo existe;</w:t>
      </w:r>
    </w:p>
    <w:p>
      <w:pPr>
        <w:pStyle w:val="ListNumber"/>
        <w:spacing w:after="40"/>
      </w:pPr>
      <w:r>
        <w:t>aplicar o perfil Level 1 ou Level 2;</w:t>
      </w:r>
    </w:p>
    <w:p>
      <w:pPr>
        <w:pStyle w:val="ListNumber"/>
        <w:spacing w:after="40"/>
      </w:pPr>
      <w:r>
        <w:t>atribuir responsabilidade;</w:t>
      </w:r>
    </w:p>
    <w:p>
      <w:pPr>
        <w:pStyle w:val="ListNumber"/>
        <w:spacing w:after="40"/>
      </w:pPr>
      <w:r>
        <w:t>registrar o critério específico que justificou a responsabilidade;</w:t>
      </w:r>
    </w:p>
    <w:p>
      <w:pPr>
        <w:pStyle w:val="ListNumber"/>
        <w:spacing w:after="40"/>
      </w:pPr>
      <w:r>
        <w:t>associar a evidência esperada apenas como orientação para implementação e futura verificação;</w:t>
      </w:r>
    </w:p>
    <w:p>
      <w:pPr>
        <w:pStyle w:val="ListNumber"/>
        <w:spacing w:after="40"/>
      </w:pPr>
      <w:r>
        <w:t>gerar o resultado de aplicabilidade.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FCBD3"/>
          <w:left w:val="single" w:sz="4" w:color="BFCBD3"/>
          <w:bottom w:val="single" w:sz="4" w:color="BFCBD3"/>
          <w:right w:val="single" w:sz="4" w:color="BFCBD3"/>
          <w:insideH w:val="single" w:sz="4" w:color="BFCBD3"/>
          <w:insideV w:val="single" w:sz="4" w:color="BFCBD3"/>
        </w:tblBorders>
      </w:tblPr>
      <w:tblGrid>
        <w:gridCol w:w="7070"/>
        <w:gridCol w:w="7070"/>
      </w:tblGrid>
      <w:tr>
        <w:trPr>
          <w:tblHeader w:val="true"/>
        </w:trP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Situação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Level 1 e condição técnica presente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Aplicável — Obrigatório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Level 2, condição técnica presente e perfil Level 2 acionado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Aplicável — Obrigatório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Level 2, condição técnica presente e perfil Level 2 não acionado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Aplicável — Recomendado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Condição técnica comprovadamente inexistente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Não aplicável, com justificativa específica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Resposta desconhecida ou informação contraditória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Revisão técnica obrigatória</w:t>
            </w:r>
          </w:p>
        </w:tc>
      </w:tr>
    </w:tbl>
    <w:p>
      <w:pPr>
        <w:spacing w:after="20"/>
      </w:pPr>
    </w:p>
    <w:p>
      <w:r>
        <w:t xml:space="preserve">O resultado </w:t>
      </w:r>
      <w:r>
        <w:rPr>
          <w:b/>
        </w:rPr>
        <w:t>Não aplicável</w:t>
      </w:r>
      <w:r>
        <w:t xml:space="preserve"> não pode ser usado apenas porque a solução é de terceiro, porque a organização não tem acesso à configuração ou porque o controle ainda não foi implementado.</w:t>
      </w:r>
    </w:p>
    <w:p>
      <w:pPr>
        <w:pStyle w:val="Heading1"/>
      </w:pPr>
      <w:r>
        <w:t>11. Responsabilidade e soluções terceiras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FCBD3"/>
          <w:left w:val="single" w:sz="4" w:color="BFCBD3"/>
          <w:bottom w:val="single" w:sz="4" w:color="BFCBD3"/>
          <w:right w:val="single" w:sz="4" w:color="BFCBD3"/>
          <w:insideH w:val="single" w:sz="4" w:color="BFCBD3"/>
          <w:insideV w:val="single" w:sz="4" w:color="BFCBD3"/>
        </w:tblBorders>
      </w:tblPr>
      <w:tblGrid>
        <w:gridCol w:w="7070"/>
        <w:gridCol w:w="7070"/>
      </w:tblGrid>
      <w:tr>
        <w:trPr>
          <w:tblHeader w:val="true"/>
        </w:trP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Responsabilidade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Tratamento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b/>
                <w:sz w:val="15"/>
              </w:rPr>
              <w:t>Organização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A implementação e a operação dependem de componentes, configurações ou processos técnicos sob controle direto da organização.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b/>
                <w:sz w:val="15"/>
              </w:rPr>
              <w:t>Fornecedor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O controle permanece selecionado, mas sua implementação depende predominantemente da plataforma ou do serviço operado pelo terceiro.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b/>
                <w:sz w:val="15"/>
              </w:rPr>
              <w:t>Compartilhada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A eficácia depende de implementação, configuração ou integração de ambas as partes.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b/>
                <w:sz w:val="15"/>
              </w:rPr>
              <w:t>Não determinada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Não foi possível identificar o domínio de implementação; o controle permanece em revisão técnica.</w:t>
            </w:r>
          </w:p>
        </w:tc>
      </w:tr>
    </w:tbl>
    <w:p>
      <w:pPr>
        <w:spacing w:after="20"/>
      </w:pPr>
    </w:p>
    <w:p>
      <w:r>
        <w:t>O critério de atribuição deve citar o requisito técnico do controle, o cenário selecionado no FRM-001 e as respostas sobre quem desenvolve/configura e quem hospeda/opera a solução.</w:t>
      </w:r>
    </w:p>
    <w:p>
      <w:r>
        <w:t>A falta de acesso à configuração do fornecedor não torna o controle não aplicável. A evidência esperada exibida no Parecer é orientação para futura implementação, homologação ou verificação e não altera automaticamente o cálculo prospectivo.</w:t>
      </w:r>
    </w:p>
    <w:p>
      <w:pPr>
        <w:pStyle w:val="Heading1"/>
      </w:pPr>
      <w:r>
        <w:t>12. Precedência e tratamento de conflitos</w:t>
      </w:r>
    </w:p>
    <w:p>
      <w:pPr>
        <w:pStyle w:val="ListNumber"/>
        <w:spacing w:after="40"/>
      </w:pPr>
      <w:r>
        <w:t>A condição técnica específica do controle prevalece sobre a regra genérica da seção.</w:t>
      </w:r>
    </w:p>
    <w:p>
      <w:pPr>
        <w:pStyle w:val="ListNumber"/>
        <w:spacing w:after="40"/>
      </w:pPr>
      <w:r>
        <w:t>O gatilho Level 2 prevalece sobre a classificação recomendada.</w:t>
      </w:r>
    </w:p>
    <w:p>
      <w:pPr>
        <w:pStyle w:val="ListNumber"/>
        <w:spacing w:after="40"/>
      </w:pPr>
      <w:r>
        <w:t>A criticidade Crítica não altera a aplicabilidade, mas exige tratamento prioritário quando o controle for selecionado.</w:t>
      </w:r>
    </w:p>
    <w:p>
      <w:pPr>
        <w:pStyle w:val="ListNumber"/>
        <w:spacing w:after="40"/>
      </w:pPr>
      <w:r>
        <w:t>A resposta “Não” pode indicar ausência da capacidade ou ausência do controle; o significado deve ser distinguido pelo texto da pergunta.</w:t>
      </w:r>
    </w:p>
    <w:p>
      <w:pPr>
        <w:pStyle w:val="ListNumber"/>
        <w:spacing w:after="40"/>
      </w:pPr>
      <w:r>
        <w:t>Respostas textuais podem ativar revisão manual mesmo sem resposta booleana.</w:t>
      </w:r>
    </w:p>
    <w:p>
      <w:pPr>
        <w:pStyle w:val="ListNumber"/>
        <w:spacing w:after="40"/>
      </w:pPr>
      <w:r>
        <w:t>Divergência entre arquitetura, FRM-001, contrato e fornecedor deve resultar em revisão técnica.</w:t>
      </w:r>
    </w:p>
    <w:p>
      <w:pPr>
        <w:pStyle w:val="ListNumber"/>
        <w:spacing w:after="40"/>
      </w:pPr>
      <w:r>
        <w:t>Uma exceção aprovada não transforma o controle em não aplicável; ela registra o desvio e exige recálculo do risco.</w:t>
      </w:r>
    </w:p>
    <w:p>
      <w:pPr>
        <w:pStyle w:val="ListNumber"/>
        <w:spacing w:after="40"/>
      </w:pPr>
      <w:r>
        <w:t>Um controle não pode ser removido automaticamente do Parecer somente porque a área o considera difícil, custoso ou ainda não implementado.</w:t>
      </w:r>
    </w:p>
    <w:p>
      <w:pPr>
        <w:pStyle w:val="Heading1"/>
      </w:pPr>
      <w:r>
        <w:t>13. Estrutura da planilha operacional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FCBD3"/>
          <w:left w:val="single" w:sz="4" w:color="BFCBD3"/>
          <w:bottom w:val="single" w:sz="4" w:color="BFCBD3"/>
          <w:right w:val="single" w:sz="4" w:color="BFCBD3"/>
          <w:insideH w:val="single" w:sz="4" w:color="BFCBD3"/>
          <w:insideV w:val="single" w:sz="4" w:color="BFCBD3"/>
        </w:tblBorders>
      </w:tblPr>
      <w:tblGrid>
        <w:gridCol w:w="7070"/>
        <w:gridCol w:w="7070"/>
      </w:tblGrid>
      <w:tr>
        <w:trPr>
          <w:tblHeader w:val="true"/>
        </w:trP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Aba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b/>
                <w:sz w:val="15"/>
              </w:rPr>
              <w:t>Matriz_Controles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282 controles dos BAS-001 a BAS-006 com regra, perfil, criticidade, aplicabilidade, responsabilidade, critério de atribuição e evidência esperada orientativa.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b/>
                <w:sz w:val="15"/>
              </w:rPr>
              <w:t>Regras_Baselines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Gatilhos para ativar cada baseline e seu perfil Level 2.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b/>
                <w:sz w:val="15"/>
              </w:rPr>
              <w:t>Regras_Secoes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Regras de revisão para cada seção dos baselines.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b/>
                <w:sz w:val="15"/>
              </w:rPr>
              <w:t>Perguntas_FRM001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Catálogo das 119 perguntas do FRM-001 e vínculo com as regras.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b/>
                <w:sz w:val="15"/>
              </w:rPr>
              <w:t>Valores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Resultados, responsabilidades, operadores e valores permitidos.</w:t>
            </w:r>
          </w:p>
        </w:tc>
      </w:tr>
      <w:tr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b/>
                <w:sz w:val="15"/>
              </w:rPr>
              <w:t>Historico</w:t>
            </w:r>
          </w:p>
        </w:tc>
        <w:tc>
          <w:tcPr>
            <w:tcW w:type="dxa" w:w="70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Versões, alterações, data e responsável pela matriz.</w:t>
            </w:r>
          </w:p>
        </w:tc>
      </w:tr>
    </w:tbl>
    <w:p>
      <w:pPr>
        <w:spacing w:after="20"/>
      </w:pPr>
    </w:p>
    <w:p>
      <w:r>
        <w:t>A planilha operacional deve preservar os identificadores técnicos dos controles e regras para permitir rastreabilidade entre o FRM-001, a MTR-001, os baselines e o Parecer.</w:t>
      </w:r>
    </w:p>
    <w:p>
      <w:pPr>
        <w:pStyle w:val="Heading1"/>
      </w:pPr>
      <w:r>
        <w:t>14. Exemplos de aplicação</w:t>
      </w:r>
    </w:p>
    <w:p>
      <w:pPr>
        <w:pStyle w:val="Heading2"/>
      </w:pPr>
      <w:r>
        <w:t>14.1 SaaS com IA embarcada e dados confidenciais</w:t>
      </w:r>
    </w:p>
    <w:p>
      <w:pPr>
        <w:pStyle w:val="ListBullet"/>
        <w:spacing w:after="40"/>
      </w:pPr>
      <w:r>
        <w:t>BAS-001: ativo por ser solução de IA.</w:t>
      </w:r>
    </w:p>
    <w:p>
      <w:pPr>
        <w:pStyle w:val="ListBullet"/>
        <w:spacing w:after="40"/>
      </w:pPr>
      <w:r>
        <w:t>BAS-002: ativo por existir aplicação integrada e serviço externo.</w:t>
      </w:r>
    </w:p>
    <w:p>
      <w:pPr>
        <w:pStyle w:val="ListBullet"/>
        <w:spacing w:after="40"/>
      </w:pPr>
      <w:r>
        <w:t>BAS-006: ativo por uso produtivo e necessidade de logs, detecção e continuidade.</w:t>
      </w:r>
    </w:p>
    <w:p>
      <w:pPr>
        <w:pStyle w:val="ListBullet"/>
        <w:spacing w:after="40"/>
      </w:pPr>
      <w:r>
        <w:t>BAS-003, BAS-004 e BAS-005: ativados somente se houver RAG, agente/MCP ou desenvolvimento/modelo gerenciado no escopo.</w:t>
      </w:r>
    </w:p>
    <w:p>
      <w:pPr>
        <w:pStyle w:val="ListBullet"/>
        <w:spacing w:after="40"/>
      </w:pPr>
      <w:r>
        <w:t>Controles do fornecedor permanecem aplicáveis e recebem responsabilidade “Fornecedor” ou “Compartilhada”.</w:t>
      </w:r>
    </w:p>
    <w:p>
      <w:pPr>
        <w:pStyle w:val="Heading2"/>
      </w:pPr>
      <w:r>
        <w:t>14.2 Assistente RAG interno</w:t>
      </w:r>
    </w:p>
    <w:p>
      <w:pPr>
        <w:pStyle w:val="ListBullet"/>
        <w:spacing w:after="40"/>
      </w:pPr>
      <w:r>
        <w:t>BAS-001, BAS-002, BAS-003 e BAS-006 ativos.</w:t>
      </w:r>
    </w:p>
    <w:p>
      <w:pPr>
        <w:pStyle w:val="ListBullet"/>
        <w:spacing w:after="40"/>
      </w:pPr>
      <w:r>
        <w:t>BAS-004 é adicionado se o assistente executar tools ou ações.</w:t>
      </w:r>
    </w:p>
    <w:p>
      <w:pPr>
        <w:pStyle w:val="ListBullet"/>
        <w:spacing w:after="40"/>
      </w:pPr>
      <w:r>
        <w:t>Controles de multi-tenancy somente se tornam aplicáveis quando houver compartilhamento entre usuários, grupos ou tenants.</w:t>
      </w:r>
    </w:p>
    <w:p>
      <w:pPr>
        <w:pStyle w:val="Heading2"/>
      </w:pPr>
      <w:r>
        <w:t>14.3 Agente local com computer use</w:t>
      </w:r>
    </w:p>
    <w:p>
      <w:pPr>
        <w:pStyle w:val="ListBullet"/>
        <w:spacing w:after="40"/>
      </w:pPr>
      <w:r>
        <w:t>BAS-001, BAS-004 e BAS-006 ativos.</w:t>
      </w:r>
    </w:p>
    <w:p>
      <w:pPr>
        <w:pStyle w:val="ListBullet"/>
        <w:spacing w:after="40"/>
      </w:pPr>
      <w:r>
        <w:t>BAS-005 é adicionado quando modelo, artefato, container ou pipeline forem mantidos pela organização.</w:t>
      </w:r>
    </w:p>
    <w:p>
      <w:pPr>
        <w:pStyle w:val="ListBullet"/>
        <w:spacing w:after="40"/>
      </w:pPr>
      <w:r>
        <w:t>Controles de sandbox, identidade, autorização, limites, kill switch e rastreabilidade tornam-se obrigatórios.</w:t>
      </w:r>
    </w:p>
    <w:p>
      <w:pPr>
        <w:pStyle w:val="Heading1"/>
      </w:pPr>
      <w:r>
        <w:t>15. Saída mínima da avaliação</w:t>
      </w:r>
    </w:p>
    <w:p>
      <w:r>
        <w:t>A execução da matriz deve produzir:</w:t>
      </w:r>
    </w:p>
    <w:p>
      <w:pPr>
        <w:pStyle w:val="ListBullet"/>
        <w:spacing w:after="40"/>
      </w:pPr>
      <w:r>
        <w:t>baselines ativos;</w:t>
      </w:r>
    </w:p>
    <w:p>
      <w:pPr>
        <w:pStyle w:val="ListBullet"/>
        <w:spacing w:after="40"/>
      </w:pPr>
      <w:r>
        <w:t>perfil aplicável por baseline;</w:t>
      </w:r>
    </w:p>
    <w:p>
      <w:pPr>
        <w:pStyle w:val="ListBullet"/>
        <w:spacing w:after="40"/>
      </w:pPr>
      <w:r>
        <w:t>controles obrigatórios e recomendados;</w:t>
      </w:r>
    </w:p>
    <w:p>
      <w:pPr>
        <w:pStyle w:val="ListBullet"/>
        <w:spacing w:after="40"/>
      </w:pPr>
      <w:r>
        <w:t>controles em revisão técnica;</w:t>
      </w:r>
    </w:p>
    <w:p>
      <w:pPr>
        <w:pStyle w:val="ListBullet"/>
        <w:spacing w:after="40"/>
      </w:pPr>
      <w:r>
        <w:t>controles não aplicáveis e justificativas específicas;</w:t>
      </w:r>
    </w:p>
    <w:p>
      <w:pPr>
        <w:pStyle w:val="ListBullet"/>
        <w:spacing w:after="40"/>
      </w:pPr>
      <w:r>
        <w:t>responsabilidade de cada controle;</w:t>
      </w:r>
    </w:p>
    <w:p>
      <w:pPr>
        <w:pStyle w:val="ListBullet"/>
        <w:spacing w:after="40"/>
      </w:pPr>
      <w:r>
        <w:t>critério detalhado de atribuição da responsabilidade;</w:t>
      </w:r>
    </w:p>
    <w:p>
      <w:pPr>
        <w:pStyle w:val="ListBullet"/>
        <w:spacing w:after="40"/>
      </w:pPr>
      <w:r>
        <w:t>regra e respostas que provocaram a seleção;</w:t>
      </w:r>
    </w:p>
    <w:p>
      <w:pPr>
        <w:pStyle w:val="ListBullet"/>
        <w:spacing w:after="40"/>
      </w:pPr>
      <w:r>
        <w:t>requisito, descrição, audit, remediação, impacto e evidência esperada de cada controle;</w:t>
      </w:r>
    </w:p>
    <w:p>
      <w:pPr>
        <w:pStyle w:val="ListBullet"/>
        <w:spacing w:after="40"/>
      </w:pPr>
      <w:r>
        <w:t>versões das regras e documentos utilizados;</w:t>
      </w:r>
    </w:p>
    <w:p>
      <w:pPr>
        <w:pStyle w:val="ListBullet"/>
        <w:spacing w:after="40"/>
      </w:pPr>
      <w:r>
        <w:t>premissa de implementação integral utilizada na projeção do risco residual;</w:t>
      </w:r>
    </w:p>
    <w:p>
      <w:pPr>
        <w:pStyle w:val="ListBullet"/>
        <w:spacing w:after="40"/>
      </w:pPr>
      <w:r>
        <w:t>encaminhamento para exceção ou revisão manual quando necessário.</w:t>
      </w:r>
    </w:p>
    <w:p>
      <w:pPr>
        <w:pStyle w:val="Heading1"/>
      </w:pPr>
      <w:r>
        <w:t>16. Manutenção e versionamento</w:t>
      </w:r>
    </w:p>
    <w:p>
      <w:r>
        <w:t>Alterações em perguntas, gatilhos, perfis, nomes de seções, controles, critérios de responsabilidade ou condições de aplicabilidade devem gerar nova versão da MTR-001.</w:t>
      </w:r>
    </w:p>
    <w:p>
      <w:r>
        <w:t>A matriz deve ser revisada sempre que houver nova versão do FRM-001, da MET-001 ou dos BAS-001 a BAS-006. Avaliações anteriores devem manter a versão histórica utilizada e não podem ser recalculadas silenciosamente.</w:t>
      </w:r>
    </w:p>
    <w:p>
      <w:r>
        <w:t>O MVP e as exportações do Parecer devem declarar as versões do FRM-001, MET-001, MTR-001 e baselines efetivamente incorporadas.</w:t>
      </w:r>
    </w:p>
    <w:p>
      <w:pPr>
        <w:pStyle w:val="Heading1"/>
      </w:pPr>
      <w:r>
        <w:t>17. Histórico de versão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FCBD3"/>
          <w:left w:val="single" w:sz="4" w:color="BFCBD3"/>
          <w:bottom w:val="single" w:sz="4" w:color="BFCBD3"/>
          <w:right w:val="single" w:sz="4" w:color="BFCBD3"/>
          <w:insideH w:val="single" w:sz="4" w:color="BFCBD3"/>
          <w:insideV w:val="single" w:sz="4" w:color="BFCBD3"/>
        </w:tblBorders>
      </w:tblPr>
      <w:tblGrid>
        <w:gridCol w:w="3535"/>
        <w:gridCol w:w="3535"/>
        <w:gridCol w:w="3535"/>
        <w:gridCol w:w="3535"/>
      </w:tblGrid>
      <w:tr>
        <w:trPr>
          <w:tblHeader w:val="true"/>
        </w:trP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Versão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Data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Descrição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28465C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Responsável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b/>
                <w:sz w:val="15"/>
              </w:rPr>
              <w:t>1.1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15/07/2026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Renumeração definitiva para MTR-001; alinhamento ao FRM-001 autossuficiente e à MET-001 v1.2; remoção de outros formulários; inclusão do critério detalhado de responsabilidade e da premissa prospectiva de implementação integral dos controles.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>
              <w:rPr>
                <w:sz w:val="15"/>
              </w:rPr>
              <w:t>Segurança de IA / Arquitetura de Segurança / GRC</w:t>
            </w:r>
          </w:p>
        </w:tc>
      </w:tr>
      <w:tr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b/>
                <w:sz w:val="15"/>
              </w:rPr>
              <w:t>1.0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13/07/2026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Criação da matriz para seleção cumulativa de baselines, perfis e controles técnicos.</w:t>
            </w:r>
          </w:p>
        </w:tc>
        <w:tc>
          <w:tcPr>
            <w:tcW w:type="dxa" w:w="35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7F9FA"/>
          </w:tcPr>
          <w:p>
            <w:pPr>
              <w:spacing w:after="20"/>
            </w:pPr>
            <w:r>
              <w:rPr>
                <w:sz w:val="15"/>
              </w:rPr>
              <w:t>Segurança de IA / Arquitetura de Segurança / GRC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F7D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F6F7D"/>
        <w:sz w:val="16"/>
      </w:rPr>
      <w:t>MTR-001 | Matriz de Aplicabilidade de Baselines e Controles Técnicos de IA |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93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46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93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40" w:right="340"/>
    </w:pPr>
    <w:rPr>
      <w:rFonts w:ascii="Consolas" w:hAnsi="Consolas"/>
      <w:color w:val="17212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MTR-001 — Matriz de Aplicabilidade de Baselines e Controles Técnicos de Inteligência Artificial</dc:title>
  <dc:subject>Regras de seleção cumulativa de baselines, perfis e controles técnicos de IA</dc:subject>
  <dc:creator>python-docx</dc:creator>
  <cp:keywords>IA, segurança, controles, baselines, aplicabilidade, MTR-001</cp:keywords>
  <dc:description>Versão 1.1 alinhada ao FRM-001 e MET-001 v1.2.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