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MTR-002 — Matriz de Aplicabilidade de Baselines e Controles Técnicos de Inteligência Artificial</w:t>
      </w:r>
    </w:p>
    <w:p>
      <w:pPr>
        <w:pStyle w:val="Normal"/>
        <w:jc w:val="center"/>
        <w:rPr/>
      </w:pPr>
      <w:r>
        <w:rPr>
          <w:i/>
          <w:color w:val="5A646E"/>
          <w:sz w:val="20"/>
        </w:rPr>
        <w:t>Uso Interno | Versão 1.0 | Minuta para revisão</w:t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13"/>
        <w:gridCol w:w="5212"/>
      </w:tblGrid>
      <w:tr>
        <w:trPr>
          <w:tblHeader w:val="true"/>
        </w:trPr>
        <w:tc>
          <w:tcPr>
            <w:tcW w:w="5213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212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Valor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MTR-002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Nome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Matriz de Aplicabilidade de Baselines e Controles Técnicos de Inteligência Artificial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Tipo documental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Matriz de aplicabilidade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Domínio sugerido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Segurança de IA &gt; Matrizes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Classificação da informação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Uso Interno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Prioridade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Minuta para revisão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Versão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1.0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Data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13/07/2026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Vigência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Após aprovação formal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Periodicidade mínima de revisão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Semestral, ou extraordinária em caso de alteração do MET-001, FRM-002, BAS-001 a BAS-006, processo de homologação, arquitetura de referência ou apetite de risco.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Owner institucional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Segurança da Informação / Segurança de IA / GRC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Custodiante técnico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Arquitetura de Segurança da Informação / Segurança de IA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Corresponsáveis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Arquitetura Corporativa; AppSec; Cloud Security; IAM/PAM; Dados; MLOps/LLMOps; SOC/Blue Team; Red Team; Continuidade; Gestão de Terceiros; Compras; Jurídico; Privacidade; Owners de Plataforma e de Negócio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Público-alvo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Analistas de Segurança de IA, arquitetos, GRC, squads, owners, fornecedores, auditoria e equipes responsáveis por avaliar, implementar ou evidenciar controles de IA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Documento superior relacionado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MET-001 — Metodologia de Avaliação e Cálculo de Riscos de Soluções de IA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Documentos correlatos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FRM-002; MTR-001; PRC-001; PRC-003; PRC-004; PRC-007; PRC-008; BAS-001; BAS-002; BAS-003; BAS-004; BAS-005; BAS-006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Fonte primária para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Conversão das respostas do FRM-002 em baselines, perfis e controles técnicos aplicáveis ao cenário avaliado.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568_3889563984">
            <w:r>
              <w:rPr>
                <w:webHidden/>
                <w:rStyle w:val="IndexLink"/>
              </w:rPr>
              <w:t>1. Finalidade</w:t>
              <w:tab/>
              <w:t>3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570_3889563984">
            <w:r>
              <w:rPr>
                <w:webHidden/>
                <w:rStyle w:val="IndexLink"/>
              </w:rPr>
              <w:t>2. Escopo</w:t>
              <w:tab/>
              <w:t>3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572_3889563984">
            <w:r>
              <w:rPr>
                <w:webHidden/>
                <w:rStyle w:val="IndexLink"/>
              </w:rPr>
              <w:t>3. Entradas e saídas</w:t>
              <w:tab/>
              <w:t>3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574_3889563984">
            <w:r>
              <w:rPr>
                <w:webHidden/>
                <w:rStyle w:val="IndexLink"/>
              </w:rPr>
              <w:t>4. Princípios de aplicação</w:t>
              <w:tab/>
              <w:t>3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576_3889563984">
            <w:r>
              <w:rPr>
                <w:webHidden/>
                <w:rStyle w:val="IndexLink"/>
              </w:rPr>
              <w:t>5. Resultados de aplicabilidade</w:t>
              <w:tab/>
              <w:t>3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578_3889563984">
            <w:r>
              <w:rPr>
                <w:webHidden/>
                <w:rStyle w:val="IndexLink"/>
              </w:rPr>
              <w:t>6. Fluxo de decisão</w:t>
              <w:tab/>
              <w:t>4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580_3889563984">
            <w:r>
              <w:rPr>
                <w:webHidden/>
                <w:rStyle w:val="IndexLink"/>
              </w:rPr>
              <w:t>7. Regras de seleção dos baselines</w:t>
              <w:tab/>
              <w:t>4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582_3889563984">
            <w:r>
              <w:rPr>
                <w:webHidden/>
                <w:rStyle w:val="IndexLink"/>
              </w:rPr>
              <w:t>8. Regras de perfil Level 2</w:t>
              <w:tab/>
              <w:t>4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584_3889563984">
            <w:r>
              <w:rPr>
                <w:webHidden/>
                <w:rStyle w:val="IndexLink"/>
              </w:rPr>
              <w:t>9. Regras de aplicabilidade por seção</w:t>
              <w:tab/>
              <w:t>4</w:t>
            </w:r>
          </w:hyperlink>
        </w:p>
        <w:p>
          <w:pPr>
            <w:pStyle w:val="TOC2"/>
            <w:tabs>
              <w:tab w:val="clear" w:pos="10143"/>
              <w:tab w:val="right" w:pos="10425" w:leader="dot"/>
            </w:tabs>
            <w:rPr/>
          </w:pPr>
          <w:hyperlink w:anchor="__RefHeading___Toc2586_3889563984">
            <w:r>
              <w:rPr>
                <w:webHidden/>
                <w:rStyle w:val="IndexLink"/>
              </w:rPr>
              <w:t>9.1 BAS-001 — Controles Técnicos Transversais para Soluções de IA</w:t>
              <w:tab/>
              <w:t>5</w:t>
            </w:r>
          </w:hyperlink>
        </w:p>
        <w:p>
          <w:pPr>
            <w:pStyle w:val="TOC2"/>
            <w:tabs>
              <w:tab w:val="clear" w:pos="10143"/>
              <w:tab w:val="right" w:pos="10425" w:leader="dot"/>
            </w:tabs>
            <w:rPr/>
          </w:pPr>
          <w:hyperlink w:anchor="__RefHeading___Toc2588_3889563984">
            <w:r>
              <w:rPr>
                <w:webHidden/>
                <w:rStyle w:val="IndexLink"/>
              </w:rPr>
              <w:t>9.2 BAS-002 — Integração e Exposição de Serviços de IA</w:t>
              <w:tab/>
              <w:t>5</w:t>
            </w:r>
          </w:hyperlink>
        </w:p>
        <w:p>
          <w:pPr>
            <w:pStyle w:val="TOC2"/>
            <w:tabs>
              <w:tab w:val="clear" w:pos="10143"/>
              <w:tab w:val="right" w:pos="10425" w:leader="dot"/>
            </w:tabs>
            <w:rPr/>
          </w:pPr>
          <w:hyperlink w:anchor="__RefHeading___Toc2590_3889563984">
            <w:r>
              <w:rPr>
                <w:webHidden/>
                <w:rStyle w:val="IndexLink"/>
              </w:rPr>
              <w:t>9.3 BAS-003 — Dados, Contexto e Conhecimento em IA</w:t>
              <w:tab/>
              <w:t>5</w:t>
            </w:r>
          </w:hyperlink>
        </w:p>
        <w:p>
          <w:pPr>
            <w:pStyle w:val="TOC2"/>
            <w:tabs>
              <w:tab w:val="clear" w:pos="10143"/>
              <w:tab w:val="right" w:pos="10425" w:leader="dot"/>
            </w:tabs>
            <w:rPr/>
          </w:pPr>
          <w:hyperlink w:anchor="__RefHeading___Toc2592_3889563984">
            <w:r>
              <w:rPr>
                <w:webHidden/>
                <w:rStyle w:val="IndexLink"/>
              </w:rPr>
              <w:t>9.4 BAS-004 — Agentes, Ferramentas e Protocolos Agentic</w:t>
              <w:tab/>
              <w:t>6</w:t>
            </w:r>
          </w:hyperlink>
        </w:p>
        <w:p>
          <w:pPr>
            <w:pStyle w:val="TOC2"/>
            <w:tabs>
              <w:tab w:val="clear" w:pos="10143"/>
              <w:tab w:val="right" w:pos="10425" w:leader="dot"/>
            </w:tabs>
            <w:rPr/>
          </w:pPr>
          <w:hyperlink w:anchor="__RefHeading___Toc2594_3889563984">
            <w:r>
              <w:rPr>
                <w:webHidden/>
                <w:rStyle w:val="IndexLink"/>
              </w:rPr>
              <w:t>9.5 BAS-005 — Desenvolvimento, Versionamento, MLOps e Cadeia de Suprimentos de Modelos de IA</w:t>
              <w:tab/>
              <w:t>7</w:t>
            </w:r>
          </w:hyperlink>
        </w:p>
        <w:p>
          <w:pPr>
            <w:pStyle w:val="TOC2"/>
            <w:tabs>
              <w:tab w:val="clear" w:pos="10143"/>
              <w:tab w:val="right" w:pos="10425" w:leader="dot"/>
            </w:tabs>
            <w:rPr/>
          </w:pPr>
          <w:hyperlink w:anchor="__RefHeading___Toc2596_3889563984">
            <w:r>
              <w:rPr>
                <w:webHidden/>
                <w:rStyle w:val="IndexLink"/>
              </w:rPr>
              <w:t>9.6 BAS-006 — Telemetria, Detecção e Resiliência de IA</w:t>
              <w:tab/>
              <w:t>7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598_3889563984">
            <w:r>
              <w:rPr>
                <w:webHidden/>
                <w:rStyle w:val="IndexLink"/>
              </w:rPr>
              <w:t>10. Regra individual de controle</w:t>
              <w:tab/>
              <w:t>8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600_3889563984">
            <w:r>
              <w:rPr>
                <w:webHidden/>
                <w:rStyle w:val="IndexLink"/>
              </w:rPr>
              <w:t>11. Responsabilidade e soluções terceiras</w:t>
              <w:tab/>
              <w:t>8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602_3889563984">
            <w:r>
              <w:rPr>
                <w:webHidden/>
                <w:rStyle w:val="IndexLink"/>
              </w:rPr>
              <w:t>12. Precedência e conflitos</w:t>
              <w:tab/>
              <w:t>8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604_3889563984">
            <w:r>
              <w:rPr>
                <w:webHidden/>
                <w:rStyle w:val="IndexLink"/>
              </w:rPr>
              <w:t>13. Estrutura da planilha operacional</w:t>
              <w:tab/>
              <w:t>8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606_3889563984">
            <w:r>
              <w:rPr>
                <w:webHidden/>
                <w:rStyle w:val="IndexLink"/>
              </w:rPr>
              <w:t>14. Exemplos de aplicação</w:t>
              <w:tab/>
              <w:t>9</w:t>
            </w:r>
          </w:hyperlink>
        </w:p>
        <w:p>
          <w:pPr>
            <w:pStyle w:val="TOC2"/>
            <w:tabs>
              <w:tab w:val="clear" w:pos="10143"/>
              <w:tab w:val="right" w:pos="10425" w:leader="dot"/>
            </w:tabs>
            <w:rPr/>
          </w:pPr>
          <w:hyperlink w:anchor="__RefHeading___Toc2608_3889563984">
            <w:r>
              <w:rPr>
                <w:webHidden/>
                <w:rStyle w:val="IndexLink"/>
              </w:rPr>
              <w:t>14.1 SaaS com IA embarcada e dados confidenciais</w:t>
              <w:tab/>
              <w:t>9</w:t>
            </w:r>
          </w:hyperlink>
        </w:p>
        <w:p>
          <w:pPr>
            <w:pStyle w:val="TOC2"/>
            <w:tabs>
              <w:tab w:val="clear" w:pos="10143"/>
              <w:tab w:val="right" w:pos="10425" w:leader="dot"/>
            </w:tabs>
            <w:rPr/>
          </w:pPr>
          <w:hyperlink w:anchor="__RefHeading___Toc2610_3889563984">
            <w:r>
              <w:rPr>
                <w:webHidden/>
                <w:rStyle w:val="IndexLink"/>
              </w:rPr>
              <w:t>14.2 Assistente RAG interno</w:t>
              <w:tab/>
              <w:t>9</w:t>
            </w:r>
          </w:hyperlink>
        </w:p>
        <w:p>
          <w:pPr>
            <w:pStyle w:val="TOC2"/>
            <w:tabs>
              <w:tab w:val="clear" w:pos="10143"/>
              <w:tab w:val="right" w:pos="10425" w:leader="dot"/>
            </w:tabs>
            <w:rPr/>
          </w:pPr>
          <w:hyperlink w:anchor="__RefHeading___Toc2612_3889563984">
            <w:r>
              <w:rPr>
                <w:webHidden/>
                <w:rStyle w:val="IndexLink"/>
              </w:rPr>
              <w:t>14.3 Agente local com computer use</w:t>
              <w:tab/>
              <w:t>9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614_3889563984">
            <w:r>
              <w:rPr>
                <w:webHidden/>
                <w:rStyle w:val="IndexLink"/>
              </w:rPr>
              <w:t>15. Saída mínima da avaliação</w:t>
              <w:tab/>
              <w:t>9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616_3889563984">
            <w:r>
              <w:rPr>
                <w:webHidden/>
                <w:rStyle w:val="IndexLink"/>
              </w:rPr>
              <w:t>16. Manutenção e versionamento</w:t>
              <w:tab/>
              <w:t>9</w:t>
            </w:r>
          </w:hyperlink>
        </w:p>
        <w:p>
          <w:pPr>
            <w:pStyle w:val="TOC1"/>
            <w:tabs>
              <w:tab w:val="clear" w:pos="10426"/>
              <w:tab w:val="right" w:pos="10425" w:leader="dot"/>
            </w:tabs>
            <w:rPr/>
          </w:pPr>
          <w:hyperlink w:anchor="__RefHeading___Toc2618_3889563984">
            <w:r>
              <w:rPr>
                <w:webHidden/>
                <w:rStyle w:val="IndexLink"/>
              </w:rPr>
              <w:t>17. Histórico de versão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52" w:before="0" w:after="100"/>
        <w:jc w:val="left"/>
        <w:rPr>
          <w:rFonts w:ascii="Aptos" w:hAnsi="Aptos"/>
          <w:sz w:val="19"/>
        </w:rPr>
      </w:pPr>
      <w:r>
        <w:rPr>
          <w:sz w:val="19"/>
        </w:rPr>
      </w:r>
      <w:r>
        <w:br w:type="page"/>
      </w:r>
    </w:p>
    <w:p>
      <w:pPr>
        <w:pStyle w:val="Heading1"/>
        <w:spacing w:before="0" w:after="100"/>
        <w:rPr/>
      </w:pPr>
      <w:bookmarkStart w:id="0" w:name="__RefHeading___Toc2568_3889563984"/>
      <w:bookmarkEnd w:id="0"/>
      <w:r>
        <w:rPr/>
        <w:t>1. Finalidade</w:t>
      </w:r>
    </w:p>
    <w:p>
      <w:pPr>
        <w:pStyle w:val="Normal"/>
        <w:rPr/>
      </w:pPr>
      <w:r>
        <w:rPr/>
        <w:t>Estabelecer regras determinísticas e auditáveis para converter as respostas do FRM-002 em baselines, perfis e controles técnicos aplicáveis ao cenário avaliado.</w:t>
      </w:r>
    </w:p>
    <w:p>
      <w:pPr>
        <w:pStyle w:val="Normal"/>
        <w:rPr/>
      </w:pPr>
      <w:r>
        <w:rPr/>
        <w:t>A matriz não substitui a análise de risco do MET-001 nem a rastreabilidade do MTR-001. O MET-001 calcula o risco; o MTR-002 seleciona os controles; o MTR-001 relaciona riscos, documentos, evidências, owners e status.</w:t>
      </w:r>
    </w:p>
    <w:p>
      <w:pPr>
        <w:pStyle w:val="Heading1"/>
        <w:rPr/>
      </w:pPr>
      <w:bookmarkStart w:id="1" w:name="__RefHeading___Toc2570_3889563984"/>
      <w:bookmarkEnd w:id="1"/>
      <w:r>
        <w:rPr/>
        <w:t>2. Escopo</w:t>
      </w:r>
    </w:p>
    <w:p>
      <w:pPr>
        <w:pStyle w:val="Normal"/>
        <w:rPr/>
      </w:pPr>
      <w:r>
        <w:rPr/>
        <w:t>Aplica-se a projetos internos, soluções existentes, SaaS, COTS, IA embarcada, providers, modelos locais, ferramentas de produtividade, RAG, agentes, MCP, MLOps, serviços gerenciados e serviços prestados por terceiros que utilizem IA.</w:t>
      </w:r>
    </w:p>
    <w:p>
      <w:pPr>
        <w:pStyle w:val="Normal"/>
        <w:rPr/>
      </w:pPr>
      <w:r>
        <w:rPr/>
        <w:t>A planilha operacional que acompanha este documento contém uma linha para cada controle dos BAS-001 a BAS-006 e constitui a representação executável da matriz.</w:t>
      </w:r>
    </w:p>
    <w:p>
      <w:pPr>
        <w:pStyle w:val="Heading1"/>
        <w:rPr/>
      </w:pPr>
      <w:bookmarkStart w:id="2" w:name="__RefHeading___Toc2572_3889563984"/>
      <w:bookmarkEnd w:id="2"/>
      <w:r>
        <w:rPr/>
        <w:t>3. Entradas e saídas</w:t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13"/>
        <w:gridCol w:w="5212"/>
      </w:tblGrid>
      <w:tr>
        <w:trPr>
          <w:tblHeader w:val="true"/>
        </w:trPr>
        <w:tc>
          <w:tcPr>
            <w:tcW w:w="5213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5212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Uso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FRM-002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Fonte das respostas, capacidades, arquitetura, dados, terceiros e evidências.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MET-001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Fonte da classe H1–H4, impacto, probabilidade, risco inerente e risco residual.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BAS-001 a BAS-006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Catálogo oficial de controles, perfil, criticidade, aplicabilidade, auditoria e evidências.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MTR-002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Resultado de aplicabilidade: obrigatório, recomendado, revisão técnica ou não aplicável.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FRM-003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Registro futuro da avaliação de conformidade e evidências dos controles selecionados.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MTR-001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Rastreabilidade corporativa entre risco, controle, documento, evidência, owner e status.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bookmarkStart w:id="3" w:name="__RefHeading___Toc2574_3889563984"/>
      <w:bookmarkEnd w:id="3"/>
      <w:r>
        <w:rPr/>
        <w:t>4. Princípios de aplicação</w:t>
      </w:r>
    </w:p>
    <w:p>
      <w:pPr>
        <w:pStyle w:val="ListNumber"/>
        <w:numPr>
          <w:ilvl w:val="0"/>
          <w:numId w:val="4"/>
        </w:numPr>
        <w:rPr/>
      </w:pPr>
      <w:r>
        <w:rPr/>
        <w:t>Aplicação cumulativa: BAS-001 e todos os baselines especializados compatíveis devem ser combinados.</w:t>
      </w:r>
    </w:p>
    <w:p>
      <w:pPr>
        <w:pStyle w:val="ListNumber"/>
        <w:numPr>
          <w:ilvl w:val="0"/>
          <w:numId w:val="4"/>
        </w:numPr>
        <w:rPr/>
      </w:pPr>
      <w:r>
        <w:rPr/>
        <w:t>Seleção por capacidade: o modelo de contratação não elimina controles tecnicamente aplicáveis.</w:t>
      </w:r>
    </w:p>
    <w:p>
      <w:pPr>
        <w:pStyle w:val="ListNumber"/>
        <w:numPr>
          <w:ilvl w:val="0"/>
          <w:numId w:val="4"/>
        </w:numPr>
        <w:rPr/>
      </w:pPr>
      <w:r>
        <w:rPr/>
        <w:t>Duas etapas: primeiro é selecionado o baseline; depois cada controle é avaliado segundo sua condição de aplicabilidade.</w:t>
      </w:r>
    </w:p>
    <w:p>
      <w:pPr>
        <w:pStyle w:val="ListNumber"/>
        <w:numPr>
          <w:ilvl w:val="0"/>
          <w:numId w:val="4"/>
        </w:numPr>
        <w:rPr/>
      </w:pPr>
      <w:r>
        <w:rPr/>
        <w:t>Level 1: controle obrigatório quando sua condição técnica existir.</w:t>
      </w:r>
    </w:p>
    <w:p>
      <w:pPr>
        <w:pStyle w:val="ListNumber"/>
        <w:numPr>
          <w:ilvl w:val="0"/>
          <w:numId w:val="4"/>
        </w:numPr>
        <w:rPr/>
      </w:pPr>
      <w:r>
        <w:rPr/>
        <w:t>Level 2: obrigatório quando o perfil de defesa em profundidade for acionado; caso contrário pode permanecer recomendado.</w:t>
      </w:r>
    </w:p>
    <w:p>
      <w:pPr>
        <w:pStyle w:val="ListNumber"/>
        <w:numPr>
          <w:ilvl w:val="0"/>
          <w:numId w:val="4"/>
        </w:numPr>
        <w:rPr/>
      </w:pPr>
      <w:r>
        <w:rPr/>
        <w:t>Terceiros: controle do fornecedor permanece aplicável e deve receber responsabilidade e evidência correspondentes.</w:t>
      </w:r>
    </w:p>
    <w:p>
      <w:pPr>
        <w:pStyle w:val="ListNumber"/>
        <w:numPr>
          <w:ilvl w:val="0"/>
          <w:numId w:val="4"/>
        </w:numPr>
        <w:rPr/>
      </w:pPr>
      <w:r>
        <w:rPr/>
        <w:t>Incerteza não reduz escopo: “Não sei”, “Não determinado” ou ausência de informação geram revisão técnica.</w:t>
      </w:r>
    </w:p>
    <w:p>
      <w:pPr>
        <w:pStyle w:val="ListNumber"/>
        <w:numPr>
          <w:ilvl w:val="0"/>
          <w:numId w:val="4"/>
        </w:numPr>
        <w:rPr/>
      </w:pPr>
      <w:r>
        <w:rPr/>
        <w:t>Não aplicável exige justificativa técnica.</w:t>
      </w:r>
    </w:p>
    <w:p>
      <w:pPr>
        <w:pStyle w:val="ListNumber"/>
        <w:numPr>
          <w:ilvl w:val="0"/>
          <w:numId w:val="4"/>
        </w:numPr>
        <w:rPr/>
      </w:pPr>
      <w:r>
        <w:rPr/>
        <w:t>Condição bloqueante prevalece sobre cobertura estatística.</w:t>
      </w:r>
    </w:p>
    <w:p>
      <w:pPr>
        <w:pStyle w:val="ListNumber"/>
        <w:numPr>
          <w:ilvl w:val="0"/>
          <w:numId w:val="4"/>
        </w:numPr>
        <w:rPr/>
      </w:pPr>
      <w:r>
        <w:rPr/>
        <w:t>Versões das regras e documentos devem permanecer registradas.</w:t>
      </w:r>
    </w:p>
    <w:p>
      <w:pPr>
        <w:pStyle w:val="Heading1"/>
        <w:rPr/>
      </w:pPr>
      <w:bookmarkStart w:id="4" w:name="__RefHeading___Toc2576_3889563984"/>
      <w:bookmarkEnd w:id="4"/>
      <w:r>
        <w:rPr/>
        <w:t>5. Resultados de aplicabilidade</w:t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13"/>
        <w:gridCol w:w="5212"/>
      </w:tblGrid>
      <w:tr>
        <w:trPr>
          <w:tblHeader w:val="true"/>
        </w:trPr>
        <w:tc>
          <w:tcPr>
            <w:tcW w:w="5213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Resultado</w:t>
            </w:r>
          </w:p>
        </w:tc>
        <w:tc>
          <w:tcPr>
            <w:tcW w:w="5212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Critério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Aplicável — Obrigatório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Controle Level 1 aplicável ou Level 2 com perfil acionado.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Aplicável — Recomendado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Controle Level 2 tecnicamente útil, mas sem gatilho obrigatório.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Revisão técnica obrigatória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Informação insuficiente, contraditória ou não decidível automaticamente.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Não aplicável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 capacidade, componente, fluxo ou condição do campo Applicability não existe.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bookmarkStart w:id="5" w:name="__RefHeading___Toc2578_3889563984"/>
      <w:bookmarkEnd w:id="5"/>
      <w:r>
        <w:rPr/>
        <w:t>6. Fluxo de decisão</w:t>
      </w:r>
    </w:p>
    <w:p>
      <w:pPr>
        <w:pStyle w:val="Normal"/>
        <w:jc w:val="center"/>
        <w:rPr/>
      </w:pPr>
      <w:r>
        <w:rPr>
          <w:b/>
          <w:sz w:val="20"/>
        </w:rPr>
        <w:t>FRM-002 → baseline → seção → Applicability do controle → perfil → resultado → responsabilidade → evidência</w:t>
      </w:r>
    </w:p>
    <w:p>
      <w:pPr>
        <w:pStyle w:val="Normal"/>
        <w:rPr/>
      </w:pPr>
      <w:r>
        <w:rPr/>
        <w:t>A seção somente abre o conjunto de controles para revisão. A aplicabilidade final deve ser confirmada individualmente em cada controle.</w:t>
      </w:r>
    </w:p>
    <w:p>
      <w:pPr>
        <w:pStyle w:val="Heading1"/>
        <w:rPr/>
      </w:pPr>
      <w:bookmarkStart w:id="6" w:name="__RefHeading___Toc2580_3889563984"/>
      <w:bookmarkEnd w:id="6"/>
      <w:r>
        <w:rPr/>
        <w:t>7. Regras de seleção dos baselines</w:t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w="208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Regra</w:t>
            </w:r>
          </w:p>
        </w:tc>
        <w:tc>
          <w:tcPr>
            <w:tcW w:w="208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Baseline</w:t>
            </w:r>
          </w:p>
        </w:tc>
        <w:tc>
          <w:tcPr>
            <w:tcW w:w="208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Perguntas</w:t>
            </w:r>
          </w:p>
        </w:tc>
        <w:tc>
          <w:tcPr>
            <w:tcW w:w="208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Gatilho</w:t>
            </w:r>
          </w:p>
        </w:tc>
        <w:tc>
          <w:tcPr>
            <w:tcW w:w="208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Level 2</w:t>
            </w:r>
          </w:p>
        </w:tc>
      </w:tr>
      <w:tr>
        <w:trPr>
          <w:cantSplit w:val="true"/>
        </w:trPr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MTR2-B001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BAS-001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B01; B02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Qualquer uso corporativo, projeto, produto, sistema, serviço ou funcionalidade que utilize IA.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H3 ou H4; risco Alto ou Crítico; dados sensíveis; exposição externa; multi-tenancy; privilégio; autonomia ou impacto material.</w:t>
            </w:r>
          </w:p>
        </w:tc>
      </w:tr>
      <w:tr>
        <w:trPr>
          <w:cantSplit w:val="true"/>
        </w:trPr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MTR2-B002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BAS-002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B01; E02; F01; F02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Aplicação, API, gateway, proxy, broker, roteamento, integração com provider ou exposição de capacidade de IA.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Serviço externo, multi-tenant, crítico, com dados sensíveis, alta disponibilidade ou impacto material.</w:t>
            </w:r>
          </w:p>
        </w:tc>
      </w:tr>
      <w:tr>
        <w:trPr>
          <w:cantSplit w:val="true"/>
        </w:trPr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MTR2-B003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BAS-003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B01; G01; G02; G03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RAG, embeddings, vector store, memória, cache semântico, base de conhecimento, ingestão ou recuperação de contexto.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Dados sensíveis; conteúdo externo; multi-tenancy; agentes; decisão ou operação de impacto material.</w:t>
            </w:r>
          </w:p>
        </w:tc>
      </w:tr>
      <w:tr>
        <w:trPr>
          <w:cantSplit w:val="true"/>
        </w:trPr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MTR2-B004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BAS-004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B01; H01; H02; H03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Agente, planner, executor, tool/function calling, plugin, action, skill, MCP, computer use ou automação acionada por IA.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Agente autônomo; ação material; computer use; acesso privilegiado; ambiente crítico; múltiplos tenants ou operação irreversível.</w:t>
            </w:r>
          </w:p>
        </w:tc>
      </w:tr>
      <w:tr>
        <w:trPr>
          <w:cantSplit w:val="true"/>
        </w:trPr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MTR2-B005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BAS-005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B01; B09; B10; I01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Desenvolvimento, treinamento, adaptação, empacotamento, registro, avaliação, implantação ou gestão de modelo e artefatos de IA.</w:t>
            </w:r>
          </w:p>
        </w:tc>
        <w:tc>
          <w:tcPr>
            <w:tcW w:w="208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Modelo crítico; dados sensíveis; componente externo; serviço exposto; pipeline de alto impacto; artefato executável ou supply chain relevante.</w:t>
            </w:r>
          </w:p>
        </w:tc>
      </w:tr>
      <w:tr>
        <w:trPr>
          <w:cantSplit w:val="true"/>
        </w:trPr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MTR2-B006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BAS-006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A08; A09; J01; J06; J07; J09; J10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Solução em homologação material, produção, operação existente ou que exija telemetria, detecção, contenção, continuidade ou recuperação.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Solução crítica, sensível, externa, regulada, de alto impacto ou cuja falha possa produzir ação sem trilha ou indisponibilidade material.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bookmarkStart w:id="7" w:name="__RefHeading___Toc2582_3889563984"/>
      <w:bookmarkEnd w:id="7"/>
      <w:r>
        <w:rPr/>
        <w:t>8. Regras de perfil Level 2</w:t>
      </w:r>
    </w:p>
    <w:p>
      <w:pPr>
        <w:pStyle w:val="Normal"/>
        <w:rPr/>
      </w:pPr>
      <w:r>
        <w:rPr/>
        <w:t>O perfil Level 2 deve ser acionado quando existir qualquer condição específica do baseline ou quando a classe for H3/H4, o risco inerente for Alto/Crítico ou houver dados sensíveis, exposição externa, multi-tenancy, privilégio, autonomia ou processo crítico.</w:t>
      </w:r>
    </w:p>
    <w:p>
      <w:pPr>
        <w:pStyle w:val="Normal"/>
        <w:rPr/>
      </w:pPr>
      <w:r>
        <w:rPr/>
        <w:t>Os perfis são cumulativos: o acionamento do Level 2 mantém todos os controles Level 1 aplicáveis.</w:t>
      </w:r>
    </w:p>
    <w:p>
      <w:pPr>
        <w:pStyle w:val="Heading1"/>
        <w:rPr/>
      </w:pPr>
      <w:bookmarkStart w:id="8" w:name="__RefHeading___Toc2584_3889563984"/>
      <w:bookmarkEnd w:id="8"/>
      <w:r>
        <w:rPr/>
        <w:t>9. Regras de aplicabilidade por seção</w:t>
      </w:r>
    </w:p>
    <w:p>
      <w:pPr>
        <w:pStyle w:val="Normal"/>
        <w:rPr/>
      </w:pPr>
      <w:r>
        <w:rPr/>
        <w:t>As regras abaixo ativam a revisão dos controles da seção. A decisão final continua condicionada ao campo Applicability de cada controle.</w:t>
      </w:r>
    </w:p>
    <w:p>
      <w:pPr>
        <w:pStyle w:val="Heading2"/>
        <w:rPr/>
      </w:pPr>
      <w:bookmarkStart w:id="9" w:name="__RefHeading___Toc2586_3889563984"/>
      <w:bookmarkEnd w:id="9"/>
      <w:r>
        <w:rPr/>
        <w:t>9.1 BAS-001 — Controles Técnicos Transversais para Soluções de IA</w:t>
      </w:r>
    </w:p>
    <w:tbl>
      <w:tblPr>
        <w:tblStyle w:val="TableGrid"/>
        <w:tblW w:w="104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6"/>
        <w:gridCol w:w="2606"/>
        <w:gridCol w:w="2606"/>
        <w:gridCol w:w="2605"/>
      </w:tblGrid>
      <w:tr>
        <w:trPr>
          <w:tblHeader w:val="true"/>
        </w:trPr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Regra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Seção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Perguntas</w:t>
            </w:r>
          </w:p>
        </w:tc>
        <w:tc>
          <w:tcPr>
            <w:tcW w:w="260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Condição de revisão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MTR2-B001-S01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1. Arquitetura e configuração segura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A09; B05; F01; F02; F07; F10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Sempre que houver componente, deployment, endpoint, runtime, gateway ou ambiente de IA.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MTR2-B001-S02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2. Identidade, acesso e segredos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C05; F03; F04; F05; F06; F12; J12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usuário, workload, conta administrativa, credencial, segredo ou acesso a recurso de IA.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MTR2-B001-S03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3. Proteção de dados, prompts e outputs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D01–D12; E03; F08; F09; J04; J05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a solução processar, armazenar, transmitir ou produzir dados, prompts, anexos, contexto ou outputs.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MTR2-B001-S04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4. Modelos, runtime e cadeia de fornecimento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B05; B07; B09; B10; I01–I07; I12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modelo, runtime, container, dependência, provider, artefato ou atualização técnica.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MTR2-B001-S05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5. Segurança de aplicação e integrações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E02; F01–F13; H01; G01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aplicação consumidora, API, integração, sessão, payload, gateway, RAG ou agente.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MTR2-B001-S06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6. Logging, auditoria e monitoramento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C06; J01–J08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a solução estiver em teste material, homologação, produção ou processar dados relevantes.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MTR2-B001-S07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7. Resiliência e recuperação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C10; C11; E10; E11; I11; J09–J13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dependência operacional, serviço produtivo, ação material ou necessidade de recuperação e desativação.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10" w:name="__RefHeading___Toc2588_3889563984"/>
      <w:bookmarkEnd w:id="10"/>
      <w:r>
        <w:rPr/>
        <w:t>9.2 BAS-002 — Integração e Exposição de Serviços de IA</w:t>
      </w:r>
    </w:p>
    <w:tbl>
      <w:tblPr>
        <w:tblStyle w:val="TableGrid"/>
        <w:tblW w:w="104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6"/>
        <w:gridCol w:w="2606"/>
        <w:gridCol w:w="2606"/>
        <w:gridCol w:w="2605"/>
      </w:tblGrid>
      <w:tr>
        <w:trPr>
          <w:tblHeader w:val="true"/>
        </w:trPr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Regra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Seção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Perguntas</w:t>
            </w:r>
          </w:p>
        </w:tc>
        <w:tc>
          <w:tcPr>
            <w:tcW w:w="260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Condição de revisão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MTR2-B002-S01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1. Arquitetura de integração e fronteiras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E02; F01; F02; F07; F10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consumo, intermediação, roteamento ou exposição de serviço de IA.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MTR2-B002-S02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2. Autenticação e identidade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C05; F03; F04; F05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usuários, workloads ou clientes acessarem aplicação, API, gateway ou provider.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MTR2-B002-S03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3. Autorização e segregação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C04; F11; F12; F13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múltiplos usuários, tenants, ambientes, privilégios, recursos ou políticas de autorização.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MTR2-B002-S04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4. Roteamento, modelos e policies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B05; B07; F01; F02; I12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escolha de provider/modelo, aliases, rotas, fallback ou policies de gateway.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MTR2-B002-S05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5. Entrada, prompt e payload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D12; E02; F08; G03; H07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entradas, prompts, anexos, parâmetros ou conteúdo não confiável forem aceitos.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MTR2-B002-S06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6. Saída e uso downstream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E03; E04; E05; F09; H05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outputs forem exibidos, persistidos, usados em decisões ou encaminhados a sistemas downstream.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MTR2-B002-S07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7. Exposição, sessão e abuso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E01–E07; F11; J08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Internet, clientes, público, muitos usuários, sessão, streaming, custo ou risco de abuso.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MTR2-B002-S08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8. Resiliência e comportamento de falha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C10; E10; E11; F13; J09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a integração exigir timeout, retry, fallback, circuit breaker, fail-closed ou continuidade.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11" w:name="__RefHeading___Toc2590_3889563984"/>
      <w:bookmarkEnd w:id="11"/>
      <w:r>
        <w:rPr/>
        <w:t>9.3 BAS-003 — Dados, Contexto e Conhecimento em IA</w:t>
      </w:r>
    </w:p>
    <w:tbl>
      <w:tblPr>
        <w:tblStyle w:val="TableGrid"/>
        <w:tblW w:w="104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6"/>
        <w:gridCol w:w="2606"/>
        <w:gridCol w:w="2606"/>
        <w:gridCol w:w="2605"/>
      </w:tblGrid>
      <w:tr>
        <w:trPr>
          <w:tblHeader w:val="true"/>
        </w:trPr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Regra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Seção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Perguntas</w:t>
            </w:r>
          </w:p>
        </w:tc>
        <w:tc>
          <w:tcPr>
            <w:tcW w:w="260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Condição de revisão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MTR2-B003-S01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1. Fontes, ingestão e elegibilidade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D01–D08; G02–G05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fontes, uploads, conectores, APIs, Internet ou terceiros alimentarem contexto ou conhecimento.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MTR2-B003-S02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2. Transformação, parsing e metadados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G04; G05; G10; I02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parsing, chunking, normalização, enriquecimento, OCR ou geração de derivados.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MTR2-B003-S03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3. Embeddings, índices e armazenamento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G01; G07; G08; G09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embeddings, índices, vector stores, caches, memória ou armazenamento de derivados.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MTR2-B003-S04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4. Autorização, segregação e recuperação permitida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C04; F11; G06; G07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dados ou documentos possuírem escopo por usuário, grupo, tenant, classificação ou autorização.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MTR2-B003-S05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5. Retrieval, ranking e montagem de contexto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G06; G10; G11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o sistema recuperar, ranquear, filtrar ou montar contexto para o modelo.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MTR2-B003-S06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6. Proteção contra poisoning e conteúdo adversarial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G03; G05; G11; J07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fontes externas, uploads ou conteúdo não confiável puderem influenciar ingestão ou recuperação.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MTR2-B003-S07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7. Memória, caches e dados derivados em execução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G07; G09; H14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memória persistente, cache semântico, estado conversacional ou compartilhamento de contexto.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MTR2-B003-S08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8. Retenção, exclusão, sincronização e recuperação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C11; D10; D11; G08; J10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dados, índices, embeddings, memória ou derivados forem persistidos e precisarem ser excluídos ou restaurados.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12" w:name="__RefHeading___Toc2592_3889563984"/>
      <w:bookmarkEnd w:id="12"/>
      <w:r>
        <w:rPr/>
        <w:t>9.4 BAS-004 — Agentes, Ferramentas e Protocolos Agentic</w:t>
      </w:r>
    </w:p>
    <w:tbl>
      <w:tblPr>
        <w:tblStyle w:val="TableGrid"/>
        <w:tblW w:w="104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6"/>
        <w:gridCol w:w="2606"/>
        <w:gridCol w:w="2606"/>
        <w:gridCol w:w="2605"/>
      </w:tblGrid>
      <w:tr>
        <w:trPr>
          <w:tblHeader w:val="true"/>
        </w:trPr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Regra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Seção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Perguntas</w:t>
            </w:r>
          </w:p>
        </w:tc>
        <w:tc>
          <w:tcPr>
            <w:tcW w:w="260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Condição de revisão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MTR2-B004-S01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1. Identidades agentic e contexto de execução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F04; F05; H01; H09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existir agente, worker, executor ou ação realizada em nome de usuário ou workload.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MTR2-B004-S02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2. Registro, integridade e schemas de tools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H01; H02; H06; H07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tools, functions, actions, skills, plugins, capabilities, resources ou prompts MCP.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MTR2-B004-S03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3. Autorização determinística e limites de ação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H05; H08; H10; H11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o agente puder acessar recurso, tomar decisão ou produzir efeito em sistema externo.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MTR2-B004-S04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4. Segurança de clientes, servidores e registries MCP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H02; H06; H12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cliente, servidor, registry, discovery, resource ou prompt MCP.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MTR2-B004-S05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5. Proteção contra instruções e capabilities adversariais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G03; H01; H06; H07; J07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conteúdo não confiável puder influenciar planejamento, seleção de tool, capability ou instrução do agente.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MTR2-B004-S06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6. Sandbox, host, navegador e computer use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B09; H03; H13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execução de código, terminal, navegador, desktop, IDE, endpoint ou computer use.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MTR2-B004-S07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7. Memória, delegação e comunicação entre agentes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G09; H04; H14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memória agentic, agentes secundários, delegação, comunicação multiagente ou contexto persistente.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MTR2-B004-S08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8. Observabilidade agentic e comportamento fail-safe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H05; H11; H12; J01–J09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ações agentic exigirem logs, correlação, detecção, kill switch, limites e comportamento seguro.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13" w:name="__RefHeading___Toc2594_3889563984"/>
      <w:bookmarkEnd w:id="13"/>
      <w:r>
        <w:rPr/>
        <w:t>9.5 BAS-005 — Desenvolvimento, Versionamento, MLOps e Cadeia de Suprimentos de Modelos de IA</w:t>
      </w:r>
    </w:p>
    <w:tbl>
      <w:tblPr>
        <w:tblStyle w:val="TableGrid"/>
        <w:tblW w:w="104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6"/>
        <w:gridCol w:w="2606"/>
        <w:gridCol w:w="2606"/>
        <w:gridCol w:w="2605"/>
      </w:tblGrid>
      <w:tr>
        <w:trPr>
          <w:tblHeader w:val="true"/>
        </w:trPr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Regra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Seção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Perguntas</w:t>
            </w:r>
          </w:p>
        </w:tc>
        <w:tc>
          <w:tcPr>
            <w:tcW w:w="260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Condição de revisão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MTR2-B005-S01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1. Repositórios, código e versionamento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B10; I01; I02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código, notebook, prompt, policy, manifesto ou configuração for desenvolvido ou mantido para a solução.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MTR2-B005-S02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2. Datasets, prompts e configurações de treinamento e avaliação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B10; D06; I02; I03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treinamento, fine-tuning, avaliação, dataset, prompt sistêmico ou configuração de geração por release.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MTR2-B005-S03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3. Modelos, artefatos e registries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B05; B09; I04; I05; I06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modelos, weights, checkpoints, adapters, tokenizers ou bundles forem registrados, carregados ou distribuídos.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MTR2-B005-S04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4. Dependências, containers e proveniência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I05; I06; I07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builds utilizarem pacotes, containers, imagens, dependências ou artefatos externos.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MTR2-B005-S05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5. Pipelines MLOps, LLMOps e ambientes de build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I01; I08; I09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pipeline de dados, treinamento, build, teste, promoção ou deploy.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MTR2-B005-S06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6. Testes, evals e critérios técnicos de release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C07; I10; J07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releases, modelos, prompts ou soluções forem avaliados antes da promoção ou contratação.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MTR2-B005-S07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7. Deploy, serving e mudança técnica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A09; B07; I09; I12; J08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deployment, endpoint, serving, atualização, reconciliação ou mudança de versão/configuração.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MTR2-B005-S08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8. Rollback, descontinuação e descarte técnico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C11; I11; J10; J13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a solução precisar retornar versão, retirar modelo, revogar acesso, eliminar caches ou impedir reativação.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14" w:name="__RefHeading___Toc2596_3889563984"/>
      <w:bookmarkEnd w:id="14"/>
      <w:r>
        <w:rPr/>
        <w:t>9.6 BAS-006 — Telemetria, Detecção e Resiliência de IA</w:t>
      </w:r>
    </w:p>
    <w:tbl>
      <w:tblPr>
        <w:tblStyle w:val="TableGrid"/>
        <w:tblW w:w="104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6"/>
        <w:gridCol w:w="2606"/>
        <w:gridCol w:w="2606"/>
        <w:gridCol w:w="2605"/>
      </w:tblGrid>
      <w:tr>
        <w:trPr>
          <w:tblHeader w:val="true"/>
        </w:trPr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Regra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Seção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Perguntas</w:t>
            </w:r>
          </w:p>
        </w:tc>
        <w:tc>
          <w:tcPr>
            <w:tcW w:w="260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Condição de revisão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MTR2-B006-S01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1. Geração de eventos e integridade temporal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J01; J02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execuções, decisões, erros ou bloqueios precisarem produzir eventos auditáveis.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MTR2-B006-S02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2. Correlação e contexto ponta a ponta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F05; G10; H09; J03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o fluxo atravessar aplicação, gateway, provider, RAG, agente, tool, fila ou sistema downstream.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MTR2-B006-S03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3. Proteção, minimização e integridade dos registros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C06; D01–D05; J04; J05; J06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logs, traces, prompts, outputs ou eventos contiverem informação sensível ou evidência crítica.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MTR2-B006-S04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4. Coleta, transporte e integração com SIEM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C06; J06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eventos forem enviados a collector, broker, data lake, APM, SIEM ou SOC.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MTR2-B006-S05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5. Detecções técnicas de segurança para IA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D12; G11; H12; J07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forem necessárias detecções de vazamento, prompt injection, abuso agentic, poisoning, shadow AI ou MCP desconhecido.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MTR2-B006-S06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6. Anomalias de comportamento, custo e desempenho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E07; H11; J08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volume, custo, tokens, loops, drift, falha, latência ou saturação precisarem ser monitorados.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MTR2-B006-S07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7. Contenção técnica e comportamento seguro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F13; H12; J09; J12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a solução exigir kill switch, bloqueio individual, circuit breaker, retries limitados, revogação ou fallback seguro.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MTR2-B006-S08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8. Recuperação, continuidade e desativação técnica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C10; C11; E10; I11; J10; J11; J13</w:t>
            </w:r>
          </w:p>
        </w:tc>
        <w:tc>
          <w:tcPr>
            <w:tcW w:w="260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Quando houver requisito de backup, restauração, redundância, recuperação, plano de saída ou desativação segura.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bookmarkStart w:id="15" w:name="__RefHeading___Toc2598_3889563984"/>
      <w:bookmarkEnd w:id="15"/>
      <w:r>
        <w:rPr/>
        <w:t>10. Regra individual de controle</w:t>
      </w:r>
    </w:p>
    <w:p>
      <w:pPr>
        <w:pStyle w:val="ListNumber"/>
        <w:numPr>
          <w:ilvl w:val="0"/>
          <w:numId w:val="4"/>
        </w:numPr>
        <w:rPr/>
      </w:pPr>
      <w:r>
        <w:rPr/>
        <w:t>Verificar o campo Applicability do baseline.</w:t>
      </w:r>
    </w:p>
    <w:p>
      <w:pPr>
        <w:pStyle w:val="ListNumber"/>
        <w:numPr>
          <w:ilvl w:val="0"/>
          <w:numId w:val="4"/>
        </w:numPr>
        <w:rPr/>
      </w:pPr>
      <w:r>
        <w:rPr/>
        <w:t>Confirmar se o componente, capacidade ou fluxo existe.</w:t>
      </w:r>
    </w:p>
    <w:p>
      <w:pPr>
        <w:pStyle w:val="ListNumber"/>
        <w:numPr>
          <w:ilvl w:val="0"/>
          <w:numId w:val="4"/>
        </w:numPr>
        <w:rPr/>
      </w:pPr>
      <w:r>
        <w:rPr/>
        <w:t>Aplicar o perfil Level 1 ou Level 2.</w:t>
      </w:r>
    </w:p>
    <w:p>
      <w:pPr>
        <w:pStyle w:val="ListNumber"/>
        <w:numPr>
          <w:ilvl w:val="0"/>
          <w:numId w:val="4"/>
        </w:numPr>
        <w:rPr/>
      </w:pPr>
      <w:r>
        <w:rPr/>
        <w:t>Atribuir responsabilidade.</w:t>
      </w:r>
    </w:p>
    <w:p>
      <w:pPr>
        <w:pStyle w:val="ListNumber"/>
        <w:numPr>
          <w:ilvl w:val="0"/>
          <w:numId w:val="4"/>
        </w:numPr>
        <w:rPr/>
      </w:pPr>
      <w:r>
        <w:rPr/>
        <w:t>Registrar a evidência esperada.</w:t>
      </w:r>
    </w:p>
    <w:p>
      <w:pPr>
        <w:pStyle w:val="ListNumber"/>
        <w:numPr>
          <w:ilvl w:val="0"/>
          <w:numId w:val="4"/>
        </w:numPr>
        <w:rPr/>
      </w:pPr>
      <w:r>
        <w:rPr/>
        <w:t>Gerar o resultado de aplicabilidade.</w:t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13"/>
        <w:gridCol w:w="5212"/>
      </w:tblGrid>
      <w:tr>
        <w:trPr>
          <w:tblHeader w:val="true"/>
        </w:trPr>
        <w:tc>
          <w:tcPr>
            <w:tcW w:w="5213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Situação</w:t>
            </w:r>
          </w:p>
        </w:tc>
        <w:tc>
          <w:tcPr>
            <w:tcW w:w="5212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Resultado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Level 1 e condição técnica presente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Aplicável — Obrigatório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Level 2, condição presente e perfil acionado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Aplicável — Obrigatório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Level 2, condição presente e perfil não acionado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Aplicável — Recomendado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Condição técnica comprovadamente inexistente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Não aplicável, com justificativa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Resposta desconhecida ou contraditória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Revisão técnica obrigatória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bookmarkStart w:id="16" w:name="__RefHeading___Toc2600_3889563984"/>
      <w:bookmarkEnd w:id="16"/>
      <w:r>
        <w:rPr/>
        <w:t>11. Responsabilidade e soluções terceiras</w:t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13"/>
        <w:gridCol w:w="5212"/>
      </w:tblGrid>
      <w:tr>
        <w:trPr>
          <w:tblHeader w:val="true"/>
        </w:trPr>
        <w:tc>
          <w:tcPr>
            <w:tcW w:w="5213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Responsabilidade</w:t>
            </w:r>
          </w:p>
        </w:tc>
        <w:tc>
          <w:tcPr>
            <w:tcW w:w="5212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Tratamento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Organização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Implementação e evidência sob controle direto da organização.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Fornecedor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 controle permanece aplicável e deve ser comprovado por contrato, configuração, relatório, certificação ou teste.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Compartilhada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 evidência deve demonstrar responsabilidades e configurações de ambas as partes.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Não determinada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 controle permanece em revisão técnica e não pode ser marcado como não aplicável.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falta de acesso à configuração do fornecedor não torna o controle não aplicável. Na avaliação de conformidade, a ausência de evidência deve resultar em “Não comprovado”.</w:t>
      </w:r>
    </w:p>
    <w:p>
      <w:pPr>
        <w:pStyle w:val="Heading1"/>
        <w:rPr/>
      </w:pPr>
      <w:bookmarkStart w:id="17" w:name="__RefHeading___Toc2602_3889563984"/>
      <w:bookmarkEnd w:id="17"/>
      <w:r>
        <w:rPr/>
        <w:t>12. Precedência e conflitos</w:t>
      </w:r>
    </w:p>
    <w:p>
      <w:pPr>
        <w:pStyle w:val="ListNumber"/>
        <w:numPr>
          <w:ilvl w:val="0"/>
          <w:numId w:val="4"/>
        </w:numPr>
        <w:rPr/>
      </w:pPr>
      <w:r>
        <w:rPr/>
        <w:t>A condição técnica específica do controle prevalece sobre a regra genérica da seção.</w:t>
      </w:r>
    </w:p>
    <w:p>
      <w:pPr>
        <w:pStyle w:val="ListNumber"/>
        <w:numPr>
          <w:ilvl w:val="0"/>
          <w:numId w:val="4"/>
        </w:numPr>
        <w:rPr/>
      </w:pPr>
      <w:r>
        <w:rPr/>
        <w:t>O gatilho Level 2 prevalece sobre a classificação recomendada.</w:t>
      </w:r>
    </w:p>
    <w:p>
      <w:pPr>
        <w:pStyle w:val="ListNumber"/>
        <w:numPr>
          <w:ilvl w:val="0"/>
          <w:numId w:val="4"/>
        </w:numPr>
        <w:rPr/>
      </w:pPr>
      <w:r>
        <w:rPr/>
        <w:t>Criticidade Crítica não altera aplicabilidade, mas exige prioridade quando o controle for obrigatório.</w:t>
      </w:r>
    </w:p>
    <w:p>
      <w:pPr>
        <w:pStyle w:val="ListNumber"/>
        <w:numPr>
          <w:ilvl w:val="0"/>
          <w:numId w:val="4"/>
        </w:numPr>
        <w:rPr/>
      </w:pPr>
      <w:r>
        <w:rPr/>
        <w:t>Resposta “Não” deve ser interpretada conforme a pergunta: pode indicar ausência de capacidade ou ausência do controle.</w:t>
      </w:r>
    </w:p>
    <w:p>
      <w:pPr>
        <w:pStyle w:val="ListNumber"/>
        <w:numPr>
          <w:ilvl w:val="0"/>
          <w:numId w:val="4"/>
        </w:numPr>
        <w:rPr/>
      </w:pPr>
      <w:r>
        <w:rPr/>
        <w:t>Respostas textuais podem ativar revisão manual.</w:t>
      </w:r>
    </w:p>
    <w:p>
      <w:pPr>
        <w:pStyle w:val="ListNumber"/>
        <w:numPr>
          <w:ilvl w:val="0"/>
          <w:numId w:val="4"/>
        </w:numPr>
        <w:rPr/>
      </w:pPr>
      <w:r>
        <w:rPr/>
        <w:t>Divergência entre arquitetura, formulário e fornecedor gera revisão técnica.</w:t>
      </w:r>
    </w:p>
    <w:p>
      <w:pPr>
        <w:pStyle w:val="ListNumber"/>
        <w:numPr>
          <w:ilvl w:val="0"/>
          <w:numId w:val="4"/>
        </w:numPr>
        <w:rPr/>
      </w:pPr>
      <w:r>
        <w:rPr/>
        <w:t>Exceção aprovada pelo PRC-003 não transforma o controle em não aplicável.</w:t>
      </w:r>
    </w:p>
    <w:p>
      <w:pPr>
        <w:pStyle w:val="Heading1"/>
        <w:rPr/>
      </w:pPr>
      <w:bookmarkStart w:id="18" w:name="__RefHeading___Toc2604_3889563984"/>
      <w:bookmarkEnd w:id="18"/>
      <w:r>
        <w:rPr/>
        <w:t>13. Estrutura da planilha operacional</w:t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13"/>
        <w:gridCol w:w="5212"/>
      </w:tblGrid>
      <w:tr>
        <w:trPr>
          <w:tblHeader w:val="true"/>
        </w:trPr>
        <w:tc>
          <w:tcPr>
            <w:tcW w:w="5213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Aba</w:t>
            </w:r>
          </w:p>
        </w:tc>
        <w:tc>
          <w:tcPr>
            <w:tcW w:w="5212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Conteúdo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Matriz_Controles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282 controles com regras, perfil, criticidade, responsabilidade e evidência.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Regras_Baselines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Gatilhos de baseline e perfil Level 2.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Regras_Secoes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Regras de revisão por seção.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Perguntas_FRM002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Catálogo de perguntas e vínculo com regras.</w:t>
            </w:r>
          </w:p>
        </w:tc>
      </w:tr>
      <w:tr>
        <w:trPr>
          <w:cantSplit w:val="true"/>
        </w:trPr>
        <w:tc>
          <w:tcPr>
            <w:tcW w:w="5213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Valores</w:t>
            </w:r>
          </w:p>
        </w:tc>
        <w:tc>
          <w:tcPr>
            <w:tcW w:w="5212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Resultados, responsabilidades e operadores permitidos.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bookmarkStart w:id="19" w:name="__RefHeading___Toc2606_3889563984"/>
      <w:bookmarkEnd w:id="19"/>
      <w:r>
        <w:rPr/>
        <w:t>14. Exemplos de aplicação</w:t>
      </w:r>
    </w:p>
    <w:p>
      <w:pPr>
        <w:pStyle w:val="Heading2"/>
        <w:rPr/>
      </w:pPr>
      <w:bookmarkStart w:id="20" w:name="__RefHeading___Toc2608_3889563984"/>
      <w:bookmarkEnd w:id="20"/>
      <w:r>
        <w:rPr/>
        <w:t>14.1 SaaS com IA embarcada e dados confidenciais</w:t>
      </w:r>
    </w:p>
    <w:p>
      <w:pPr>
        <w:pStyle w:val="Normal"/>
        <w:rPr/>
      </w:pPr>
      <w:r>
        <w:rPr/>
        <w:t>BAS-001, BAS-002 e BAS-006 ativos. BAS-003, BAS-004 e BAS-005 somente se houver RAG, agente/MCP ou desenvolvimento/modelo no escopo. Controles do fornecedor permanecem aplicáveis.</w:t>
      </w:r>
    </w:p>
    <w:p>
      <w:pPr>
        <w:pStyle w:val="Heading2"/>
        <w:rPr/>
      </w:pPr>
      <w:bookmarkStart w:id="21" w:name="__RefHeading___Toc2610_3889563984"/>
      <w:bookmarkEnd w:id="21"/>
      <w:r>
        <w:rPr/>
        <w:t>14.2 Assistente RAG interno</w:t>
      </w:r>
    </w:p>
    <w:p>
      <w:pPr>
        <w:pStyle w:val="Normal"/>
        <w:rPr/>
      </w:pPr>
      <w:r>
        <w:rPr/>
        <w:t>BAS-001, BAS-002, BAS-003 e BAS-006 ativos. BAS-004 é adicionado quando houver tools ou ações. Controles de multi-tenancy dependem do compartilhamento real.</w:t>
      </w:r>
    </w:p>
    <w:p>
      <w:pPr>
        <w:pStyle w:val="Heading2"/>
        <w:rPr/>
      </w:pPr>
      <w:bookmarkStart w:id="22" w:name="__RefHeading___Toc2612_3889563984"/>
      <w:bookmarkEnd w:id="22"/>
      <w:r>
        <w:rPr/>
        <w:t>14.3 Agente local com computer use</w:t>
      </w:r>
    </w:p>
    <w:p>
      <w:pPr>
        <w:pStyle w:val="Normal"/>
        <w:rPr/>
      </w:pPr>
      <w:r>
        <w:rPr/>
        <w:t>BAS-001, BAS-004 e BAS-006 ativos. BAS-005 é adicionado quando modelo, artefato, container ou pipeline forem mantidos pela organização.</w:t>
      </w:r>
    </w:p>
    <w:p>
      <w:pPr>
        <w:pStyle w:val="Heading1"/>
        <w:rPr/>
      </w:pPr>
      <w:bookmarkStart w:id="23" w:name="__RefHeading___Toc2614_3889563984"/>
      <w:bookmarkEnd w:id="23"/>
      <w:r>
        <w:rPr/>
        <w:t>15. Saída mínima da avaliação</w:t>
      </w:r>
    </w:p>
    <w:p>
      <w:pPr>
        <w:pStyle w:val="ListBullet"/>
        <w:numPr>
          <w:ilvl w:val="0"/>
          <w:numId w:val="1"/>
        </w:numPr>
        <w:rPr/>
      </w:pPr>
      <w:r>
        <w:rPr/>
        <w:t>baselines ativos</w:t>
      </w:r>
    </w:p>
    <w:p>
      <w:pPr>
        <w:pStyle w:val="ListBullet"/>
        <w:numPr>
          <w:ilvl w:val="0"/>
          <w:numId w:val="1"/>
        </w:numPr>
        <w:rPr/>
      </w:pPr>
      <w:r>
        <w:rPr/>
        <w:t>perfil por baseline</w:t>
      </w:r>
    </w:p>
    <w:p>
      <w:pPr>
        <w:pStyle w:val="ListBullet"/>
        <w:numPr>
          <w:ilvl w:val="0"/>
          <w:numId w:val="1"/>
        </w:numPr>
        <w:rPr/>
      </w:pPr>
      <w:r>
        <w:rPr/>
        <w:t>controles obrigatórios e recomendados</w:t>
      </w:r>
    </w:p>
    <w:p>
      <w:pPr>
        <w:pStyle w:val="ListBullet"/>
        <w:numPr>
          <w:ilvl w:val="0"/>
          <w:numId w:val="1"/>
        </w:numPr>
        <w:rPr/>
      </w:pPr>
      <w:r>
        <w:rPr/>
        <w:t>controles em revisão técnica</w:t>
      </w:r>
    </w:p>
    <w:p>
      <w:pPr>
        <w:pStyle w:val="ListBullet"/>
        <w:numPr>
          <w:ilvl w:val="0"/>
          <w:numId w:val="1"/>
        </w:numPr>
        <w:rPr/>
      </w:pPr>
      <w:r>
        <w:rPr/>
        <w:t>controles não aplicáveis e justificativas</w:t>
      </w:r>
    </w:p>
    <w:p>
      <w:pPr>
        <w:pStyle w:val="ListBullet"/>
        <w:numPr>
          <w:ilvl w:val="0"/>
          <w:numId w:val="1"/>
        </w:numPr>
        <w:rPr/>
      </w:pPr>
      <w:r>
        <w:rPr/>
        <w:t>responsabilidade</w:t>
      </w:r>
    </w:p>
    <w:p>
      <w:pPr>
        <w:pStyle w:val="ListBullet"/>
        <w:numPr>
          <w:ilvl w:val="0"/>
          <w:numId w:val="1"/>
        </w:numPr>
        <w:rPr/>
      </w:pPr>
      <w:r>
        <w:rPr/>
        <w:t>evidência esperada</w:t>
      </w:r>
    </w:p>
    <w:p>
      <w:pPr>
        <w:pStyle w:val="ListBullet"/>
        <w:numPr>
          <w:ilvl w:val="0"/>
          <w:numId w:val="1"/>
        </w:numPr>
        <w:rPr/>
      </w:pPr>
      <w:r>
        <w:rPr/>
        <w:t>versões utilizadas</w:t>
      </w:r>
    </w:p>
    <w:p>
      <w:pPr>
        <w:pStyle w:val="Heading1"/>
        <w:rPr/>
      </w:pPr>
      <w:bookmarkStart w:id="24" w:name="__RefHeading___Toc2616_3889563984"/>
      <w:bookmarkEnd w:id="24"/>
      <w:r>
        <w:rPr/>
        <w:t>16. Manutenção e versionamento</w:t>
      </w:r>
    </w:p>
    <w:p>
      <w:pPr>
        <w:pStyle w:val="Normal"/>
        <w:rPr/>
      </w:pPr>
      <w:r>
        <w:rPr/>
        <w:t>Alterações em perguntas, gatilhos, perfis, seções, controles ou critérios de aplicabilidade devem gerar nova versão do MTR-002. Avaliações anteriores devem manter a versão histórica utilizada e não podem ser recalculadas silenciosamente.</w:t>
      </w:r>
    </w:p>
    <w:p>
      <w:pPr>
        <w:pStyle w:val="Heading1"/>
        <w:rPr/>
      </w:pPr>
      <w:bookmarkStart w:id="25" w:name="__RefHeading___Toc2618_3889563984"/>
      <w:bookmarkEnd w:id="25"/>
      <w:r>
        <w:rPr/>
        <w:t>17. Histórico de versão</w:t>
      </w:r>
    </w:p>
    <w:tbl>
      <w:tblPr>
        <w:tblStyle w:val="TableGrid"/>
        <w:tblW w:w="104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6"/>
        <w:gridCol w:w="2606"/>
        <w:gridCol w:w="2606"/>
        <w:gridCol w:w="2605"/>
      </w:tblGrid>
      <w:tr>
        <w:trPr>
          <w:tblHeader w:val="true"/>
        </w:trPr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Versão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Data</w:t>
            </w:r>
          </w:p>
        </w:tc>
        <w:tc>
          <w:tcPr>
            <w:tcW w:w="2606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2605" w:type="dxa"/>
            <w:tcBorders/>
            <w:shd w:fill="182939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Responsável</w:t>
            </w:r>
          </w:p>
        </w:tc>
      </w:tr>
      <w:tr>
        <w:trPr>
          <w:cantSplit w:val="true"/>
        </w:trPr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1.0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13/07/2026</w:t>
            </w:r>
          </w:p>
        </w:tc>
        <w:tc>
          <w:tcPr>
            <w:tcW w:w="2606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Criação da matriz para seleção cumulativa de baselines, perfis e controles técnicos com base no FRM-002 e MET-001.</w:t>
            </w:r>
          </w:p>
        </w:tc>
        <w:tc>
          <w:tcPr>
            <w:tcW w:w="2605" w:type="dxa"/>
            <w:tcBorders/>
            <w:shd w:fill="F4F6F8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Segurança de IA / Arquitetura / GRC</w:t>
            </w:r>
          </w:p>
        </w:tc>
      </w:tr>
    </w:tbl>
    <w:p>
      <w:pPr>
        <w:pStyle w:val="Normal"/>
        <w:widowControl/>
        <w:bidi w:val="0"/>
        <w:spacing w:lineRule="auto" w:line="252" w:before="0" w:after="10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907" w:right="907" w:gutter="0" w:header="720" w:top="850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Uso Interno | Versão 1.0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Uso Interno | Versão 1.0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505A64"/>
        <w:sz w:val="16"/>
      </w:rPr>
      <w:t>MTR-002 — Aplicabilidade de Baselines e Controles Técnicos de IA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505A64"/>
        <w:sz w:val="16"/>
      </w:rPr>
      <w:t>MTR-002 — Aplicabilidade de Baselines e Controles Técnicos de IA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100"/>
      <w:jc w:val="lef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8293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25D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25D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00"/>
      <w:contextualSpacing/>
      <w:jc w:val="center"/>
    </w:pPr>
    <w:rPr>
      <w:rFonts w:ascii="Calibri" w:hAnsi="Calibri" w:eastAsia="ＭＳ ゴシック" w:cs="" w:asciiTheme="majorHAnsi" w:cstheme="majorBidi" w:eastAsiaTheme="majorEastAsia" w:hAnsiTheme="majorHAnsi"/>
      <w:b/>
      <w:color w:val="182939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1042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10143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2026-07-14T01:42:26Z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