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morialKicker"/>
      </w:pPr>
      <w:r>
        <w:t>RELATÓRIO TÉCNICO PADRONIZADO</w:t>
      </w:r>
    </w:p>
    <w:p>
      <w:pPr>
        <w:pStyle w:val="Title"/>
      </w:pPr>
      <w:r>
        <w:t>Memorial técnico - adequação do pipe rack PR-204</w:t>
      </w:r>
    </w:p>
    <w:p>
      <w:pPr>
        <w:pStyle w:val="Subtitle"/>
      </w:pPr>
      <w:r>
        <w:t>Base de projeto, análise estrutural e central de validação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300"/>
        <w:gridCol w:w="3380"/>
        <w:gridCol w:w="1100"/>
        <w:gridCol w:w="3580"/>
      </w:tblGrid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Projeto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Adequação do pipe rack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Cliente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Operação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Documento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MC-PR204-001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Revisão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01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Elaborado por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Eng. A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Verificado por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Eng. B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Situação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Para verificação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Emissão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13/08/2026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1F3A5F"/>
          <w:left w:val="single" w:sz="6" w:space="0" w:color="1F3A5F"/>
          <w:bottom w:val="single" w:sz="6" w:space="0" w:color="1F3A5F"/>
          <w:right w:val="single" w:sz="6" w:space="0" w:color="1F3A5F"/>
          <w:insideH w:val="single" w:sz="6" w:space="0" w:color="1F3A5F"/>
          <w:insideV w:val="single" w:sz="6" w:space="0" w:color="1F3A5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PRONTO PARA REVISÃO - A matriz automática não encontrou bloqueios; a revisão de engenharia continua obrigatória.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Situação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Pronto para revisão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Registros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1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Índice documental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100%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Revisão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01</w:t>
            </w:r>
          </w:p>
        </w:tc>
      </w:tr>
    </w:tbl>
    <w:p>
      <w:pPr>
        <w:pStyle w:val="Heading1"/>
      </w:pPr>
      <w:r>
        <w:t>1. Resumo executivo</w:t>
      </w:r>
    </w:p>
    <w:p>
      <w:r>
        <w:t>Esta seção apresenta somente o essencial para uma leitura rápida. As premissas, equações, substituições e verificações completas começam na seção 3.</w:t>
      </w:r>
    </w:p>
    <w:p>
      <w:pPr>
        <w:pStyle w:val="MemorialNote"/>
        <w:shd w:fill="E8EEF5"/>
        <w:pBdr>
          <w:top w:val="single" w:sz="4" w:space="3" w:color="2E74B5"/>
          <w:left w:val="single" w:sz="4" w:space="3" w:color="2E74B5"/>
          <w:bottom w:val="single" w:sz="4" w:space="3" w:color="2E74B5"/>
          <w:right w:val="single" w:sz="4" w:space="3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 geral. </w:t>
      </w:r>
      <w:r>
        <w:rPr>
          <w:rFonts w:ascii="Calibri" w:hAnsi="Calibri"/>
          <w:color w:val="26323D"/>
          <w:sz w:val="20"/>
        </w:rPr>
        <w:t>PRONTO PARA REVISÃO. A matriz automática não encontrou bloqueios; a revisão de engenharia continua obrigatória.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100"/>
        <w:gridCol w:w="3100"/>
        <w:gridCol w:w="41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Item essencial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Valor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Leitura rápida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Projeto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Adequação do pipe rack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Código PR-204.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Unidade / área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Planta A / Processo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TAG: PR-204.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Escopo físico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item(ns)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Equipamentos, estruturas, linhas ou pontos cadastrados.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Base normativa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referência(s)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conferida(s) no documento-fonte.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Validação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Pronto para revisão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 achado(s); índice documental 100%.</w:t>
            </w:r>
          </w:p>
        </w:tc>
      </w:tr>
    </w:tbl>
    <w:p>
      <w:pPr>
        <w:spacing w:after="0"/>
      </w:pPr>
    </w:p>
    <w:p>
      <w:r>
        <w:t>Decisão de uso: consulte a conclusão, as pendências e o checklist antes de aprovar ou liberar o componente.</w:t>
      </w:r>
    </w:p>
    <w:p>
      <w:pPr>
        <w:pStyle w:val="Heading1"/>
      </w:pPr>
      <w:r>
        <w:t>2. Controle do documento</w:t>
      </w:r>
    </w:p>
    <w:p>
      <w:pPr>
        <w:keepNext/>
      </w:pPr>
      <w:r>
        <w:t>Este bloco deve ser mantido em todas as disciplinas para garantir rastreabilidade, revisão técnica e emissão controlada do memorial.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800"/>
        <w:gridCol w:w="1300"/>
        <w:gridCol w:w="3460"/>
        <w:gridCol w:w="1900"/>
        <w:gridCol w:w="19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Data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Descrição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Elaborado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Verificado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13/08/2026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Emissão automática do memorial de cálculo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Eng. 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Eng. B</w:t>
            </w:r>
          </w:p>
        </w:tc>
      </w:tr>
    </w:tbl>
    <w:p>
      <w:pPr>
        <w:spacing w:after="0"/>
      </w:pPr>
    </w:p>
    <w:p>
      <w:pPr>
        <w:pStyle w:val="Heading1"/>
      </w:pPr>
      <w:r>
        <w:t>3. Objetivo e escopo</w:t>
      </w:r>
    </w:p>
    <w:p>
      <w:r>
        <w:t>Verificar a nova condição de carregamento.</w:t>
      </w:r>
    </w:p>
    <w:p>
      <w:r>
        <w:t>Descrição do projeto ainda não documentada.</w:t>
      </w:r>
    </w:p>
    <w:p>
      <w:r>
        <w:t>Processo ou serviço: Não informado. Regime de operação: Não informado.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O memorial é válido somente para o escopo, os dados e as revisões identificados neste documento.</w:t>
      </w:r>
    </w:p>
    <w:p>
      <w:pPr>
        <w:pStyle w:val="Heading1"/>
      </w:pPr>
      <w:r>
        <w:t>4. Base de projeto</w:t>
      </w:r>
    </w:p>
    <w:p>
      <w:pPr>
        <w:pStyle w:val="MemorialCaption"/>
      </w:pPr>
      <w:r>
        <w:t>Base de projeto e critérios adotados.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Tópico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Desenhos e documentos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DE-204 Rev. 3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Base dos carregamentos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LC-204 Rev. 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Condições de operação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Operação contínua a 80 °C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Critérios de aceitação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Utilização &lt;= 1,0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Vida requerida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20 anos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Limitações e exclusões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Sem avaliação sísmica</w:t>
            </w:r>
          </w:p>
        </w:tc>
      </w:tr>
    </w:tbl>
    <w:p>
      <w:pPr>
        <w:spacing w:after="0"/>
      </w:pPr>
    </w:p>
    <w:p>
      <w:pPr>
        <w:pStyle w:val="Heading1"/>
      </w:pPr>
      <w:r>
        <w:t>5. Equipamentos e escopo físico</w:t>
      </w:r>
    </w:p>
    <w:p>
      <w:r>
        <w:t>Relação permanente dos equipamentos, sistemas, estruturas e pontos incluídos no escopo.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200"/>
        <w:gridCol w:w="2600"/>
        <w:gridCol w:w="2300"/>
        <w:gridCol w:w="1700"/>
        <w:gridCol w:w="15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TAG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Descrição / serviço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Material / fonte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Desenho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Criticidade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PR-204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Pipe rack</w:t>
              <w:br/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ASTM A36</w:t>
              <w:br/>
              <w:t>Certificado e especificação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Não informado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Não informado</w:t>
            </w:r>
          </w:p>
        </w:tc>
      </w:tr>
    </w:tbl>
    <w:p>
      <w:pPr>
        <w:spacing w:after="0"/>
      </w:pPr>
    </w:p>
    <w:p>
      <w:pPr>
        <w:pStyle w:val="Heading1"/>
      </w:pPr>
      <w:r>
        <w:t>6. Matriz normativa</w:t>
      </w:r>
    </w:p>
    <w:p>
      <w:r>
        <w:t>A marca de conferência significa apenas que a edição e o escopo foram verificados no documento-fonte cadastrado.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400"/>
        <w:gridCol w:w="900"/>
        <w:gridCol w:w="2800"/>
        <w:gridCol w:w="1100"/>
        <w:gridCol w:w="1100"/>
        <w:gridCol w:w="20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Código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Edição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Escopo no projeto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Obrigatória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Conferida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Fonte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ABNT NBR 8800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2024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Barras e ligações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Sim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PDF controlado</w:t>
            </w:r>
          </w:p>
        </w:tc>
      </w:tr>
    </w:tbl>
    <w:p>
      <w:pPr>
        <w:spacing w:after="0"/>
      </w:pPr>
    </w:p>
    <w:p>
      <w:pPr>
        <w:pStyle w:val="Heading1"/>
      </w:pPr>
      <w:r>
        <w:t>7. Registros técnicos</w:t>
      </w:r>
    </w:p>
    <w:p>
      <w:r>
        <w:t>Cada registro abaixo preserva entradas, resultados, premissas, alertas e conclusão do módulo que o originou.</w:t>
      </w:r>
    </w:p>
    <w:p>
      <w:pPr>
        <w:pStyle w:val="Heading2"/>
      </w:pPr>
      <w:r>
        <w:t>7.1 Barra B12</w:t>
      </w:r>
    </w:p>
    <w:p>
      <w:r>
        <w:t>Módulo: Estruturas de aço. Situação: Atende.</w:t>
      </w:r>
    </w:p>
    <w:p>
      <w:r>
        <w:t>Verificação ELU e ELS</w:t>
      </w:r>
    </w:p>
    <w:p>
      <w:r>
        <w:t>Conclusão: Atende aos critérios informados.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Premissa: Análise linear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Referência: MC-204</w:t>
      </w:r>
    </w:p>
    <w:p>
      <w:pPr>
        <w:pStyle w:val="MemorialCaption"/>
      </w:pPr>
      <w:r>
        <w:t>Entradas registradas.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Campo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Nd_kN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120</w:t>
            </w:r>
          </w:p>
        </w:tc>
      </w:tr>
    </w:tbl>
    <w:p>
      <w:pPr>
        <w:spacing w:after="0"/>
      </w:pPr>
    </w:p>
    <w:p>
      <w:pPr>
        <w:pStyle w:val="MemorialCaption"/>
      </w:pPr>
      <w:r>
        <w:t>Resultados registrados.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Grandeza / critério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utilizacao_maxima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0,82</w:t>
            </w:r>
          </w:p>
        </w:tc>
      </w:tr>
    </w:tbl>
    <w:p>
      <w:pPr>
        <w:spacing w:after="0"/>
      </w:pPr>
    </w:p>
    <w:p>
      <w:pPr>
        <w:pStyle w:val="Heading1"/>
      </w:pPr>
      <w:r>
        <w:t>8. Central de validação</w:t>
      </w:r>
    </w:p>
    <w:p>
      <w:r>
        <w:t>Prontidão: Pronto para revisão. Índice documental: 100%.</w:t>
      </w:r>
    </w:p>
    <w:p>
      <w:r>
        <w:t>O índice mede preenchimento e rastreabilidade no aplicativo. Não representa certificação, conformidade normativa ou aprovação de engenharia.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700"/>
        <w:gridCol w:w="1100"/>
        <w:gridCol w:w="1700"/>
        <w:gridCol w:w="2860"/>
        <w:gridCol w:w="30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ID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Severidade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Categoria / módulo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Achado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-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Informação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Validação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Nenhum achado automático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Manter revisão independente</w:t>
            </w:r>
          </w:p>
        </w:tc>
      </w:tr>
    </w:tbl>
    <w:p>
      <w:pPr>
        <w:spacing w:after="0"/>
      </w:pPr>
    </w:p>
    <w:p>
      <w:pPr>
        <w:pStyle w:val="Heading1"/>
      </w:pPr>
      <w:r>
        <w:t>9. Pendências e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300"/>
        <w:gridCol w:w="1100"/>
        <w:gridCol w:w="1300"/>
        <w:gridCol w:w="900"/>
        <w:gridCol w:w="1000"/>
        <w:gridCol w:w="800"/>
        <w:gridCol w:w="19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Item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Categoria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Responsável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Prazo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Estado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Crítico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Evidência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Revisão independente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Não informado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Não informado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Não informado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Concluído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Sim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Não informado</w:t>
            </w:r>
          </w:p>
        </w:tc>
      </w:tr>
    </w:tbl>
    <w:p>
      <w:pPr>
        <w:spacing w:after="0"/>
      </w:pPr>
    </w:p>
    <w:p>
      <w:pPr>
        <w:pStyle w:val="Heading1"/>
      </w:pPr>
      <w:r>
        <w:t>10. Conclusão e recomendações</w:t>
      </w:r>
    </w:p>
    <w:p>
      <w:r>
        <w:t>Situação automática: PRONTO PARA REVISÃO. A matriz automática não encontrou bloqueios; a revisão de engenharia continua obrigatória.</w:t>
      </w:r>
    </w:p>
    <w:p>
      <w:r>
        <w:t>A liberação depende da revisão de engenharia, da confirmação das fontes normativas e do encerramento formal dos bloqueios aplicáveis.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Confirmar que os carregamentos representam partida, parada, operação, manutenção e condições anormais aplicáveis.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Rastrear materiais, espessuras, geometria e condições de contorno aos documentos controlados.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Encerrar ou aceitar formalmente cada pendência, mantendo responsável e evidência.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Emitir nova revisão sempre que entradas, critérios ou resultados forem alterados.</w:t>
      </w:r>
    </w:p>
    <w:p>
      <w:pPr>
        <w:pStyle w:val="Heading1"/>
      </w:pPr>
      <w:r>
        <w:t>11. Integração com outras partes do projeto</w:t>
      </w:r>
    </w:p>
    <w:p>
      <w:r>
        <w:t>Use este registro para incorporar outras verificações ao mesmo memorial. Cada disciplina deve conservar código, revisão, responsável e conclusão próprios.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700"/>
        <w:gridCol w:w="1700"/>
        <w:gridCol w:w="700"/>
        <w:gridCol w:w="1400"/>
        <w:gridCol w:w="1600"/>
        <w:gridCol w:w="22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Parte / módulo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Documento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Situação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Responsável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Observações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Estruturas de aço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MC-PR204-001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Atende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Eng. A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Atende aos critérios informados.</w:t>
            </w:r>
          </w:p>
        </w:tc>
      </w:tr>
    </w:tbl>
    <w:p>
      <w:pPr>
        <w:spacing w:after="0"/>
      </w:pPr>
    </w:p>
    <w:p>
      <w:pPr>
        <w:pStyle w:val="Heading1"/>
      </w:pPr>
      <w:r>
        <w:t>12. Aprovações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500"/>
        <w:gridCol w:w="2300"/>
        <w:gridCol w:w="3260"/>
        <w:gridCol w:w="23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Função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Nome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Assinatura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Elaboração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Eng. A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Verificação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Eng. B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Aprovação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Eng. C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Apêndice A - Quadro completo de entradas e resultados</w:t>
      </w:r>
    </w:p>
    <w:p>
      <w:r>
        <w:t>Registro consolidado dos valores efetivamente usados. Campos manuais devem ser rastreáveis ao desenho, certificado, ensaio, norma ou hipótese de projeto.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000"/>
        <w:gridCol w:w="2500"/>
        <w:gridCol w:w="900"/>
        <w:gridCol w:w="1300"/>
        <w:gridCol w:w="900"/>
        <w:gridCol w:w="27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Grupo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Grandeza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Símbolo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Valor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Unid.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Observação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Estruturas de aço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Nd_kN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120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ver campo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Barra B12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Estruturas de aço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utilizacao_maxima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0,82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ver campo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Barra B12</w:t>
            </w:r>
          </w:p>
        </w:tc>
      </w:tr>
    </w:tbl>
    <w:p>
      <w:pPr>
        <w:spacing w:after="0"/>
      </w:pPr>
    </w:p>
    <w:p>
      <w:pPr>
        <w:pStyle w:val="Heading1"/>
      </w:pPr>
      <w:r>
        <w:t>Apêndice B - Estrutura mínima para novas partes</w:t>
      </w:r>
    </w:p>
    <w:p>
      <w:r>
        <w:t>Ao acrescentar outra disciplina, mantenha a sequência abaixo para preservar o padrão: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Objetivo e escopo da parte adicionada.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Referências, normas e propriedades adotadas.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Premissas, unidades, combinações e limitações.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Dados de entrada com origem rastreável.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Equações, substituições numéricas e resultados intermediários.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Critérios de aceitação, conclusão e recomendações.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Responsável, verificador, código e revisão da parte.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0"/>
      <w:gridCol w:w="3360"/>
    </w:tblGrid>
    <w:tr>
      <w:trPr>
        <w:cantSplit/>
      </w:trPr>
      <w:tc>
        <w:tcPr>
          <w:tcW w:type="dxa" w:w="600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/>
              <w:b w:val="0"/>
              <w:color w:val="5F6B76"/>
              <w:sz w:val="15"/>
            </w:rPr>
            <w:t>Documento editável - conferir código, revisão e aprovações antes da emissão.</w:t>
          </w:r>
        </w:p>
      </w:tc>
      <w:tc>
        <w:tcPr>
          <w:tcW w:type="dxa" w:w="336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F6B76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color w:val="5F6B76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color w:val="5F6B76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color w:val="5F6B76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600"/>
      <w:gridCol w:w="3760"/>
    </w:tblGrid>
    <w:tr>
      <w:trPr>
        <w:cantSplit/>
      </w:trPr>
      <w:tc>
        <w:tcPr>
          <w:tcW w:type="dxa" w:w="560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/>
              <w:b/>
              <w:color w:val="0B2545"/>
              <w:sz w:val="16"/>
            </w:rPr>
            <w:t>MECÂNICA TOOLKIT | MEMORIAL DE CÁLCULO</w:t>
          </w:r>
        </w:p>
      </w:tc>
      <w:tc>
        <w:tcPr>
          <w:tcW w:type="dxa" w:w="376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/>
              <w:b w:val="0"/>
              <w:color w:val="5F6B76"/>
              <w:sz w:val="16"/>
            </w:rPr>
            <w:t>MC-PR204-001 | REV.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6323D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5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rialKicker">
    <w:name w:val="Memorial Kicker"/>
    <w:pPr>
      <w:spacing w:before="0" w:after="40" w:line="252" w:lineRule="auto"/>
    </w:pPr>
    <w:rPr>
      <w:rFonts w:ascii="Calibri" w:hAnsi="Calibri"/>
      <w:b/>
      <w:color w:val="2E74B5"/>
      <w:sz w:val="19"/>
      <w:lang w:val="pt-BR"/>
    </w:rPr>
  </w:style>
  <w:style w:type="paragraph" w:customStyle="1" w:styleId="MemorialFormula">
    <w:name w:val="Memorial Formula"/>
    <w:pPr>
      <w:keepLines/>
      <w:spacing w:before="0" w:after="80" w:line="252" w:lineRule="auto"/>
      <w:ind w:left="115" w:right="115"/>
    </w:pPr>
    <w:rPr>
      <w:rFonts w:ascii="Calibri" w:hAnsi="Calibri"/>
      <w:b w:val="0"/>
      <w:color w:val="0B2545"/>
      <w:sz w:val="21"/>
      <w:lang w:val="pt-BR"/>
    </w:rPr>
  </w:style>
  <w:style w:type="paragraph" w:customStyle="1" w:styleId="MemorialNote">
    <w:name w:val="Memorial Note"/>
    <w:pPr>
      <w:spacing w:before="0" w:after="80" w:line="252" w:lineRule="auto"/>
    </w:pPr>
    <w:rPr>
      <w:rFonts w:ascii="Calibri" w:hAnsi="Calibri"/>
      <w:b w:val="0"/>
      <w:color w:val="26323D"/>
      <w:sz w:val="19"/>
      <w:lang w:val="pt-BR"/>
    </w:rPr>
  </w:style>
  <w:style w:type="paragraph" w:customStyle="1" w:styleId="MemorialCaption">
    <w:name w:val="Memorial Caption"/>
    <w:pPr>
      <w:spacing w:before="0" w:after="80" w:line="252" w:lineRule="auto"/>
    </w:pPr>
    <w:rPr>
      <w:rFonts w:ascii="Calibri" w:hAnsi="Calibri"/>
      <w:b w:val="0"/>
      <w:color w:val="5F6B76"/>
      <w:sz w:val="17"/>
      <w:lang w:val="pt-BR"/>
    </w:rPr>
  </w:style>
  <w:style w:type="paragraph" w:customStyle="1" w:styleId="MemorialTable">
    <w:name w:val="Memorial Table"/>
    <w:pPr>
      <w:spacing w:before="0" w:after="80" w:line="252" w:lineRule="auto"/>
    </w:pPr>
    <w:rPr>
      <w:rFonts w:ascii="Calibri" w:hAnsi="Calibri"/>
      <w:b w:val="0"/>
      <w:color w:val="26323D"/>
      <w:sz w:val="17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técnico - adequação do pipe rack PR-204</dc:title>
  <dc:subject>Base de projeto, análise estrutural e central de validação</dc:subject>
  <dc:creator>Eng. A</dc:creator>
  <cp:keywords>memorial de cálculo; engenharia mecânica; verificação; revisão</cp:keywords>
  <dc:description>Documento gerado pelo Mecânica Toolkit em estrutura editável e padronizada.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