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morialKicker"/>
      </w:pPr>
      <w:r>
        <w:t>RELATÓRIO TÉCNICO PADRONIZADO</w:t>
      </w:r>
    </w:p>
    <w:p>
      <w:pPr>
        <w:pStyle w:val="Title"/>
      </w:pPr>
      <w:r>
        <w:t>Memorial unificado de cálculo industrial</w:t>
      </w:r>
    </w:p>
    <w:p>
      <w:pPr>
        <w:pStyle w:val="Subtitle"/>
      </w:pPr>
      <w:r>
        <w:t>Escopo, materiais, cálculos, sensibilidade, validação e aprovações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1300"/>
        <w:gridCol w:w="3380"/>
        <w:gridCol w:w="1100"/>
        <w:gridCol w:w="3580"/>
      </w:tblGrid>
      <w:tr>
        <w:trPr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Projeto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Reforço do suporte industrial SK-101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Cliente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Unidade industrial de demonstração</w:t>
            </w:r>
          </w:p>
        </w:tc>
      </w:tr>
      <w:tr>
        <w:trPr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Documento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MC-SK101-001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Revisão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00</w:t>
            </w:r>
          </w:p>
        </w:tc>
      </w:tr>
      <w:tr>
        <w:trPr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Elaborado por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Engenheiro responsável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Verificado por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Engenheiro verificador</w:t>
            </w:r>
          </w:p>
        </w:tc>
      </w:tr>
      <w:tr>
        <w:trPr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Situação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Exemplo para revisão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Emissão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14/08/2026</w:t>
            </w:r>
          </w:p>
        </w:tc>
      </w:tr>
      <w:tr>
        <w:trPr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Snapshot</w:t>
            </w:r>
          </w:p>
        </w:tc>
        <w:tc>
          <w:tcPr>
            <w:tcW w:type="dxa" w:w="3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7843277772cda357…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Aprovado por</w:t>
            </w:r>
          </w:p>
        </w:tc>
        <w:tc>
          <w:tcPr>
            <w:tcW w:type="dxa" w:w="3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Gestor de engenharia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1F3A5F"/>
          <w:left w:val="single" w:sz="6" w:space="0" w:color="1F3A5F"/>
          <w:bottom w:val="single" w:sz="6" w:space="0" w:color="1F3A5F"/>
          <w:right w:val="single" w:sz="6" w:space="0" w:color="1F3A5F"/>
          <w:insideH w:val="single" w:sz="6" w:space="0" w:color="1F3A5F"/>
          <w:insideV w:val="single" w:sz="6" w:space="0" w:color="1F3A5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1F3A5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PRONTO PARA REVISÃO - A matriz automática não encontrou bloqueios; a revisão de engenharia continua obrigatória.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5F6B76"/>
                <w:sz w:val="16"/>
              </w:rPr>
              <w:t>Situação</w:t>
              <w:br/>
            </w:r>
            <w:r>
              <w:rPr>
                <w:rFonts w:ascii="Calibri" w:hAnsi="Calibri"/>
                <w:b/>
                <w:color w:val="0B2545"/>
                <w:sz w:val="22"/>
              </w:rPr>
              <w:t>Pronto para revisão</w:t>
            </w:r>
          </w:p>
        </w:tc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5F6B76"/>
                <w:sz w:val="16"/>
              </w:rPr>
              <w:t>Registros</w:t>
              <w:br/>
            </w:r>
            <w:r>
              <w:rPr>
                <w:rFonts w:ascii="Calibri" w:hAnsi="Calibri"/>
                <w:b/>
                <w:color w:val="0B2545"/>
                <w:sz w:val="22"/>
              </w:rPr>
              <w:t>3</w:t>
            </w:r>
          </w:p>
        </w:tc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5F6B76"/>
                <w:sz w:val="16"/>
              </w:rPr>
              <w:t>Materiais rastreados</w:t>
              <w:br/>
            </w:r>
            <w:r>
              <w:rPr>
                <w:rFonts w:ascii="Calibri" w:hAnsi="Calibri"/>
                <w:b/>
                <w:color w:val="0B2545"/>
                <w:sz w:val="22"/>
              </w:rPr>
              <w:t>1</w:t>
            </w:r>
          </w:p>
        </w:tc>
        <w:tc>
          <w:tcPr>
            <w:tcW w:type="dxa" w:w="23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5F6B76"/>
                <w:sz w:val="16"/>
              </w:rPr>
              <w:t>Índice documental</w:t>
              <w:br/>
            </w:r>
            <w:r>
              <w:rPr>
                <w:rFonts w:ascii="Calibri" w:hAnsi="Calibri"/>
                <w:b/>
                <w:color w:val="0B2545"/>
                <w:sz w:val="22"/>
              </w:rPr>
              <w:t>100%</w:t>
            </w:r>
          </w:p>
        </w:tc>
      </w:tr>
    </w:tbl>
    <w:p>
      <w:pPr>
        <w:pStyle w:val="Heading1"/>
      </w:pPr>
      <w:r>
        <w:t>1. Resumo executivo</w:t>
      </w:r>
    </w:p>
    <w:p>
      <w:r>
        <w:t>Esta seção apresenta somente o essencial para uma leitura rápida. As premissas, equações, substituições e verificações completas começam na seção 3.</w:t>
      </w:r>
    </w:p>
    <w:p>
      <w:pPr>
        <w:pStyle w:val="MemorialNote"/>
        <w:shd w:fill="E8EEF5"/>
        <w:pBdr>
          <w:top w:val="single" w:sz="4" w:space="3" w:color="2E74B5"/>
          <w:left w:val="single" w:sz="4" w:space="3" w:color="2E74B5"/>
          <w:bottom w:val="single" w:sz="4" w:space="3" w:color="2E74B5"/>
          <w:right w:val="single" w:sz="4" w:space="3" w:color="2E74B5"/>
        </w:pBdr>
      </w:pPr>
      <w:r>
        <w:rPr>
          <w:rFonts w:ascii="Calibri" w:hAnsi="Calibri"/>
          <w:b/>
          <w:color w:val="0B2545"/>
          <w:sz w:val="20"/>
        </w:rPr>
        <w:t xml:space="preserve">Resultado geral. </w:t>
      </w:r>
      <w:r>
        <w:rPr>
          <w:rFonts w:ascii="Calibri" w:hAnsi="Calibri"/>
          <w:color w:val="26323D"/>
          <w:sz w:val="20"/>
        </w:rPr>
        <w:t>PRONTO PARA REVISÃO. A matriz automática não encontrou bloqueios; a revisão de engenharia continua obrigatória.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2100"/>
        <w:gridCol w:w="3100"/>
        <w:gridCol w:w="41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Item essencial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Valor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Leitura rápida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Projeto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Reforço do suporte industrial SK-101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Código MC-SK101-001.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Unidade / área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Planta A / Utilidades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TAG: SK-101.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Escopo físico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1 item(ns)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Equipamentos, estruturas, linhas ou pontos cadastrados.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Carregamentos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2 caso(s) / 2 combinação(ões)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Cenários e fatores permanentes vinculados ao projeto.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Materiais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1 cadastro(s) de projeto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1 com confiança confirmada ou rastreável.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Base normativa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1 referência(s)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1 conferida(s) no documento-fonte.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Robustez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1 análise(s)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Sensibilidade e incerteza separadas do resultado determinístico.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Validação</w:t>
            </w:r>
          </w:p>
        </w:tc>
        <w:tc>
          <w:tcPr>
            <w:tcW w:type="dxa" w:w="3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Pronto para revisão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0 achado(s); índice documental 100%.</w:t>
            </w:r>
          </w:p>
        </w:tc>
      </w:tr>
    </w:tbl>
    <w:p>
      <w:pPr>
        <w:spacing w:after="0"/>
      </w:pPr>
    </w:p>
    <w:p>
      <w:r>
        <w:t>Decisão de uso: consulte a conclusão, as pendências e o checklist antes de aprovar ou liberar o componente.</w:t>
      </w:r>
    </w:p>
    <w:p>
      <w:pPr>
        <w:pStyle w:val="Heading1"/>
      </w:pPr>
      <w:r>
        <w:t>2. Controle do documento</w:t>
      </w:r>
    </w:p>
    <w:p>
      <w:pPr>
        <w:keepNext/>
      </w:pPr>
      <w:r>
        <w:t>Este bloco deve ser mantido em todas as disciplinas para garantir rastreabilidade, revisão técnica e emissão controlada do memorial.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800"/>
        <w:gridCol w:w="1300"/>
        <w:gridCol w:w="3460"/>
        <w:gridCol w:w="1900"/>
        <w:gridCol w:w="190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Rev.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Data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Descrição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Elaborado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Verificado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00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14/08/2026</w:t>
            </w:r>
          </w:p>
        </w:tc>
        <w:tc>
          <w:tcPr>
            <w:tcW w:type="dxa" w:w="3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Emissão automática do memorial de cálculo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Engenheiro responsável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Engenheiro verificador</w:t>
            </w:r>
          </w:p>
        </w:tc>
      </w:tr>
    </w:tbl>
    <w:p>
      <w:pPr>
        <w:spacing w:after="0"/>
      </w:pPr>
    </w:p>
    <w:p>
      <w:pPr>
        <w:pStyle w:val="Heading1"/>
      </w:pPr>
      <w:r>
        <w:t>3. Objetivo e escopo</w:t>
      </w:r>
    </w:p>
    <w:p>
      <w:r>
        <w:t>Demonstrar o memorial unificado, incluindo rastreabilidade de material e análise de sensibilidade.</w:t>
      </w:r>
    </w:p>
    <w:p>
      <w:r>
        <w:t>Verificação do suporte após aumento da carga permanente da linha.</w:t>
      </w:r>
    </w:p>
    <w:p>
      <w:r>
        <w:t>Processo ou serviço: Suporte de tubulação. Regime de operação: Contínuo, 80 °C.</w:t>
      </w:r>
    </w:p>
    <w:p>
      <w:pPr>
        <w:pStyle w:val="MemorialNote"/>
        <w:shd w:fill="F4F6F9"/>
        <w:pBdr>
          <w:top w:val="single" w:sz="4" w:space="3" w:color="C9D4DE"/>
          <w:left w:val="single" w:sz="4" w:space="3" w:color="C9D4DE"/>
          <w:bottom w:val="single" w:sz="4" w:space="3" w:color="C9D4DE"/>
          <w:right w:val="single" w:sz="4" w:space="3" w:color="C9D4DE"/>
        </w:pBdr>
      </w:pPr>
      <w:r>
        <w:rPr>
          <w:rFonts w:ascii="Calibri" w:hAnsi="Calibri"/>
          <w:b/>
          <w:color w:val="0B2545"/>
          <w:sz w:val="19"/>
        </w:rPr>
        <w:t xml:space="preserve">Nota técnica. </w:t>
      </w:r>
      <w:r>
        <w:rPr>
          <w:rFonts w:ascii="Calibri" w:hAnsi="Calibri"/>
          <w:color w:val="26323D"/>
          <w:sz w:val="19"/>
        </w:rPr>
        <w:t>O memorial é válido somente para o escopo, os dados e as revisões identificados neste documento.</w:t>
      </w:r>
    </w:p>
    <w:p>
      <w:pPr>
        <w:pStyle w:val="Heading1"/>
      </w:pPr>
      <w:r>
        <w:t>4. Base de projeto</w:t>
      </w:r>
    </w:p>
    <w:p>
      <w:pPr>
        <w:pStyle w:val="MemorialCaption"/>
      </w:pPr>
      <w:r>
        <w:t>Base de projeto e critérios adotados.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Tópico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Registro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Desenhos e documentos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DE-SK101-004 Rev. 2; levantamento dimensional LD-17</w:t>
            </w:r>
          </w:p>
        </w:tc>
      </w:tr>
      <w:tr>
        <w:trPr>
          <w:cantSplit/>
        </w:trPr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Base dos carregamentos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LC-SK101-003 Rev. 1; peso operacional e reação da linha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Condições de operação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Operação contínua a 80 °C; ambiente interno não corrosivo</w:t>
            </w:r>
          </w:p>
        </w:tc>
      </w:tr>
      <w:tr>
        <w:trPr>
          <w:cantSplit/>
        </w:trPr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Critérios de aceitação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n ≥ 1,50; utilização ≤ 1,00; risco probabilístico de não atendimento ≤ 5%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Vida requerida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20 anos</w:t>
            </w:r>
          </w:p>
        </w:tc>
      </w:tr>
      <w:tr>
        <w:trPr>
          <w:cantSplit/>
        </w:trPr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Limitações e exclusões</w:t>
            </w:r>
          </w:p>
        </w:tc>
        <w:tc>
          <w:tcPr>
            <w:tcW w:type="dxa" w:w="6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Sem avaliação sísmica; soldas e ancoragens permanecem em memorial complementar</w:t>
            </w:r>
          </w:p>
        </w:tc>
      </w:tr>
    </w:tbl>
    <w:p>
      <w:pPr>
        <w:spacing w:after="0"/>
      </w:pPr>
    </w:p>
    <w:p>
      <w:pPr>
        <w:pStyle w:val="Heading1"/>
      </w:pPr>
      <w:r>
        <w:t>5. Casos, combinações e envelopes de carga</w:t>
      </w:r>
    </w:p>
    <w:p>
      <w:r>
        <w:t>Os casos preservam a origem física dos carregamentos. As combinações somam componentes algébricos e mantêm o cenário governante de cada grandeza.</w:t>
      </w:r>
    </w:p>
    <w:p>
      <w:r>
        <w:t>Foram cadastrados 2 caso(s), 2 combinação(ões) e avaliados 2 cenário(s).</w:t>
      </w:r>
    </w:p>
    <w:p>
      <w:pPr>
        <w:pStyle w:val="MemorialNote"/>
        <w:shd w:fill="F4F6F9"/>
        <w:pBdr>
          <w:top w:val="single" w:sz="4" w:space="3" w:color="C9D4DE"/>
          <w:left w:val="single" w:sz="4" w:space="3" w:color="C9D4DE"/>
          <w:bottom w:val="single" w:sz="4" w:space="3" w:color="C9D4DE"/>
          <w:right w:val="single" w:sz="4" w:space="3" w:color="C9D4DE"/>
        </w:pBdr>
      </w:pPr>
      <w:r>
        <w:rPr>
          <w:rFonts w:ascii="Calibri" w:hAnsi="Calibri"/>
          <w:b/>
          <w:color w:val="0B2545"/>
          <w:sz w:val="19"/>
        </w:rPr>
        <w:t xml:space="preserve">Nota técnica. </w:t>
      </w:r>
      <w:r>
        <w:rPr>
          <w:rFonts w:ascii="Calibri" w:hAnsi="Calibri"/>
          <w:color w:val="26323D"/>
          <w:sz w:val="19"/>
        </w:rPr>
        <w:t>O envelope não representa simultaneidade entre máximos de linhas diferentes. Confirme os fatores nas normas, especificações e bases de carregamento aplicáveis.</w:t>
      </w:r>
    </w:p>
    <w:p>
      <w:pPr>
        <w:pStyle w:val="MemorialCaption"/>
      </w:pPr>
      <w:r>
        <w:t>Casos de carga permanentes do projeto.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1000"/>
        <w:gridCol w:w="1600"/>
        <w:gridCol w:w="1500"/>
        <w:gridCol w:w="900"/>
        <w:gridCol w:w="2600"/>
        <w:gridCol w:w="1760"/>
      </w:tblGrid>
      <w:tr>
        <w:trPr>
          <w:cantSplit/>
          <w:tblHeader w:val="true"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Código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Caso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Condição / natureza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TAG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Vetor não nulo</w:t>
            </w:r>
          </w:p>
        </w:tc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Origem / referência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LC-01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Peso e reação operacional da linha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Operação normal</w:t>
              <w:br/>
              <w:t>Permanente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SK-101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Força Y=-100 kN; Momento X=12 kN·m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Lista de cargas do processo</w:t>
              <w:br/>
              <w:t>LC-SK101-003 Rev. 1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LC-02</w:t>
            </w:r>
          </w:p>
        </w:tc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Reação de expansão térmica</w:t>
            </w:r>
          </w:p>
        </w:tc>
        <w:tc>
          <w:tcPr>
            <w:tcW w:type="dxa" w:w="1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Operação normal</w:t>
              <w:br/>
              <w:t>Térmica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SK-101</w:t>
            </w:r>
          </w:p>
        </w:tc>
        <w:tc>
          <w:tcPr>
            <w:tcW w:type="dxa" w:w="2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Força X=30 kN; Momento X=-5 kN·m; Variação de temperatura=80 °C</w:t>
            </w:r>
          </w:p>
        </w:tc>
        <w:tc>
          <w:tcPr>
            <w:tcW w:type="dxa" w:w="1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Modelo de flexibilidade da linha</w:t>
              <w:br/>
              <w:t>MF-L101-005 Rev. 0</w:t>
            </w:r>
          </w:p>
        </w:tc>
      </w:tr>
    </w:tbl>
    <w:p>
      <w:pPr>
        <w:spacing w:after="0"/>
      </w:pPr>
    </w:p>
    <w:p>
      <w:pPr>
        <w:pStyle w:val="MemorialCaption"/>
      </w:pPr>
      <w:r>
        <w:t>Combinações registradas; os fatores não são definidos automaticamente como normativos.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1800"/>
        <w:gridCol w:w="1400"/>
        <w:gridCol w:w="3000"/>
        <w:gridCol w:w="1000"/>
        <w:gridCol w:w="21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Combinação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Tipo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Parcelas e fatores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Estado</w:t>
            </w:r>
          </w:p>
        </w:tc>
        <w:tc>
          <w:tcPr>
            <w:tcW w:type="dxa" w:w="21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Descrição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COMB-OP · operação simultânea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Operacional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1×LC-01 + 1×LC-02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Ativa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Fatores de demonstração; conferir na base controlada do projeto real.</w:t>
            </w:r>
          </w:p>
        </w:tc>
      </w:tr>
      <w:tr>
        <w:trPr>
          <w:cantSplit/>
        </w:trPr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COMB-TESTE · carga vertical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Teste</w:t>
            </w:r>
          </w:p>
        </w:tc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1.3×LC-01</w:t>
            </w:r>
          </w:p>
        </w:tc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Ativa</w:t>
            </w:r>
          </w:p>
        </w:tc>
        <w:tc>
          <w:tcPr>
            <w:tcW w:type="dxa" w:w="2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Fator de demonstração aplicado ao peso operacional.</w:t>
            </w:r>
          </w:p>
        </w:tc>
      </w:tr>
    </w:tbl>
    <w:p>
      <w:pPr>
        <w:spacing w:after="0"/>
      </w:pPr>
    </w:p>
    <w:p>
      <w:pPr>
        <w:pStyle w:val="MemorialCaption"/>
      </w:pPr>
      <w:r>
        <w:t>Envelope algébrico por componente.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1700"/>
        <w:gridCol w:w="1100"/>
        <w:gridCol w:w="1100"/>
        <w:gridCol w:w="1200"/>
        <w:gridCol w:w="900"/>
        <w:gridCol w:w="33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Componente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Mínimo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Máximo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Governante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Unidade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Cenário governante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Força X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30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30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kN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COMB-OP · operação simultânea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Força Y</w:t>
            </w:r>
          </w:p>
        </w:tc>
        <w:tc>
          <w:tcPr>
            <w:tcW w:type="dxa" w:w="1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-130</w:t>
            </w:r>
          </w:p>
        </w:tc>
        <w:tc>
          <w:tcPr>
            <w:tcW w:type="dxa" w:w="1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-100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-130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kN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COMB-TESTE · carga vertical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Força Z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kN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COMB-OP · operação simultânea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Momento X</w:t>
            </w:r>
          </w:p>
        </w:tc>
        <w:tc>
          <w:tcPr>
            <w:tcW w:type="dxa" w:w="1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7</w:t>
            </w:r>
          </w:p>
        </w:tc>
        <w:tc>
          <w:tcPr>
            <w:tcW w:type="dxa" w:w="1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15,6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15,6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kN·m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COMB-TESTE · carga vertical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Momento Y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kN·m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COMB-OP · operação simultânea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Momento Z</w:t>
            </w:r>
          </w:p>
        </w:tc>
        <w:tc>
          <w:tcPr>
            <w:tcW w:type="dxa" w:w="1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</w:t>
            </w:r>
          </w:p>
        </w:tc>
        <w:tc>
          <w:tcPr>
            <w:tcW w:type="dxa" w:w="1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kN·m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COMB-OP · operação simultânea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Pressão relativa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bar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COMB-OP · operação simultânea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Variação de temperatura</w:t>
            </w:r>
          </w:p>
        </w:tc>
        <w:tc>
          <w:tcPr>
            <w:tcW w:type="dxa" w:w="1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</w:t>
            </w:r>
          </w:p>
        </w:tc>
        <w:tc>
          <w:tcPr>
            <w:tcW w:type="dxa" w:w="11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80</w:t>
            </w:r>
          </w:p>
        </w:tc>
        <w:tc>
          <w:tcPr>
            <w:tcW w:type="dxa" w:w="1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80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°C</w:t>
            </w:r>
          </w:p>
        </w:tc>
        <w:tc>
          <w:tcPr>
            <w:tcW w:type="dxa" w:w="3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COMB-OP · operação simultânea</w:t>
            </w:r>
          </w:p>
        </w:tc>
      </w:tr>
    </w:tbl>
    <w:p>
      <w:pPr>
        <w:spacing w:after="0"/>
      </w:pPr>
    </w:p>
    <w:p>
      <w:pPr>
        <w:pStyle w:val="Heading1"/>
      </w:pPr>
      <w:r>
        <w:t>6. Equipamentos e escopo físico</w:t>
      </w:r>
    </w:p>
    <w:p>
      <w:r>
        <w:t>Relação permanente dos equipamentos, sistemas, estruturas e pontos incluídos no escopo.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1200"/>
        <w:gridCol w:w="2600"/>
        <w:gridCol w:w="2300"/>
        <w:gridCol w:w="1700"/>
        <w:gridCol w:w="156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TAG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Descrição / serviço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Material / fonte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Desenho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Criticidade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SK-101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Chapa principal do suporte</w:t>
              <w:br/>
              <w:t>Transferência de carga da linha para a estrutura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Aço estrutural do lote HN-24017</w:t>
              <w:br/>
              <w:t>Certificado do lote / MTR · MTR-45821 · Rev. 0 · lote HN-24017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DE-SK101-004 Rev. 2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Alta</w:t>
            </w:r>
          </w:p>
        </w:tc>
      </w:tr>
    </w:tbl>
    <w:p>
      <w:pPr>
        <w:spacing w:after="0"/>
      </w:pPr>
    </w:p>
    <w:p>
      <w:pPr>
        <w:pStyle w:val="Heading1"/>
      </w:pPr>
      <w:r>
        <w:t>7. Materiais e propriedades rastreadas</w:t>
      </w:r>
    </w:p>
    <w:p>
      <w:r>
        <w:t>Propriedades de catálogo permanecem orientativas. Esta seção lista apenas os materiais cadastrados no projeto, com sua proveniência e avaliação documental.</w:t>
      </w:r>
    </w:p>
    <w:p>
      <w:r>
        <w:t>O índice de rastreabilidade mede evidência disponível; não substitui especificação, certificado, ensaio ou aprovação técnica.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2100"/>
        <w:gridCol w:w="1900"/>
        <w:gridCol w:w="2100"/>
        <w:gridCol w:w="1200"/>
        <w:gridCol w:w="20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Material / condição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Propriedades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Origem / documento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Confiança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Aplicabilidade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Aço estrutural do lote HN-24017</w:t>
              <w:br/>
              <w:t>Laminado; condição registrada no certificado · Chapa 12,5 mm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Sut=430 MPa; Sy=285 MPa; E=200 GPa; Nu=0,3 -; Densidade kg m3=7850 -; Temperatura min=-20 °C; Temperatura max=120 °C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Certificado do lote / MTR · MTR-45821 · Rev. 0 · lote HN-24017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Confirmado</w:t>
              <w:br/>
              <w:t>100%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Mesma corrida, espessura e condição da chapa identificada no SK-101.</w:t>
            </w:r>
          </w:p>
        </w:tc>
      </w:tr>
    </w:tbl>
    <w:p>
      <w:pPr>
        <w:spacing w:after="0"/>
      </w:pPr>
    </w:p>
    <w:p>
      <w:pPr>
        <w:pStyle w:val="Heading1"/>
      </w:pPr>
      <w:r>
        <w:t>8. Matriz normativa</w:t>
      </w:r>
    </w:p>
    <w:p>
      <w:r>
        <w:t>A marca de conferência significa apenas que a edição e o escopo foram verificados no documento-fonte cadastrado.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1400"/>
        <w:gridCol w:w="900"/>
        <w:gridCol w:w="2800"/>
        <w:gridCol w:w="1100"/>
        <w:gridCol w:w="1100"/>
        <w:gridCol w:w="2060"/>
      </w:tblGrid>
      <w:tr>
        <w:trPr>
          <w:cantSplit/>
          <w:tblHeader w:val="true"/>
        </w:trP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Código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Edição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Escopo no projeto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Obrigatória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Conferida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Fonte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Especificação estrutural do projeto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Rev. 3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Critérios de resistência, fabricação e inspeção do suporte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Sim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Sim</w:t>
            </w:r>
          </w:p>
        </w:tc>
        <w:tc>
          <w:tcPr>
            <w:tcW w:type="dxa" w:w="2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PDF controlado ESP-EST-001-R3.pdf</w:t>
            </w:r>
          </w:p>
        </w:tc>
      </w:tr>
    </w:tbl>
    <w:p>
      <w:pPr>
        <w:spacing w:after="0"/>
      </w:pPr>
    </w:p>
    <w:p>
      <w:pPr>
        <w:pStyle w:val="Heading1"/>
      </w:pPr>
      <w:r>
        <w:t>9. Plano e integridade dos cálculos</w:t>
      </w:r>
    </w:p>
    <w:p>
      <w:r>
        <w:t>O plano abaixo define a ordem dos capítulos selecionados e evidencia campos ausentes antes da emissão. A sequência é preservada no Word e no PDF.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700"/>
        <w:gridCol w:w="2900"/>
        <w:gridCol w:w="1300"/>
        <w:gridCol w:w="1900"/>
        <w:gridCol w:w="2560"/>
      </w:tblGrid>
      <w:tr>
        <w:trPr>
          <w:cantSplit/>
          <w:tblHeader w:val="true"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Ordem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Módulo / registro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Situação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Integridade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Lacunas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1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Casos de carga</w:t>
              <w:br/>
              <w:t>Envelope dos carregamentos do SK-101</w:t>
              <w:br/>
              <w:t>casos_carga v1.0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Calculado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Completo (100%)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Nenhuma lacuna estrutural</w:t>
            </w:r>
          </w:p>
        </w:tc>
      </w:tr>
      <w:tr>
        <w:trPr>
          <w:cantSplit/>
        </w:trPr>
        <w:tc>
          <w:tcPr>
            <w:tcW w:type="dxa" w:w="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2</w:t>
            </w:r>
          </w:p>
        </w:tc>
        <w:tc>
          <w:tcPr>
            <w:tcW w:type="dxa" w:w="2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estática</w:t>
              <w:br/>
              <w:t>Estado plano de tensões na seção crítica P1</w:t>
              <w:br/>
              <w:t>analise_estatica v1.1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Atende</w:t>
            </w:r>
          </w:p>
        </w:tc>
        <w:tc>
          <w:tcPr>
            <w:tcW w:type="dxa" w:w="1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Completo (100%)</w:t>
            </w:r>
          </w:p>
        </w:tc>
        <w:tc>
          <w:tcPr>
            <w:tcW w:type="dxa" w:w="25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Nenhuma lacuna estrutural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3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de sensibilidade</w:t>
              <w:br/>
              <w:t>Robustez do fator de segurança em P1</w:t>
              <w:br/>
              <w:t>analise_sensibilidade v1.0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Atende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Completo (100%)</w:t>
            </w:r>
          </w:p>
        </w:tc>
        <w:tc>
          <w:tcPr>
            <w:tcW w:type="dxa" w:w="2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Nenhuma lacuna estrutural</w:t>
            </w:r>
          </w:p>
        </w:tc>
      </w:tr>
    </w:tbl>
    <w:p>
      <w:pPr>
        <w:spacing w:after="0"/>
      </w:pPr>
    </w:p>
    <w:p>
      <w:pPr>
        <w:pStyle w:val="Heading1"/>
      </w:pPr>
      <w:r>
        <w:t>10. Registros técnicos</w:t>
      </w:r>
    </w:p>
    <w:p>
      <w:r>
        <w:t>Cada registro abaixo preserva entradas, resultados, premissas, alertas e conclusão do módulo que o originou.</w:t>
      </w:r>
    </w:p>
    <w:p>
      <w:pPr>
        <w:pStyle w:val="Heading2"/>
      </w:pPr>
      <w:r>
        <w:t>10.1 Envelope dos carregamentos do SK-101</w:t>
      </w:r>
    </w:p>
    <w:p>
      <w:r>
        <w:t>Módulo: Casos de carga. Situação: Calculado.</w:t>
      </w:r>
    </w:p>
    <w:p>
      <w:r>
        <w:t>Combinações vetoriais de operação e teste com governante por componente.</w:t>
      </w:r>
    </w:p>
    <w:p>
      <w:r>
        <w:t>Método: Soma algébrica componente a componente com fatores explícitos. Integridade: 100%.</w:t>
      </w:r>
    </w:p>
    <w:p>
      <w:r>
        <w:t>Contrato: mecanica-toolkit/registro-tecnico/v2; módulo casos_carga v1.0; assinatura válida.</w:t>
      </w:r>
    </w:p>
    <w:p>
      <w:r>
        <w:t>Conclusão: O envelope preserva o cenário governante de cada componente.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Premissa: Eixos e ponto de referência comuns.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Premissa: Fatores usados apenas para demonstração.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Premissa: Cada linha do envelope pode ser governada por uma combinação diferente. Não use máximos independentes como um vetor simultâneo.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Critério: Não combinar máximos independentes como simultâneos.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Referência: LC-SK101-003 Rev. 1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Referência: MF-L101-005 Rev. 0</w:t>
      </w:r>
    </w:p>
    <w:p>
      <w:pPr>
        <w:pStyle w:val="MemorialFormula"/>
        <w:jc w:val="center"/>
        <w:shd w:fill="F4F6F9"/>
        <w:pBdr>
          <w:top w:val="single" w:sz="4" w:space="3" w:color="C9D4DE"/>
          <w:left w:val="single" w:sz="4" w:space="3" w:color="C9D4DE"/>
          <w:bottom w:val="single" w:sz="4" w:space="3" w:color="C9D4DE"/>
          <w:right w:val="single" w:sz="4" w:space="3" w:color="C9D4DE"/>
        </w:pBdr>
      </w:pPr>
      <w:r>
        <w:rPr>
          <w:rFonts w:ascii="Cambria Math" w:hAnsi="Cambria Math"/>
          <w:color w:val="0B2545"/>
          <w:sz w:val="21"/>
        </w:rPr>
        <w:t>R_j = Σ(γ_i · R_ij)</w:t>
      </w:r>
    </w:p>
    <w:p>
      <w:pPr>
        <w:pStyle w:val="MemorialCaption"/>
      </w:pPr>
      <w:r>
        <w:t>Entradas registradas.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3000"/>
        <w:gridCol w:w="636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Campo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Valor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Casos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LC-01; LC-02</w:t>
            </w:r>
          </w:p>
        </w:tc>
      </w:tr>
      <w:tr>
        <w:trPr>
          <w:cantSplit/>
        </w:trPr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Combinacoes</w:t>
            </w:r>
          </w:p>
        </w:tc>
        <w:tc>
          <w:tcPr>
            <w:tcW w:type="dxa" w:w="6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COMB-OP · operação simultânea; COMB-TESTE · carga vertical</w:t>
            </w:r>
          </w:p>
        </w:tc>
      </w:tr>
    </w:tbl>
    <w:p>
      <w:pPr>
        <w:spacing w:after="0"/>
      </w:pPr>
    </w:p>
    <w:p>
      <w:pPr>
        <w:pStyle w:val="MemorialCaption"/>
      </w:pPr>
      <w:r>
        <w:t>Resultados registrados.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3000"/>
        <w:gridCol w:w="636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Grandeza / critério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Valor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Total cenarios envelope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Fx envelope [kN]</w:t>
            </w:r>
          </w:p>
        </w:tc>
        <w:tc>
          <w:tcPr>
            <w:tcW w:type="dxa" w:w="6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30 kN | COMB-OP · operação simultânea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Fy envelope [kN]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-130 kN | COMB-TESTE · carga vertical</w:t>
            </w:r>
          </w:p>
        </w:tc>
      </w:tr>
      <w:tr>
        <w:trPr>
          <w:cantSplit/>
        </w:trPr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Fz envelope [kN]</w:t>
            </w:r>
          </w:p>
        </w:tc>
        <w:tc>
          <w:tcPr>
            <w:tcW w:type="dxa" w:w="6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0 kN | COMB-OP · operação simultânea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Mx envelope [kN·m]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15.6 kN·m | COMB-TESTE · carga vertical</w:t>
            </w:r>
          </w:p>
        </w:tc>
      </w:tr>
      <w:tr>
        <w:trPr>
          <w:cantSplit/>
        </w:trPr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My envelope [kN·m]</w:t>
            </w:r>
          </w:p>
        </w:tc>
        <w:tc>
          <w:tcPr>
            <w:tcW w:type="dxa" w:w="6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0 kN·m | COMB-OP · operação simultânea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Mz envelope [kN·m]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0 kN·m | COMB-OP · operação simultânea</w:t>
            </w:r>
          </w:p>
        </w:tc>
      </w:tr>
      <w:tr>
        <w:trPr>
          <w:cantSplit/>
        </w:trPr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Pressao envelope [bar]</w:t>
            </w:r>
          </w:p>
        </w:tc>
        <w:tc>
          <w:tcPr>
            <w:tcW w:type="dxa" w:w="6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0 bar | COMB-OP · operação simultânea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Delta temperatura envelope [°C]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80 °C | COMB-OP · operação simultânea</w:t>
            </w:r>
          </w:p>
        </w:tc>
      </w:tr>
    </w:tbl>
    <w:p>
      <w:pPr>
        <w:spacing w:after="0"/>
      </w:pPr>
    </w:p>
    <w:p>
      <w:pPr>
        <w:pStyle w:val="Heading2"/>
      </w:pPr>
      <w:r>
        <w:t>10.2 Estado plano de tensões na seção crítica P1</w:t>
      </w:r>
    </w:p>
    <w:p>
      <w:r>
        <w:t>Módulo: Análise estática. Situação: Atende.</w:t>
      </w:r>
    </w:p>
    <w:p>
      <w:r>
        <w:t>Verificação de von Mises para o caso de carga operacional governante.</w:t>
      </w:r>
    </w:p>
    <w:p>
      <w:r>
        <w:t>Método: Estado plano de tensões e critério de von Mises para material dúctil. Integridade: 100%.</w:t>
      </w:r>
    </w:p>
    <w:p>
      <w:r>
        <w:t>Contrato: mecanica-toolkit/registro-tecnico/v2; módulo analise_estatica v1.1; assinatura válida.</w:t>
      </w:r>
    </w:p>
    <w:p>
      <w:r>
        <w:t>Conclusão: O ponto P1 atende ao critério informado, com n = 2,266.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Premissa: Tensões extraídas no ponto P1 do caso operacional governante.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Premissa: Comportamento elástico linear e material isotrópico.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Critério: n ≥ 1,50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Referência: DE-SK101-004 Rev. 2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Referência: LC-SK101-003 Rev. 1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Referência: MTR-45821</w:t>
      </w:r>
    </w:p>
    <w:p>
      <w:pPr>
        <w:pStyle w:val="MemorialFormula"/>
        <w:jc w:val="center"/>
        <w:shd w:fill="F4F6F9"/>
        <w:pBdr>
          <w:top w:val="single" w:sz="4" w:space="3" w:color="C9D4DE"/>
          <w:left w:val="single" w:sz="4" w:space="3" w:color="C9D4DE"/>
          <w:bottom w:val="single" w:sz="4" w:space="3" w:color="C9D4DE"/>
          <w:right w:val="single" w:sz="4" w:space="3" w:color="C9D4DE"/>
        </w:pBdr>
      </w:pPr>
      <w:r>
        <w:rPr>
          <w:rFonts w:ascii="Cambria Math" w:hAnsi="Cambria Math"/>
          <w:color w:val="0B2545"/>
          <w:sz w:val="21"/>
        </w:rPr>
        <w:t>σvm = √(σx² − σxσy + σy² + 3τxy²)</w:t>
      </w:r>
    </w:p>
    <w:p>
      <w:pPr>
        <w:pStyle w:val="MemorialFormula"/>
        <w:jc w:val="center"/>
        <w:shd w:fill="F4F6F9"/>
        <w:pBdr>
          <w:top w:val="single" w:sz="4" w:space="3" w:color="C9D4DE"/>
          <w:left w:val="single" w:sz="4" w:space="3" w:color="C9D4DE"/>
          <w:bottom w:val="single" w:sz="4" w:space="3" w:color="C9D4DE"/>
          <w:right w:val="single" w:sz="4" w:space="3" w:color="C9D4DE"/>
        </w:pBdr>
      </w:pPr>
      <w:r>
        <w:rPr>
          <w:rFonts w:ascii="Cambria Math" w:hAnsi="Cambria Math"/>
          <w:color w:val="0B2545"/>
          <w:sz w:val="21"/>
        </w:rPr>
        <w:t>n = Sy / σvm</w:t>
      </w:r>
    </w:p>
    <w:p>
      <w:pPr>
        <w:pStyle w:val="MemorialCaption"/>
      </w:pPr>
      <w:r>
        <w:t>Entradas registradas.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3000"/>
        <w:gridCol w:w="636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Campo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Valor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Sigma x [MPa]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120</w:t>
            </w:r>
          </w:p>
        </w:tc>
      </w:tr>
      <w:tr>
        <w:trPr>
          <w:cantSplit/>
        </w:trPr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Sigma y [MPa]</w:t>
            </w:r>
          </w:p>
        </w:tc>
        <w:tc>
          <w:tcPr>
            <w:tcW w:type="dxa" w:w="6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30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Tau xy [MPa]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25</w:t>
            </w:r>
          </w:p>
        </w:tc>
      </w:tr>
      <w:tr>
        <w:trPr>
          <w:cantSplit/>
        </w:trPr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Sy [MPa]</w:t>
            </w:r>
          </w:p>
        </w:tc>
        <w:tc>
          <w:tcPr>
            <w:tcW w:type="dxa" w:w="6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285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Material id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00000000-0000-4000-8000-000000000103</w:t>
            </w:r>
          </w:p>
        </w:tc>
      </w:tr>
    </w:tbl>
    <w:p>
      <w:pPr>
        <w:spacing w:after="0"/>
      </w:pPr>
    </w:p>
    <w:p>
      <w:pPr>
        <w:pStyle w:val="MemorialCaption"/>
      </w:pPr>
      <w:r>
        <w:t>Resultados registrados.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3000"/>
        <w:gridCol w:w="6360"/>
      </w:tblGrid>
      <w:tr>
        <w:trPr>
          <w:cantSplit/>
          <w:tblHeader w:val="true"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Grandeza / critério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Valor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Von mises [MPa]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125,8</w:t>
            </w:r>
          </w:p>
        </w:tc>
      </w:tr>
      <w:tr>
        <w:trPr>
          <w:cantSplit/>
        </w:trPr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Fator seguranca</w:t>
            </w:r>
          </w:p>
        </w:tc>
        <w:tc>
          <w:tcPr>
            <w:tcW w:type="dxa" w:w="6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2,266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Fator seguranca minimo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1,5</w:t>
            </w:r>
          </w:p>
        </w:tc>
      </w:tr>
      <w:tr>
        <w:trPr>
          <w:cantSplit/>
        </w:trPr>
        <w:tc>
          <w:tcPr>
            <w:tcW w:type="dxa" w:w="3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Utilizacao maxima</w:t>
            </w:r>
          </w:p>
        </w:tc>
        <w:tc>
          <w:tcPr>
            <w:tcW w:type="dxa" w:w="63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0,4414</w:t>
            </w:r>
          </w:p>
        </w:tc>
      </w:tr>
    </w:tbl>
    <w:p>
      <w:pPr>
        <w:spacing w:after="0"/>
      </w:pPr>
    </w:p>
    <w:p>
      <w:pPr>
        <w:pStyle w:val="Heading1"/>
      </w:pPr>
      <w:r>
        <w:t>11. Sensibilidade, incertezas e robustez</w:t>
      </w:r>
    </w:p>
    <w:p>
      <w:r>
        <w:t>As análises abaixo mostram dependência local das entradas e, quando disponível, propagação probabilística das incertezas declaradas. Elas não corrigem limitações do modelo físico.</w:t>
      </w:r>
    </w:p>
    <w:p>
      <w:pPr>
        <w:pStyle w:val="Heading2"/>
      </w:pPr>
      <w:r>
        <w:t>11.1 Robustez do fator de segurança em P1</w:t>
      </w:r>
    </w:p>
    <w:p>
      <w:r>
        <w:t>OAT local e Monte Carlo sobre tensões e limite de escoamento.</w:t>
      </w:r>
    </w:p>
    <w:p>
      <w:r>
        <w:t>Resultado nominal: 2,4461 -. Faixa P05-P95: 2,1934 a 2,7249. Probabilidade de não atendimento: 0%.</w:t>
      </w:r>
    </w:p>
    <w:p>
      <w:r>
        <w:t>Conclusão: Limite de escoamento governa localmente; risco estimado de não atendimento = 0.00% para o critério n ≥ 1,50.</w:t>
      </w:r>
    </w:p>
    <w:p>
      <w:pPr>
        <w:pStyle w:val="MemorialNote"/>
        <w:shd w:fill="F4F6F9"/>
        <w:pBdr>
          <w:top w:val="single" w:sz="4" w:space="3" w:color="C9D4DE"/>
          <w:left w:val="single" w:sz="4" w:space="3" w:color="C9D4DE"/>
          <w:bottom w:val="single" w:sz="4" w:space="3" w:color="C9D4DE"/>
          <w:right w:val="single" w:sz="4" w:space="3" w:color="C9D4DE"/>
        </w:pBdr>
      </w:pPr>
      <w:r>
        <w:rPr>
          <w:rFonts w:ascii="Calibri" w:hAnsi="Calibri"/>
          <w:b/>
          <w:color w:val="0B2545"/>
          <w:sz w:val="19"/>
        </w:rPr>
        <w:t xml:space="preserve">Nota técnica. </w:t>
      </w:r>
      <w:r>
        <w:rPr>
          <w:rFonts w:ascii="Calibri" w:hAnsi="Calibri"/>
          <w:color w:val="26323D"/>
          <w:sz w:val="19"/>
        </w:rPr>
        <w:t>OAT ±10%; 3.000 amostras Monte Carlo; semente 42; entradas independentes.</w:t>
      </w:r>
    </w:p>
    <w:p>
      <w:pPr>
        <w:pStyle w:val="MemorialCaption"/>
      </w:pPr>
      <w:r>
        <w:t>Ranking por efeito OAT no intervalo informado.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3500"/>
        <w:gridCol w:w="1800"/>
        <w:gridCol w:w="1800"/>
        <w:gridCol w:w="2260"/>
      </w:tblGrid>
      <w:tr>
        <w:trPr>
          <w:cantSplit/>
          <w:tblHeader w:val="true"/>
        </w:trPr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Entrada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Impacto (%)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Elasticidade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Direção crítica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Limite de escoamento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20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1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reduzir</w:t>
            </w:r>
          </w:p>
        </w:tc>
      </w:tr>
      <w:tr>
        <w:trPr>
          <w:cantSplit/>
        </w:trPr>
        <w:tc>
          <w:tcPr>
            <w:tcW w:type="dxa" w:w="3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Tensão σx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18,668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-0,93339</w:t>
            </w:r>
          </w:p>
        </w:tc>
        <w:tc>
          <w:tcPr>
            <w:tcW w:type="dxa" w:w="2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aumentar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Cisalhamento τxy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2,758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-0,1379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aumentar</w:t>
            </w:r>
          </w:p>
        </w:tc>
      </w:tr>
      <w:tr>
        <w:trPr>
          <w:cantSplit/>
        </w:trPr>
        <w:tc>
          <w:tcPr>
            <w:tcW w:type="dxa" w:w="3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Tensão σy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1,3248</w:t>
            </w:r>
          </w:p>
        </w:tc>
        <w:tc>
          <w:tcPr>
            <w:tcW w:type="dxa" w:w="18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0,06624</w:t>
            </w:r>
          </w:p>
        </w:tc>
        <w:tc>
          <w:tcPr>
            <w:tcW w:type="dxa" w:w="2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5"/>
              </w:rPr>
              <w:t>reduzir</w:t>
            </w:r>
          </w:p>
        </w:tc>
      </w:tr>
    </w:tbl>
    <w:p>
      <w:pPr>
        <w:spacing w:after="0"/>
      </w:pPr>
    </w:p>
    <w:p>
      <w:pPr>
        <w:pStyle w:val="MemorialCaption"/>
      </w:pPr>
      <w:r>
        <w:t>Associação monotônica na simulação de Monte Carlo.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5200"/>
        <w:gridCol w:w="4160"/>
      </w:tblGrid>
      <w:tr>
        <w:trPr>
          <w:cantSplit/>
          <w:tblHeader w:val="true"/>
        </w:trPr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Entrada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Correlação de Spearman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Limite de escoamento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0,73603</w:t>
            </w:r>
          </w:p>
        </w:tc>
      </w:tr>
      <w:tr>
        <w:trPr>
          <w:cantSplit/>
        </w:trPr>
        <w:tc>
          <w:tcPr>
            <w:tcW w:type="dxa" w:w="5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Tensão σx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-0,64077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Cisalhamento τxy</w:t>
            </w:r>
          </w:p>
        </w:tc>
        <w:tc>
          <w:tcPr>
            <w:tcW w:type="dxa" w:w="4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-0,087005</w:t>
            </w:r>
          </w:p>
        </w:tc>
      </w:tr>
      <w:tr>
        <w:trPr>
          <w:cantSplit/>
        </w:trPr>
        <w:tc>
          <w:tcPr>
            <w:tcW w:type="dxa" w:w="52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Tensão σy</w:t>
            </w:r>
          </w:p>
        </w:tc>
        <w:tc>
          <w:tcPr>
            <w:tcW w:type="dxa" w:w="41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0,024399</w:t>
            </w:r>
          </w:p>
        </w:tc>
      </w:tr>
    </w:tbl>
    <w:p>
      <w:pPr>
        <w:spacing w:after="0"/>
      </w:pPr>
    </w:p>
    <w:p>
      <w:pPr>
        <w:pStyle w:val="Heading1"/>
      </w:pPr>
      <w:r>
        <w:t>12. Central de validação</w:t>
      </w:r>
    </w:p>
    <w:p>
      <w:r>
        <w:t>Prontidão: Pronto para revisão. Índice documental: 100%.</w:t>
      </w:r>
    </w:p>
    <w:p>
      <w:r>
        <w:t>O índice mede preenchimento e rastreabilidade no aplicativo. Não representa certificação, conformidade normativa ou aprovação de engenharia.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700"/>
        <w:gridCol w:w="1100"/>
        <w:gridCol w:w="1700"/>
        <w:gridCol w:w="2860"/>
        <w:gridCol w:w="3000"/>
      </w:tblGrid>
      <w:tr>
        <w:trPr>
          <w:cantSplit/>
          <w:tblHeader w:val="true"/>
        </w:trPr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ID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Severidade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Categoria / módulo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Achado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Ação recomendada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-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Informação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Validação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Nenhum achado automático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Manter revisão independente</w:t>
            </w:r>
          </w:p>
        </w:tc>
      </w:tr>
    </w:tbl>
    <w:p>
      <w:pPr>
        <w:spacing w:after="0"/>
      </w:pPr>
    </w:p>
    <w:p>
      <w:pPr>
        <w:pStyle w:val="Heading1"/>
      </w:pPr>
      <w:r>
        <w:t>13. Pendências e checklist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2300"/>
        <w:gridCol w:w="1100"/>
        <w:gridCol w:w="1300"/>
        <w:gridCol w:w="900"/>
        <w:gridCol w:w="1000"/>
        <w:gridCol w:w="800"/>
        <w:gridCol w:w="19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Item</w:t>
            </w:r>
          </w:p>
        </w:tc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Categoria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Responsável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Prazo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Estado</w:t>
            </w:r>
          </w:p>
        </w:tc>
        <w:tc>
          <w:tcPr>
            <w:tcW w:type="dxa" w:w="8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Crítico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3"/>
              </w:rPr>
              <w:t>Evidência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Conferência independente das entradas e da origem do material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Emissão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Engenheiro verificador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Antes da emissão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Concluído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Sim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3"/>
              </w:rPr>
              <w:t>LV-SK101-002</w:t>
            </w:r>
          </w:p>
        </w:tc>
      </w:tr>
    </w:tbl>
    <w:p>
      <w:pPr>
        <w:spacing w:after="0"/>
      </w:pPr>
    </w:p>
    <w:p>
      <w:pPr>
        <w:pStyle w:val="Heading1"/>
      </w:pPr>
      <w:r>
        <w:t>14. Conclusão e recomendações</w:t>
      </w:r>
    </w:p>
    <w:p>
      <w:r>
        <w:t>Situação automática: PRONTO PARA REVISÃO. A matriz automática não encontrou bloqueios; a revisão de engenharia continua obrigatória.</w:t>
      </w:r>
    </w:p>
    <w:p>
      <w:r>
        <w:t>A liberação depende da revisão de engenharia, da confirmação das fontes normativas e do encerramento formal dos bloqueios aplicáveis.</w:t>
      </w:r>
    </w:p>
    <w:p>
      <w:r>
        <w:t>Identificador reproduzível desta composição: SHA-256 7843277772cda357… O hash muda quando seleção, ordem, dados ou metadados mudam.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Confirmar que os carregamentos representam partida, parada, operação, manutenção e condições anormais aplicáveis.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Rastrear materiais, espessuras, geometria e condições de contorno aos documentos controlados.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Encerrar ou aceitar formalmente cada pendência, mantendo responsável e evidência.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  <w:color w:val="26323D"/>
          <w:sz w:val="22"/>
        </w:rPr>
        <w:t>Emitir nova revisão sempre que entradas, critérios ou resultados forem alterados.</w:t>
      </w:r>
    </w:p>
    <w:p>
      <w:pPr>
        <w:pStyle w:val="Heading1"/>
      </w:pPr>
      <w:r>
        <w:t>15. Integração com outras partes do projeto</w:t>
      </w:r>
    </w:p>
    <w:p>
      <w:r>
        <w:t>Use este registro para incorporar outras verificações ao mesmo memorial. Cada disciplina deve conservar código, revisão, responsável e conclusão próprios.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1700"/>
        <w:gridCol w:w="1700"/>
        <w:gridCol w:w="700"/>
        <w:gridCol w:w="1400"/>
        <w:gridCol w:w="1600"/>
        <w:gridCol w:w="22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Parte / módulo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Documento</w:t>
            </w:r>
          </w:p>
        </w:tc>
        <w:tc>
          <w:tcPr>
            <w:tcW w:type="dxa" w:w="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Rev.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Situação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Responsável</w:t>
            </w:r>
          </w:p>
        </w:tc>
        <w:tc>
          <w:tcPr>
            <w:tcW w:type="dxa" w:w="22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Observações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Casos de carga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MC-SK101-001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00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Calculado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Engenheiro responsável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O envelope preserva o cenário governante de cada componente.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Análise estática</w:t>
            </w:r>
          </w:p>
        </w:tc>
        <w:tc>
          <w:tcPr>
            <w:tcW w:type="dxa" w:w="1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MC-SK101-001</w:t>
            </w:r>
          </w:p>
        </w:tc>
        <w:tc>
          <w:tcPr>
            <w:tcW w:type="dxa" w:w="7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00</w:t>
            </w:r>
          </w:p>
        </w:tc>
        <w:tc>
          <w:tcPr>
            <w:tcW w:type="dxa" w:w="14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Atende</w:t>
            </w:r>
          </w:p>
        </w:tc>
        <w:tc>
          <w:tcPr>
            <w:tcW w:type="dxa" w:w="16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Engenheiro responsável</w:t>
            </w:r>
          </w:p>
        </w:tc>
        <w:tc>
          <w:tcPr>
            <w:tcW w:type="dxa" w:w="22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O ponto P1 atende ao critério informado, com n = 2,266.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Análise de sensibilidade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MC-SK101-001</w:t>
            </w:r>
          </w:p>
        </w:tc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00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Atende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Engenheiro responsável</w:t>
            </w:r>
          </w:p>
        </w:tc>
        <w:tc>
          <w:tcPr>
            <w:tcW w:type="dxa" w:w="2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6"/>
              </w:rPr>
              <w:t>Limite de escoamento governa localmente; risco estimado de não atendimento = 0.00% para o critério n ≥ 1,50.</w:t>
            </w:r>
          </w:p>
        </w:tc>
      </w:tr>
    </w:tbl>
    <w:p>
      <w:pPr>
        <w:spacing w:after="0"/>
      </w:pPr>
    </w:p>
    <w:p>
      <w:pPr>
        <w:pStyle w:val="Heading1"/>
      </w:pPr>
      <w:r>
        <w:t>16. Aprovações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1500"/>
        <w:gridCol w:w="2300"/>
        <w:gridCol w:w="3260"/>
        <w:gridCol w:w="230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Função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Nome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Assinatura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Data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Elaboração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Engenheiro responsável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-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Data: ____/____/________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Verificação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Engenheiro verificador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-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Data: ____/____/________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Aprovação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Gestor de engenharia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-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7"/>
              </w:rPr>
              <w:t>Data: ____/____/________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Apêndice A - Quadro completo de entradas e resultados</w:t>
      </w:r>
    </w:p>
    <w:p>
      <w:r>
        <w:t>Registro consolidado dos valores efetivamente usados. Campos manuais devem ser rastreáveis ao desenho, certificado, ensaio, norma ou hipótese de projeto.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  <w:tblBorders>
          <w:top w:val="single" w:sz="4" w:space="0" w:color="C9D4DE"/>
          <w:left w:val="single" w:sz="4" w:space="0" w:color="C9D4DE"/>
          <w:bottom w:val="single" w:sz="4" w:space="0" w:color="C9D4DE"/>
          <w:right w:val="single" w:sz="4" w:space="0" w:color="C9D4DE"/>
          <w:insideH w:val="single" w:sz="4" w:space="0" w:color="C9D4DE"/>
          <w:insideV w:val="single" w:sz="4" w:space="0" w:color="C9D4DE"/>
        </w:tblBorders>
      </w:tblPr>
      <w:tblGrid>
        <w:gridCol w:w="1000"/>
        <w:gridCol w:w="2500"/>
        <w:gridCol w:w="900"/>
        <w:gridCol w:w="1300"/>
        <w:gridCol w:w="900"/>
        <w:gridCol w:w="2760"/>
      </w:tblGrid>
      <w:tr>
        <w:trPr>
          <w:cantSplit/>
          <w:tblHeader w:val="true"/>
        </w:trPr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Grupo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Grandeza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Símbolo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Valor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Unid.</w:t>
            </w:r>
          </w:p>
        </w:tc>
        <w:tc>
          <w:tcPr>
            <w:tcW w:type="dxa" w:w="27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keepNext/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4"/>
              </w:rPr>
              <w:t>Observação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Casos de carga - Entradas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Casos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LC-01; LC-02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Envelope dos carregamentos do SK-101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Casos de carga - Entradas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Combinacoes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COMB-OP · operação simultânea; COMB-TESTE · carga vertical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Envelope dos carregamentos do SK-101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Casos de carga - Resultados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Total cenarios envelope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2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Envelope dos carregamentos do SK-101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Casos de carga - Resultados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Fx envelope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30 kN | COMB-OP · operação simultânea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kN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Envelope dos carregamentos do SK-101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Casos de carga - Resultados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Fy envelope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-130 kN | COMB-TESTE · carga vertical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kN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Envelope dos carregamentos do SK-101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Casos de carga - Resultados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Fz envelope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 kN | COMB-OP · operação simultânea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kN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Envelope dos carregamentos do SK-101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Casos de carga - Resultados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Mx envelope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15.6 kN·m | COMB-TESTE · carga vertical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kN·m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Envelope dos carregamentos do SK-101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Casos de carga - Resultados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My envelope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 kN·m | COMB-OP · operação simultânea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kN·m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Envelope dos carregamentos do SK-101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Casos de carga - Resultados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Mz envelope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 kN·m | COMB-OP · operação simultânea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kN·m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Envelope dos carregamentos do SK-101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Casos de carga - Resultados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Pressao envelope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 bar | COMB-OP · operação simultânea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bar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Envelope dos carregamentos do SK-101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Casos de carga - Resultados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Delta temperatura envelope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80 °C | COMB-OP · operação simultânea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°C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Envelope dos carregamentos do SK-101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estática - Entradas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Sigma x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120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MPa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Estado plano de tensões na seção crítica P1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estática - Entradas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Sigma y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30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MPa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Estado plano de tensões na seção crítica P1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estática - Entradas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Tau xy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25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MPa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Estado plano de tensões na seção crítica P1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estática - Entradas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Sy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285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MPa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Estado plano de tensões na seção crítica P1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estática - Entradas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Material id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00000000-0000-4000-8000-000000000103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Estado plano de tensões na seção crítica P1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estática - Resultados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Von mises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125,8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MPa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Estado plano de tensões na seção crítica P1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estática - Resultados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Fator seguranca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2,266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Estado plano de tensões na seção crítica P1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estática - Resultados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Fator seguranca minimo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1,5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Estado plano de tensões na seção crítica P1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estática - Resultados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Utilizacao maxima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0,4414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Estado plano de tensões na seção crítica P1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de sensibilidade - Entradas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Sigma x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120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MPa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Robustez do fator de segurança em P1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de sensibilidade - Entradas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Sigma y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30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MPa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Robustez do fator de segurança em P1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de sensibilidade - Entradas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Tau xy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25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MPa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Robustez do fator de segurança em P1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de sensibilidade - Entradas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Sy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285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MPa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Robustez do fator de segurança em P1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de sensibilidade - Incertezas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Sigma x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8% · Uniforme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MPa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Faixa/distribuição declarada; conferir o registro permanente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de sensibilidade - Incertezas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Sigma y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8% · Uniforme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MPa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Faixa/distribuição declarada; conferir o registro permanente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de sensibilidade - Incertezas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Tau xy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10% · Uniforme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MPa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Faixa/distribuição declarada; conferir o registro permanente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de sensibilidade - Incertezas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Sy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5% · Normal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MPa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Faixa/distribuição declarada; conferir o registro permanente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de sensibilidade - Entradas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Registro origem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00000000-0000-4000-8000-000000000104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Robustez do fator de segurança em P1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de sensibilidade - Resultados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Saida nominal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2,4461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Robustez do fator de segurança em P1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de sensibilidade - Resultados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Unidade saida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Robustez do fator de segurança em P1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de sensibilidade - Resultados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Variavel governante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Limite de escoamento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Robustez do fator de segurança em P1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de sensibilidade - Resultados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Impacto governante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20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%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Robustez do fator de segurança em P1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de sensibilidade - Resultados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P05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2,1934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Robustez do fator de segurança em P1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de sensibilidade - Resultados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P50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2,4417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Robustez do fator de segurança em P1</w:t>
            </w:r>
          </w:p>
        </w:tc>
      </w:tr>
      <w:tr>
        <w:trPr>
          <w:cantSplit/>
        </w:trPr>
        <w:tc>
          <w:tcPr>
            <w:tcW w:type="dxa" w:w="10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de sensibilidade - Resultados</w:t>
            </w:r>
          </w:p>
        </w:tc>
        <w:tc>
          <w:tcPr>
            <w:tcW w:type="dxa" w:w="25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P95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2,7249</w:t>
            </w:r>
          </w:p>
        </w:tc>
        <w:tc>
          <w:tcPr>
            <w:tcW w:type="dxa" w:w="90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276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Robustez do fator de segurança em P1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Análise de sensibilidade - Resultados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Probabilidade nao atendimento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-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0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%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color w:val="26323D"/>
                <w:sz w:val="14"/>
              </w:rPr>
              <w:t>Robustez do fator de segurança em P1</w:t>
            </w:r>
          </w:p>
        </w:tc>
      </w:tr>
    </w:tbl>
    <w:p>
      <w:pPr>
        <w:spacing w:after="0"/>
      </w:pPr>
    </w:p>
    <w:p>
      <w:pPr>
        <w:pStyle w:val="Heading1"/>
      </w:pPr>
      <w:r>
        <w:t>Apêndice B - Estrutura mínima para novas partes</w:t>
      </w:r>
    </w:p>
    <w:p>
      <w:r>
        <w:t>Ao acrescentar outra disciplina, mantenha a sequência abaixo para preservar o padrão: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26323D"/>
          <w:sz w:val="22"/>
        </w:rPr>
        <w:t>Objetivo e escopo da parte adicionada.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26323D"/>
          <w:sz w:val="22"/>
        </w:rPr>
        <w:t>Referências, normas e propriedades adotadas.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26323D"/>
          <w:sz w:val="22"/>
        </w:rPr>
        <w:t>Premissas, unidades, combinações e limitações.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26323D"/>
          <w:sz w:val="22"/>
        </w:rPr>
        <w:t>Dados de entrada com origem rastreável.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26323D"/>
          <w:sz w:val="22"/>
        </w:rPr>
        <w:t>Equações, substituições numéricas e resultados intermediários.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26323D"/>
          <w:sz w:val="22"/>
        </w:rPr>
        <w:t>Critérios de aceitação, conclusão e recomendações.</w:t>
      </w:r>
    </w:p>
    <w:p>
      <w:pPr>
        <w:spacing w:before="0" w:after="160" w:line="280" w:lineRule="auto"/>
        <w:numPr>
          <w:ilvl w:val="0"/>
          <w:numId w:val="11"/>
        </w:numPr>
      </w:pPr>
      <w:r>
        <w:rPr>
          <w:rFonts w:ascii="Calibri" w:hAnsi="Calibri"/>
          <w:color w:val="26323D"/>
          <w:sz w:val="22"/>
        </w:rPr>
        <w:t>Responsável, verificador, código e revisão da parte.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000"/>
      <w:gridCol w:w="3360"/>
    </w:tblGrid>
    <w:tr>
      <w:trPr>
        <w:cantSplit/>
      </w:trPr>
      <w:tc>
        <w:tcPr>
          <w:tcW w:type="dxa" w:w="6000"/>
          <w:tcMar>
            <w:top w:w="0" w:type="dxa"/>
            <w:bottom w:w="0" w:type="dxa"/>
            <w:start w:w="0" w:type="dxa"/>
            <w:end w:w="0" w:type="dxa"/>
          </w:tcMar>
          <w:vAlign w:val="center"/>
        </w:tcPr>
        <w:p>
          <w:pPr>
            <w:spacing w:before="0" w:after="0" w:line="252" w:lineRule="auto"/>
            <w:jc w:val="left"/>
          </w:pPr>
          <w:r/>
          <w:r>
            <w:rPr>
              <w:rFonts w:ascii="Calibri" w:hAnsi="Calibri"/>
              <w:b w:val="0"/>
              <w:color w:val="5F6B76"/>
              <w:sz w:val="15"/>
            </w:rPr>
            <w:t>Documento editável - conferir código, revisão e aprovações antes da emissão.</w:t>
          </w:r>
        </w:p>
      </w:tc>
      <w:tc>
        <w:tcPr>
          <w:tcW w:type="dxa" w:w="3360"/>
          <w:tcMar>
            <w:top w:w="0" w:type="dxa"/>
            <w:bottom w:w="0" w:type="dxa"/>
            <w:start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alibri" w:hAnsi="Calibri"/>
              <w:color w:val="5F6B76"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rFonts w:ascii="Calibri" w:hAnsi="Calibri"/>
              <w:color w:val="5F6B76"/>
              <w:sz w:val="16"/>
            </w:rPr>
            <w:t>1</w:t>
          </w:r>
          <w:r>
            <w:fldChar w:fldCharType="end"/>
          </w:r>
          <w:r>
            <w:rPr>
              <w:rFonts w:ascii="Calibri" w:hAnsi="Calibri"/>
              <w:color w:val="5F6B76"/>
              <w:sz w:val="16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rFonts w:ascii="Calibri" w:hAnsi="Calibri"/>
              <w:color w:val="5F6B76"/>
              <w:sz w:val="16"/>
            </w:rPr>
            <w:t>1</w:t>
          </w:r>
          <w: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600"/>
      <w:gridCol w:w="3760"/>
    </w:tblGrid>
    <w:tr>
      <w:trPr>
        <w:cantSplit/>
      </w:trPr>
      <w:tc>
        <w:tcPr>
          <w:tcW w:type="dxa" w:w="5600"/>
          <w:tcMar>
            <w:top w:w="0" w:type="dxa"/>
            <w:bottom w:w="0" w:type="dxa"/>
            <w:start w:w="0" w:type="dxa"/>
            <w:end w:w="0" w:type="dxa"/>
          </w:tcMar>
          <w:vAlign w:val="center"/>
        </w:tcPr>
        <w:p>
          <w:pPr>
            <w:spacing w:before="0" w:after="0" w:line="252" w:lineRule="auto"/>
            <w:jc w:val="left"/>
          </w:pPr>
          <w:r/>
          <w:r>
            <w:rPr>
              <w:rFonts w:ascii="Calibri" w:hAnsi="Calibri"/>
              <w:b/>
              <w:color w:val="0B2545"/>
              <w:sz w:val="16"/>
            </w:rPr>
            <w:t>MECÂNICA TOOLKIT | MEMORIAL DE CÁLCULO</w:t>
          </w:r>
        </w:p>
      </w:tc>
      <w:tc>
        <w:tcPr>
          <w:tcW w:type="dxa" w:w="3760"/>
          <w:tcMar>
            <w:top w:w="0" w:type="dxa"/>
            <w:bottom w:w="0" w:type="dxa"/>
            <w:start w:w="0" w:type="dxa"/>
            <w:end w:w="0" w:type="dxa"/>
          </w:tcMar>
          <w:vAlign w:val="center"/>
        </w:tcPr>
        <w:p>
          <w:pPr>
            <w:spacing w:before="0" w:after="0" w:line="252" w:lineRule="auto"/>
            <w:jc w:val="right"/>
          </w:pPr>
          <w:r/>
          <w:r>
            <w:rPr>
              <w:rFonts w:ascii="Calibri" w:hAnsi="Calibri"/>
              <w:b w:val="0"/>
              <w:color w:val="5F6B76"/>
              <w:sz w:val="16"/>
            </w:rPr>
            <w:t>MC-SK101-001 | REV. 00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b w:val="0"/>
      <w:color w:val="26323D"/>
      <w:sz w:val="22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5F6B76"/>
      <w:spacing w:val="15"/>
      <w:sz w:val="25"/>
      <w:szCs w:val="24"/>
      <w:lang w:val="pt-B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morialKicker">
    <w:name w:val="Memorial Kicker"/>
    <w:pPr>
      <w:spacing w:before="0" w:after="40" w:line="252" w:lineRule="auto"/>
    </w:pPr>
    <w:rPr>
      <w:rFonts w:ascii="Calibri" w:hAnsi="Calibri"/>
      <w:b/>
      <w:color w:val="2E74B5"/>
      <w:sz w:val="19"/>
      <w:lang w:val="pt-BR"/>
    </w:rPr>
  </w:style>
  <w:style w:type="paragraph" w:customStyle="1" w:styleId="MemorialFormula">
    <w:name w:val="Memorial Formula"/>
    <w:pPr>
      <w:keepLines/>
      <w:spacing w:before="0" w:after="80" w:line="252" w:lineRule="auto"/>
      <w:ind w:left="115" w:right="115"/>
    </w:pPr>
    <w:rPr>
      <w:rFonts w:ascii="Calibri" w:hAnsi="Calibri"/>
      <w:b w:val="0"/>
      <w:color w:val="0B2545"/>
      <w:sz w:val="21"/>
      <w:lang w:val="pt-BR"/>
    </w:rPr>
  </w:style>
  <w:style w:type="paragraph" w:customStyle="1" w:styleId="MemorialNote">
    <w:name w:val="Memorial Note"/>
    <w:pPr>
      <w:spacing w:before="0" w:after="80" w:line="252" w:lineRule="auto"/>
    </w:pPr>
    <w:rPr>
      <w:rFonts w:ascii="Calibri" w:hAnsi="Calibri"/>
      <w:b w:val="0"/>
      <w:color w:val="26323D"/>
      <w:sz w:val="19"/>
      <w:lang w:val="pt-BR"/>
    </w:rPr>
  </w:style>
  <w:style w:type="paragraph" w:customStyle="1" w:styleId="MemorialCaption">
    <w:name w:val="Memorial Caption"/>
    <w:pPr>
      <w:spacing w:before="0" w:after="80" w:line="252" w:lineRule="auto"/>
    </w:pPr>
    <w:rPr>
      <w:rFonts w:ascii="Calibri" w:hAnsi="Calibri"/>
      <w:b w:val="0"/>
      <w:color w:val="5F6B76"/>
      <w:sz w:val="17"/>
      <w:lang w:val="pt-BR"/>
    </w:rPr>
  </w:style>
  <w:style w:type="paragraph" w:customStyle="1" w:styleId="MemorialTable">
    <w:name w:val="Memorial Table"/>
    <w:pPr>
      <w:spacing w:before="0" w:after="80" w:line="252" w:lineRule="auto"/>
    </w:pPr>
    <w:rPr>
      <w:rFonts w:ascii="Calibri" w:hAnsi="Calibri"/>
      <w:b w:val="0"/>
      <w:color w:val="26323D"/>
      <w:sz w:val="17"/>
      <w:lang w:val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unificado de cálculo industrial</dc:title>
  <dc:subject>Escopo, materiais, cálculos, sensibilidade, validação e aprovações</dc:subject>
  <dc:creator>Engenheiro responsável</dc:creator>
  <cp:keywords>memorial de cálculo; engenharia mecânica; verificação; revisão</cp:keywords>
  <dc:description>Documento gerado pelo Mecânica Toolkit em estrutura editável e padronizada.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