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8A6412"/>
          <w:sz w:val="21"/>
        </w:rPr>
        <w:t>架构入门指南 · 2026-07-31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17324D"/>
          <w:sz w:val="58"/>
        </w:rPr>
        <w:t>为什么这个 CEX 量化交易平台</w:t>
        <w:br/>
        <w:t>要这样设计</w:t>
      </w:r>
    </w:p>
    <w:p>
      <w:pPr>
        <w:spacing w:after="160"/>
        <w:jc w:val="center"/>
      </w:pPr>
      <w:r>
        <w:rPr>
          <w:rFonts w:ascii="Calibri" w:hAnsi="Calibri" w:eastAsia="Microsoft YaHei"/>
          <w:color w:val="1F4D78"/>
          <w:sz w:val="28"/>
        </w:rPr>
        <w:t>从“策略脚本”到可恢复、可审计的交易基础设施</w:t>
      </w:r>
    </w:p>
    <w:p>
      <w:pPr>
        <w:spacing w:after="600"/>
        <w:jc w:val="center"/>
      </w:pPr>
      <w:r>
        <w:rPr>
          <w:rFonts w:ascii="Calibri" w:hAnsi="Calibri" w:eastAsia="Microsoft YaHei"/>
          <w:i/>
          <w:color w:val="68737D"/>
          <w:sz w:val="21"/>
        </w:rPr>
        <w:t>面向 IT 技术与交易知识入门读者</w:t>
      </w:r>
    </w:p>
    <w:p>
      <w:pPr>
        <w:keepLines/>
        <w:spacing w:before="120" w:after="160" w:line="288" w:lineRule="auto"/>
        <w:ind w:left="173" w:right="173"/>
        <w:shd w:fill="FFF6DE"/>
        <w:pBdr>
          <w:top w:val="single" w:sz="8" w:space="5" w:color="8A6412"/>
          <w:left w:val="single" w:sz="8" w:space="5" w:color="8A6412"/>
          <w:bottom w:val="single" w:sz="8" w:space="5" w:color="8A6412"/>
          <w:right w:val="single" w:sz="8" w:space="5" w:color="8A6412"/>
        </w:pBdr>
      </w:pPr>
      <w:r>
        <w:rPr>
          <w:rFonts w:ascii="Calibri" w:hAnsi="Calibri" w:eastAsia="Microsoft YaHei"/>
          <w:b/>
          <w:color w:val="8A6412"/>
        </w:rPr>
        <w:t xml:space="preserve">一句话定位  </w:t>
      </w:r>
      <w:r>
        <w:rPr>
          <w:rFonts w:ascii="Calibri" w:hAnsi="Calibri" w:eastAsia="Microsoft YaHei"/>
          <w:color w:val="263238"/>
        </w:rPr>
        <w:t>它不是一个已经可以直接投放真实资金的“套利机器人”，而是一套先把交易事实、风险、执行、恢复和财务解释分清，再承载具体策略的 CEX 交易基础设施。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3120"/>
        <w:gridCol w:w="3120"/>
        <w:gridCol w:w="3120"/>
      </w:tblGrid>
      <w:tr>
        <w:trPr>
          <w:cantSplit w:val="true"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F"/>
          </w:tcPr>
          <w:p>
            <w:pPr>
              <w:spacing w:before="80" w:after="80"/>
              <w:jc w:val="center"/>
            </w:pPr>
            <w:r>
              <w:rPr>
                <w:rFonts w:ascii="Calibri" w:hAnsi="Calibri" w:eastAsia="Microsoft YaHei"/>
                <w:b/>
                <w:color w:val="2E6B4F"/>
                <w:sz w:val="18"/>
              </w:rPr>
              <w:t>Kernel v1</w:t>
              <w:br/>
            </w:r>
            <w:r>
              <w:rPr>
                <w:rFonts w:ascii="Calibri" w:hAnsi="Calibri" w:eastAsia="Microsoft YaHei"/>
                <w:color w:val="263238"/>
                <w:sz w:val="19"/>
              </w:rPr>
              <w:t>核心契约已冻结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80" w:after="8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Carry</w:t>
              <w:br/>
            </w:r>
            <w:r>
              <w:rPr>
                <w:rFonts w:ascii="Calibri" w:hAnsi="Calibri" w:eastAsia="Microsoft YaHei"/>
                <w:color w:val="263238"/>
                <w:sz w:val="19"/>
              </w:rPr>
              <w:t>离线应用已完成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CEC"/>
          </w:tcPr>
          <w:p>
            <w:pPr>
              <w:spacing w:before="80" w:after="80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External Execution</w:t>
              <w:br/>
            </w:r>
            <w:r>
              <w:rPr>
                <w:rFonts w:ascii="Calibri" w:hAnsi="Calibri" w:eastAsia="Microsoft YaHei"/>
                <w:color w:val="263238"/>
                <w:sz w:val="19"/>
              </w:rPr>
              <w:t>Testnet / 实盘仍阻断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Microsoft YaHei"/>
          <w:i/>
          <w:color w:val="68737D"/>
          <w:sz w:val="18"/>
        </w:rPr>
        <w:t>文档性质：帮助理解设计，不替代 ADR、接口规范、开发进度或上线授权。</w:t>
      </w:r>
    </w:p>
    <w:p>
      <w:r>
        <w:br w:type="page"/>
      </w:r>
    </w:p>
    <w:p>
      <w:pPr>
        <w:pStyle w:val="Heading1"/>
        <w:keepNext/>
      </w:pPr>
      <w:r>
        <w:t>阅读导航</w:t>
      </w:r>
    </w:p>
    <w:p>
      <w:r>
        <w:rPr>
          <w:rFonts w:ascii="Calibri" w:hAnsi="Calibri" w:eastAsia="Microsoft YaHei"/>
          <w:i w:val="0"/>
        </w:rPr>
        <w:t>如果你刚接触量化交易，可以先读第 1、2、5 节；如果你在评估技术路线，重点读第 4、6、7 节；如果你准备参与开发或上线，必须继续阅读第 8 节和仓库中的规范文档。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为什么“同时订阅两个行情、再下两个单”还不等于可靠套利。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平台从行情事实到风险审批、订单执行和财务归因的完整链路。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八个看似复杂、实则为处理真实故障而存在的设计原则。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以 BTC 现货 + 永续合约 Funding Carry 为例的端到端说明。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与 vn.py 的公平对比：各自擅长什么、代价是什么、适合谁。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当前完成度、仍被阻断的能力，以及最快上线的下一步。</w:t>
      </w:r>
    </w:p>
    <w:p>
      <w:pPr>
        <w:keepLines/>
        <w:spacing w:before="120" w:after="160" w:line="288" w:lineRule="auto"/>
        <w:ind w:left="173" w:right="173"/>
        <w:shd w:fill="F4F6F9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Microsoft YaHei"/>
          <w:b/>
          <w:color w:val="2E74B5"/>
        </w:rPr>
        <w:t xml:space="preserve">先记住四句话  </w:t>
      </w:r>
      <w:r>
        <w:rPr>
          <w:rFonts w:ascii="Calibri" w:hAnsi="Calibri" w:eastAsia="Microsoft YaHei"/>
          <w:color w:val="263238"/>
        </w:rPr>
        <w:t>行情不是持仓；持仓不是订单；订单成交不是策略成功；预计收益不是实际入账。平台的很多模块，正是为了让这些概念在故障、重启和审计时仍不会混淆。</w:t>
      </w:r>
    </w:p>
    <w:p>
      <w:pPr>
        <w:pStyle w:val="Heading1"/>
        <w:keepNext/>
      </w:pPr>
      <w:r>
        <w:t>1. 为什么不能只写一个策略脚本</w:t>
      </w:r>
    </w:p>
    <w:p>
      <w:r>
        <w:rPr>
          <w:rFonts w:ascii="Calibri" w:hAnsi="Calibri" w:eastAsia="Microsoft YaHei"/>
          <w:i w:val="0"/>
        </w:rPr>
        <w:t>在最简单的演示中，资金费套利似乎只有两步：买入 BTC 现货，同时卖出等量 BTC 永续合约。若两边价格变化相互抵消，再定期收取 Funding，就形成 Delta 接近中性的 Carry。</w:t>
      </w:r>
    </w:p>
    <w:p>
      <w:r>
        <w:rPr>
          <w:rFonts w:ascii="Calibri" w:hAnsi="Calibri" w:eastAsia="Microsoft YaHei"/>
          <w:i w:val="0"/>
        </w:rPr>
        <w:t>真实市场却会立刻提出一连串“脚本之外”的问题：两条行情是否来自同一时间截面？第一腿成交、第二腿拒绝怎么办？提交请求超时后，订单究竟没发出，还是已经成交？进程重启后怎样恢复？Funding 是预测值还是交易所已经结算的现金？</w:t>
      </w:r>
    </w:p>
    <w:p>
      <w:pPr>
        <w:keepLines/>
        <w:spacing w:before="120" w:after="160" w:line="288" w:lineRule="auto"/>
        <w:ind w:left="173" w:right="173"/>
        <w:shd w:fill="EAF4EF"/>
        <w:pBdr>
          <w:top w:val="single" w:sz="8" w:space="5" w:color="2E6B4F"/>
          <w:left w:val="single" w:sz="8" w:space="5" w:color="2E6B4F"/>
          <w:bottom w:val="single" w:sz="8" w:space="5" w:color="2E6B4F"/>
          <w:right w:val="single" w:sz="8" w:space="5" w:color="2E6B4F"/>
        </w:pBdr>
      </w:pPr>
      <w:r>
        <w:rPr>
          <w:rFonts w:ascii="Calibri" w:hAnsi="Calibri" w:eastAsia="Microsoft YaHei"/>
          <w:b/>
          <w:color w:val="2E6B4F"/>
        </w:rPr>
        <w:t xml:space="preserve">最关键的区别  </w:t>
      </w:r>
      <w:r>
        <w:rPr>
          <w:rFonts w:ascii="Calibri" w:hAnsi="Calibri" w:eastAsia="Microsoft YaHei"/>
          <w:color w:val="263238"/>
        </w:rPr>
        <w:t>策略负责提出经济目标和应对政策；平台负责维护合法、可恢复、可审计的执行事实。策略可以说“我要 Spot +10、Perp -10”，但不能把两个网络请求当成一个原子操作。</w:t>
      </w:r>
    </w:p>
    <w:p>
      <w:pPr>
        <w:pStyle w:val="Heading2"/>
        <w:keepNext/>
      </w:pPr>
      <w:r>
        <w:t>1.1 一个生活化比喻</w:t>
      </w:r>
    </w:p>
    <w:p>
      <w:r>
        <w:rPr>
          <w:rFonts w:ascii="Calibri" w:hAnsi="Calibri" w:eastAsia="Microsoft YaHei"/>
          <w:i w:val="0"/>
        </w:rPr>
        <w:t>把组合交易想成银行转账：你真正的目标是“甲账户减少 100 元、乙账户增加 100 元”。如果系统只执行了第一步，就不能把任务标成成功；如果网络超时，也不能盲目再扣一次。可靠交易平台所做的事情，很像银行为每一步建立身份、状态、凭证、对账和恢复流程。</w:t>
      </w:r>
    </w:p>
    <w:p>
      <w:pPr>
        <w:pStyle w:val="Heading2"/>
        <w:keepNext/>
      </w:pPr>
      <w:r>
        <w:t>1.2 两腿只是 N 腿的第一个例子</w:t>
      </w:r>
    </w:p>
    <w:p>
      <w:r>
        <w:rPr>
          <w:rFonts w:ascii="Calibri" w:hAnsi="Calibri" w:eastAsia="Microsoft YaHei"/>
          <w:i w:val="0"/>
        </w:rPr>
        <w:t>平台没有分别开发 TwoLegOMS、ThreeLegOMS。它使用通用 Basket 表达多个绝对目标，因此两腿 Funding Carry、三腿期权价差加 Delta 对冲、更多腿的跨期限组合，都复用同一个 N-leg 执行控制基础。应用不同，底层安全语义不随腿数改变。</w:t>
      </w:r>
    </w:p>
    <w:p>
      <w:pPr>
        <w:pStyle w:val="Heading1"/>
        <w:keepNext/>
      </w:pPr>
      <w:r>
        <w:t>2. 整体架构：一条从事实到收益的链路</w:t>
      </w:r>
    </w:p>
    <w:p>
      <w:r>
        <w:rPr>
          <w:rFonts w:ascii="Calibri" w:hAnsi="Calibri" w:eastAsia="Microsoft YaHei"/>
          <w:i w:val="0"/>
        </w:rPr>
        <w:t>平台采用 Python-first、强类型、不可变契约和单写者状态模型。网络 I/O 可以异步，但关键领域状态的更新顺序必须明确、可重复。它使用事件记录事实，却不依赖“哪个异步事件先到”来替代跨市场一致性。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33249"/>
            <wp:docPr id="1" name="Picture 1" descr="CEX量化交易平台从市场事实到可审计收益的主链路架构图" title="平台主链路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3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68737D"/>
          <w:sz w:val="18"/>
        </w:rPr>
        <w:t>图 1  平台主链路及事实回流。应用输出经济意图，外部副作用由平台边界控制。</w:t>
      </w:r>
    </w:p>
    <w:p>
      <w:pPr>
        <w:pStyle w:val="Heading2"/>
        <w:keepNext/>
      </w:pPr>
      <w:r>
        <w:t>2.1 每层只拥有一种真相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700"/>
        <w:gridCol w:w="4300"/>
        <w:gridCol w:w="33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层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通俗解释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明确不负责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Market Data / State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交易所说市场发生了什么，并维护可读取状态。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不计算 IV、Greeks；不决定交易。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Features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从事实推导指标，如波动率、Greeks、波动率曲面。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不伪装成原始行情；不下单。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Snapshot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把市场、账户、持仓、健康状态组成同一决策证据。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不拥有这些来源状态。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Application / Strategy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判断想达到什么经济目标。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不创建订单、不拿执行许可、不调用交易所。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Portfolio Risk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判断整个目标是否允许，并声明资源占用。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不决定先下哪条腿、如何追单。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OMS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管理 Parent / Child 订单及执行事实。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不判断策略是否 Hedged，不计算收益。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Execution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把规范命令翻译成交易所请求。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不成为订单或账户的权威状态。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Portfolio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持有账户、余额、Margin 和有效持仓真相。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不保存完整交易历史，不定义策略成功。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Accounting</w:t>
            </w:r>
          </w:p>
        </w:tc>
        <w:tc>
          <w:tcPr>
            <w:tcW w:type="dxa" w:w="43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记录交易、费用、Funding 等财务事实并归因。</w:t>
            </w:r>
          </w:p>
        </w:tc>
        <w:tc>
          <w:tcPr>
            <w:tcW w:type="dxa" w:w="33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不把预测 Funding 当作入账。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八个独特设计，以及它们为什么必要</w:t>
      </w:r>
    </w:p>
    <w:p>
      <w:pPr>
        <w:pStyle w:val="Heading2"/>
        <w:keepNext/>
      </w:pPr>
      <w:r>
        <w:t>3.1 行情事实与衍生特征分离</w:t>
      </w:r>
    </w:p>
    <w:p>
      <w:r>
        <w:rPr>
          <w:rFonts w:ascii="Calibri" w:hAnsi="Calibri" w:eastAsia="Microsoft YaHei"/>
          <w:i w:val="0"/>
        </w:rPr>
        <w:t>可观察的期权报价、标记价格和 Funding Rate 是 Market Data；由模型计算的隐含波动率、Greeks、Smile、期限结构和波动率曲面属于 Features。这样可以追踪模型版本、来源和质量，也避免把交易所提供的分析值误当成内部权威。</w:t>
      </w:r>
    </w:p>
    <w:p>
      <w:pPr>
        <w:pStyle w:val="Heading2"/>
        <w:keepNext/>
      </w:pPr>
      <w:r>
        <w:t>3.2 决策依赖一致性快照，而非事件到达顺序</w:t>
      </w:r>
    </w:p>
    <w:p>
      <w:r>
        <w:rPr>
          <w:rFonts w:ascii="Calibri" w:hAnsi="Calibri" w:eastAsia="Microsoft YaHei"/>
          <w:i w:val="0"/>
        </w:rPr>
        <w:t>资金费套利需要同时看现货、永续、Funding、余额、持仓、Margin、时钟和健康状态。Snapshot 为每个来源记录身份、时间、质量和有效期；若证据过期、来源不一致或超出允许偏差，系统应拒绝决策，而不是把“最新收到的几个值”拼在一起。</w:t>
      </w:r>
    </w:p>
    <w:p>
      <w:pPr>
        <w:pStyle w:val="Heading2"/>
        <w:keepNext/>
      </w:pPr>
      <w:r>
        <w:t>3.3 经济意图与订单分离</w:t>
      </w:r>
    </w:p>
    <w:p>
      <w:pPr>
        <w:spacing w:before="100" w:after="140" w:line="264" w:lineRule="auto"/>
        <w:ind w:left="230" w:right="230"/>
        <w:shd w:fill="F7F9FB"/>
        <w:keepLines/>
        <w:pBdr>
          <w:top w:val="single" w:sz="5" w:space="5" w:color="D7DEE5"/>
          <w:left w:val="single" w:sz="5" w:space="5" w:color="D7DEE5"/>
          <w:bottom w:val="single" w:sz="5" w:space="5" w:color="D7DEE5"/>
          <w:right w:val="single" w:sz="5" w:space="5" w:color="D7DEE5"/>
        </w:pBdr>
      </w:pPr>
      <w:r>
        <w:rPr>
          <w:rFonts w:ascii="Consolas" w:hAnsi="Consolas" w:eastAsia="Microsoft YaHei"/>
          <w:color w:val="17324D"/>
          <w:sz w:val="18"/>
        </w:rPr>
        <w:t>经济目标：BasketTargetIntent</w:t>
        <w:br/>
      </w:r>
      <w:r>
        <w:rPr>
          <w:rFonts w:ascii="Consolas" w:hAnsi="Consolas" w:eastAsia="Microsoft YaHei"/>
          <w:color w:val="17324D"/>
          <w:sz w:val="18"/>
        </w:rPr>
        <w:t xml:space="preserve">  BTC Spot  = +10 BTC</w:t>
        <w:br/>
      </w:r>
      <w:r>
        <w:rPr>
          <w:rFonts w:ascii="Consolas" w:hAnsi="Consolas" w:eastAsia="Microsoft YaHei"/>
          <w:color w:val="17324D"/>
          <w:sz w:val="18"/>
        </w:rPr>
        <w:t xml:space="preserve">  BTC Perp  = -10 BTC</w:t>
        <w:br/>
      </w:r>
      <w:r>
        <w:rPr>
          <w:rFonts w:ascii="Consolas" w:hAnsi="Consolas" w:eastAsia="Microsoft YaHei"/>
          <w:color w:val="17324D"/>
          <w:sz w:val="18"/>
        </w:rPr>
        <w:br/>
      </w:r>
      <w:r>
        <w:rPr>
          <w:rFonts w:ascii="Consolas" w:hAnsi="Consolas" w:eastAsia="Microsoft YaHei"/>
          <w:color w:val="17324D"/>
          <w:sz w:val="18"/>
        </w:rPr>
        <w:t>执行动作：OrderGroup → ExecutionAction → ChildOrderAttempt</w:t>
      </w:r>
    </w:p>
    <w:p>
      <w:r>
        <w:rPr>
          <w:rFonts w:ascii="Calibri" w:hAnsi="Calibri" w:eastAsia="Microsoft YaHei"/>
          <w:i w:val="0"/>
        </w:rPr>
        <w:t>Basket 描述最终想达到的持仓，而不是规定“先买、再卖”或交易所参数。OMS 才把经济目标变成可跟踪的执行组。这样一套风险和执行内核可以服务两腿、三腿和更多腿，也不会出现 Funding 特化分支污染底层。</w:t>
      </w:r>
    </w:p>
    <w:p>
      <w:pPr>
        <w:pStyle w:val="Heading2"/>
        <w:keepNext/>
      </w:pPr>
      <w:r>
        <w:t>3.4 整篮子审批不等于每一步都有执行权</w:t>
      </w:r>
    </w:p>
    <w:p>
      <w:r>
        <w:rPr>
          <w:rFonts w:ascii="Calibri" w:hAnsi="Calibri" w:eastAsia="Microsoft YaHei"/>
          <w:i w:val="0"/>
        </w:rPr>
        <w:t>Portfolio Risk 可以批准整个 Basket，但外部市场会改变：价格、持仓、Margin、工作订单、健康状态都可能使原审批失效。于是每个改变风险敞口的 ExecutionAction 还必须持有与组版本、动作身份和有效期精确匹配的 Permit。</w:t>
      </w:r>
    </w:p>
    <w:p>
      <w:pPr>
        <w:keepLines/>
        <w:spacing w:before="120" w:after="160" w:line="288" w:lineRule="auto"/>
        <w:ind w:left="173" w:right="173"/>
        <w:shd w:fill="FCECEC"/>
        <w:pBdr>
          <w:top w:val="single" w:sz="8" w:space="5" w:color="9B1C1C"/>
          <w:left w:val="single" w:sz="8" w:space="5" w:color="9B1C1C"/>
          <w:bottom w:val="single" w:sz="8" w:space="5" w:color="9B1C1C"/>
          <w:right w:val="single" w:sz="8" w:space="5" w:color="9B1C1C"/>
        </w:pBdr>
      </w:pPr>
      <w:r>
        <w:rPr>
          <w:rFonts w:ascii="Calibri" w:hAnsi="Calibri" w:eastAsia="Microsoft YaHei"/>
          <w:b/>
          <w:color w:val="9B1C1C"/>
        </w:rPr>
        <w:t xml:space="preserve">核心公式  </w:t>
      </w:r>
      <w:r>
        <w:rPr>
          <w:rFonts w:ascii="Calibri" w:hAnsi="Calibri" w:eastAsia="Microsoft YaHei"/>
          <w:color w:val="263238"/>
        </w:rPr>
        <w:t>Basket Approval ≠ Execution Permission。前者批准经济目标，后者只授权一次具体、可识别、未过期的风险变化动作。</w:t>
      </w:r>
    </w:p>
    <w:p>
      <w:pPr>
        <w:pStyle w:val="Heading2"/>
        <w:keepNext/>
      </w:pPr>
      <w:r>
        <w:t>3.5 外部 I/O 之前先持久化</w:t>
      </w:r>
    </w:p>
    <w:p>
      <w:r>
        <w:rPr>
          <w:rFonts w:ascii="Calibri" w:hAnsi="Calibri" w:eastAsia="Microsoft YaHei"/>
          <w:i w:val="0"/>
        </w:rPr>
        <w:t>系统必须先持久记录动作、Permit 消耗和 SUBMITTING 状态，再调用交易所。否则进程可能在“已发单、未记账”的狭窄窗口崩溃，重启后无法判断是否应该重试。这个原则同时约束单腿和多腿执行。</w:t>
      </w:r>
    </w:p>
    <w:p>
      <w:pPr>
        <w:pStyle w:val="Heading2"/>
        <w:keepNext/>
      </w:pPr>
      <w:r>
        <w:t>3.6 UNKNOWN 不是失败</w:t>
      </w:r>
    </w:p>
    <w:p>
      <w:r>
        <w:rPr>
          <w:rFonts w:ascii="Calibri" w:hAnsi="Calibri" w:eastAsia="Microsoft YaHei"/>
          <w:i w:val="0"/>
        </w:rPr>
        <w:t>请求超时只能说明本地没有拿到确定结果，不能证明交易所没有收到。系统把这种情况置为 RECOVERY_REQUIRED，通过 client order ID、查询、私有流和对账恢复事实；禁止盲目创建替代经济动作或复用可能已经提交的身份。</w:t>
      </w:r>
    </w:p>
    <w:p>
      <w:pPr>
        <w:pStyle w:val="Heading2"/>
        <w:keepNext/>
      </w:pPr>
      <w:r>
        <w:t>3.7 OMS、Portfolio、Accounting 是三种不同真相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/>
        </w:rPr>
        <w:t>OMS 真相：</w:t>
      </w:r>
      <w:r>
        <w:rPr>
          <w:rFonts w:ascii="Calibri" w:hAnsi="Calibri" w:eastAsia="Microsoft YaHei"/>
        </w:rPr>
        <w:t>创建、提交、成交、拒绝、取消、未知等执行事实。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/>
        </w:rPr>
        <w:t>Portfolio 真相：</w:t>
      </w:r>
      <w:r>
        <w:rPr>
          <w:rFonts w:ascii="Calibri" w:hAnsi="Calibri" w:eastAsia="Microsoft YaHei"/>
        </w:rPr>
        <w:t>账户当前有效持仓、余额、Margin 和清算参考。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b/>
        </w:rPr>
        <w:t>Accounting 真相：</w:t>
      </w:r>
      <w:r>
        <w:rPr>
          <w:rFonts w:ascii="Calibri" w:hAnsi="Calibri" w:eastAsia="Microsoft YaHei"/>
        </w:rPr>
        <w:t>实际发生的交易、手续费、Funding 结算、估值与 PnL 归因。</w:t>
      </w:r>
    </w:p>
    <w:p>
      <w:r>
        <w:rPr>
          <w:rFonts w:ascii="Calibri" w:hAnsi="Calibri" w:eastAsia="Microsoft YaHei"/>
          <w:i w:val="0"/>
        </w:rPr>
        <w:t>订单 fill 可能早于账户持仓更新，账户更新也可能早于财务结算；将它们混成一个状态，重启和对账时就会失去依据。</w:t>
      </w:r>
    </w:p>
    <w:p>
      <w:pPr>
        <w:pStyle w:val="Heading2"/>
        <w:keepNext/>
      </w:pPr>
      <w:r>
        <w:t>3.8 应用拥有自己的业务状态，但没有平台权限</w:t>
      </w:r>
    </w:p>
    <w:p>
      <w:r>
        <w:rPr>
          <w:rFonts w:ascii="Calibri" w:hAnsi="Calibri" w:eastAsia="Microsoft YaHei"/>
          <w:i w:val="0"/>
        </w:rPr>
        <w:t>Carry 可以拥有 PROPOSED、OPENING、ACTIVE、CLOSING、CLOSED 等经济生命周期，以及 UNHEDGED、PARTIALLY_HEDGED、HEDGED 等解释状态。但它不能直接下单、发 Permit 或改 OMS。未来 CTA、做市和期权应用可以拥有不同状态，不必继承一个“万能 ApplicationState”。</w:t>
      </w:r>
    </w:p>
    <w:p>
      <w:pPr>
        <w:pStyle w:val="Heading1"/>
        <w:keepNext/>
      </w:pPr>
      <w:r>
        <w:t>4. Funding Carry 场景：平台如何处理真实不确定性</w:t>
      </w:r>
    </w:p>
    <w:p>
      <w:pPr>
        <w:pStyle w:val="Heading2"/>
        <w:keepNext/>
      </w:pPr>
      <w:r>
        <w:t>4.1 正常开仓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Snapshot 证明现货、永续、Funding、持仓和 Margin 证据足够新且相互一致。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Carry 应用根据纯经济政策产生 BasketTargetIntent：Spot +10、Perp -10。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Portfolio Risk 对完整 Basket 投影 Delta、Gross Notional、Margin 和资源占用。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OMS 建立 OrderGroup，产生受 Permit 约束的具体执行动作。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Execution 通过 Binance Spot / USD-M 适配器提交；成交事实回到 OMS。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账户事实回到 Portfolio；只有有效持仓证明组合已对冲后，Carry 才能进入 HEDGED / ACTIVE。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手续费与实际 Funding 结算进入 Accounting，形成可解释净 PnL。</w:t>
      </w:r>
    </w:p>
    <w:p>
      <w:pPr>
        <w:pStyle w:val="Heading2"/>
        <w:keepNext/>
      </w:pPr>
      <w:r>
        <w:t>4.2 第一腿成交、第二腿未成交</w:t>
      </w:r>
    </w:p>
    <w:p>
      <w:pPr>
        <w:spacing w:before="100" w:after="140" w:line="264" w:lineRule="auto"/>
        <w:ind w:left="230" w:right="230"/>
        <w:shd w:fill="FCECEC"/>
        <w:keepLines/>
        <w:pBdr>
          <w:top w:val="single" w:sz="5" w:space="5" w:color="D7DEE5"/>
          <w:left w:val="single" w:sz="5" w:space="5" w:color="D7DEE5"/>
          <w:bottom w:val="single" w:sz="5" w:space="5" w:color="D7DEE5"/>
          <w:right w:val="single" w:sz="5" w:space="5" w:color="D7DEE5"/>
        </w:pBdr>
      </w:pPr>
      <w:r>
        <w:rPr>
          <w:rFonts w:ascii="Consolas" w:hAnsi="Consolas" w:eastAsia="Microsoft YaHei"/>
          <w:color w:val="17324D"/>
          <w:sz w:val="18"/>
        </w:rPr>
        <w:t>目标：Spot +10 / Perp -10</w:t>
        <w:br/>
      </w:r>
      <w:r>
        <w:rPr>
          <w:rFonts w:ascii="Consolas" w:hAnsi="Consolas" w:eastAsia="Microsoft YaHei"/>
          <w:color w:val="17324D"/>
          <w:sz w:val="18"/>
        </w:rPr>
        <w:t>实际：Spot +10 / Perp  -7</w:t>
        <w:br/>
      </w:r>
      <w:r>
        <w:rPr>
          <w:rFonts w:ascii="Consolas" w:hAnsi="Consolas" w:eastAsia="Microsoft YaHei"/>
          <w:color w:val="17324D"/>
          <w:sz w:val="18"/>
        </w:rPr>
        <w:t>残余：+3 BTC Delta（示意）</w:t>
      </w:r>
    </w:p>
    <w:p>
      <w:r>
        <w:rPr>
          <w:rFonts w:ascii="Calibri" w:hAnsi="Calibri" w:eastAsia="Microsoft YaHei"/>
          <w:i w:val="0"/>
        </w:rPr>
        <w:t>此时 OMS 只陈述每条腿的事实；Portfolio Risk 根据有效持仓与工作订单判断剩余风险；Carry 把业务状态解释为 PARTIALLY_HEDGED。下一步是新的受控恢复提案，而不是在 OMS 内写“如果 strategy == funding 就自动补腿”。</w:t>
      </w:r>
    </w:p>
    <w:p>
      <w:pPr>
        <w:pStyle w:val="Heading2"/>
        <w:keepNext/>
      </w:pPr>
      <w:r>
        <w:t>4.3 提交超时</w:t>
      </w:r>
    </w:p>
    <w:p>
      <w:r>
        <w:rPr>
          <w:rFonts w:ascii="Calibri" w:hAnsi="Calibri" w:eastAsia="Microsoft YaHei"/>
          <w:i w:val="0"/>
        </w:rPr>
        <w:t>如果 Perp 下单请求 timeout-after-send，系统不能立即再卖 10 BTC。它进入 UNKNOWN / RECOVERY_REQUIRED，查询相同 client order ID，并结合私有订单流和账户事实完成对账。只有事实明确后，才允许继续。</w:t>
      </w:r>
    </w:p>
    <w:p>
      <w:pPr>
        <w:pStyle w:val="Heading2"/>
        <w:keepNext/>
      </w:pPr>
      <w:r>
        <w:t>4.4 重启恢复</w:t>
      </w:r>
    </w:p>
    <w:p>
      <w:r>
        <w:rPr>
          <w:rFonts w:ascii="Calibri" w:hAnsi="Calibri" w:eastAsia="Microsoft YaHei"/>
          <w:i w:val="0"/>
        </w:rPr>
        <w:t>重启不是“重新跑一遍策略”。系统需要从 Execution Journal、OMS Journal、Risk Journal、Carry Journal、Portfolio 和交易所查询重建状态；身份冲突、Permit 不一致或未知结果都应 fail closed。也就是说，系统宁可暂停并要求恢复，也不能靠猜测继续扩大风险。</w:t>
      </w:r>
    </w:p>
    <w:p>
      <w:pPr>
        <w:pStyle w:val="Heading2"/>
        <w:keepNext/>
      </w:pPr>
      <w:r>
        <w:t>4.5 收益如何解释</w:t>
      </w:r>
    </w:p>
    <w:p>
      <w:r>
        <w:rPr>
          <w:rFonts w:ascii="Calibri" w:hAnsi="Calibri" w:eastAsia="Microsoft YaHei"/>
          <w:i w:val="0"/>
        </w:rPr>
        <w:t>Funding Rate 只是市场观察，不能直接记为收入。实际收益至少要区分交易 PnL、实际 Funding 结算、手续费、借贷成本和滑点。Accounting 接收经过认证的财务事实，Carry 只读取归因结果并维护自己的 Financial State。</w:t>
      </w:r>
    </w:p>
    <w:p>
      <w:pPr>
        <w:spacing w:before="100" w:after="140" w:line="264" w:lineRule="auto"/>
        <w:ind w:left="230" w:right="230"/>
        <w:shd w:fill="F7F9FB"/>
        <w:keepLines/>
        <w:pBdr>
          <w:top w:val="single" w:sz="5" w:space="5" w:color="D7DEE5"/>
          <w:left w:val="single" w:sz="5" w:space="5" w:color="D7DEE5"/>
          <w:bottom w:val="single" w:sz="5" w:space="5" w:color="D7DEE5"/>
          <w:right w:val="single" w:sz="5" w:space="5" w:color="D7DEE5"/>
        </w:pBdr>
      </w:pPr>
      <w:r>
        <w:rPr>
          <w:rFonts w:ascii="Consolas" w:hAnsi="Consolas" w:eastAsia="Microsoft YaHei"/>
          <w:color w:val="17324D"/>
          <w:sz w:val="18"/>
        </w:rPr>
        <w:t>Net PnL</w:t>
        <w:br/>
      </w:r>
      <w:r>
        <w:rPr>
          <w:rFonts w:ascii="Consolas" w:hAnsi="Consolas" w:eastAsia="Microsoft YaHei"/>
          <w:color w:val="17324D"/>
          <w:sz w:val="18"/>
        </w:rPr>
        <w:t xml:space="preserve">  = Trading / Basis PnL</w:t>
        <w:br/>
      </w:r>
      <w:r>
        <w:rPr>
          <w:rFonts w:ascii="Consolas" w:hAnsi="Consolas" w:eastAsia="Microsoft YaHei"/>
          <w:color w:val="17324D"/>
          <w:sz w:val="18"/>
        </w:rPr>
        <w:t xml:space="preserve">  + Actual Funding Settlement</w:t>
        <w:br/>
      </w:r>
      <w:r>
        <w:rPr>
          <w:rFonts w:ascii="Consolas" w:hAnsi="Consolas" w:eastAsia="Microsoft YaHei"/>
          <w:color w:val="17324D"/>
          <w:sz w:val="18"/>
        </w:rPr>
        <w:t xml:space="preserve">  - Trading Fees</w:t>
        <w:br/>
      </w:r>
      <w:r>
        <w:rPr>
          <w:rFonts w:ascii="Consolas" w:hAnsi="Consolas" w:eastAsia="Microsoft YaHei"/>
          <w:color w:val="17324D"/>
          <w:sz w:val="18"/>
        </w:rPr>
        <w:t xml:space="preserve">  - Borrow Cost</w:t>
        <w:br/>
      </w:r>
      <w:r>
        <w:rPr>
          <w:rFonts w:ascii="Consolas" w:hAnsi="Consolas" w:eastAsia="Microsoft YaHei"/>
          <w:color w:val="17324D"/>
          <w:sz w:val="18"/>
        </w:rPr>
        <w:t xml:space="preserve">  - Slippage</w:t>
      </w:r>
    </w:p>
    <w:p>
      <w:pPr>
        <w:pStyle w:val="Heading1"/>
        <w:keepNext/>
      </w:pPr>
      <w:r>
        <w:t>5. 与 vn.py 的公平对比</w:t>
      </w:r>
    </w:p>
    <w:p>
      <w:r>
        <w:rPr>
          <w:rFonts w:ascii="Calibri" w:hAnsi="Calibri" w:eastAsia="Microsoft YaHei"/>
          <w:i w:val="0"/>
        </w:rPr>
        <w:t>vn.py 是成熟的 Python 量化交易平台，强调事件驱动、多交易接口和开箱即用的应用生态。官方项目和文档展示了 CTA、回测、价差交易、组合策略、期权管理、风险管理等能力。它非常适合快速接入市场、研究策略和使用现成 GUI / App。</w:t>
      </w:r>
    </w:p>
    <w:p>
      <w:pPr>
        <w:keepLines/>
        <w:spacing w:before="120" w:after="160" w:line="288" w:lineRule="auto"/>
        <w:ind w:left="173" w:right="173"/>
        <w:shd w:fill="FFF6DE"/>
        <w:pBdr>
          <w:top w:val="single" w:sz="8" w:space="5" w:color="8A6412"/>
          <w:left w:val="single" w:sz="8" w:space="5" w:color="8A6412"/>
          <w:bottom w:val="single" w:sz="8" w:space="5" w:color="8A6412"/>
          <w:right w:val="single" w:sz="8" w:space="5" w:color="8A6412"/>
        </w:pBdr>
      </w:pPr>
      <w:r>
        <w:rPr>
          <w:rFonts w:ascii="Calibri" w:hAnsi="Calibri" w:eastAsia="Microsoft YaHei"/>
          <w:b/>
          <w:color w:val="8A6412"/>
        </w:rPr>
        <w:t xml:space="preserve">比较原则  </w:t>
      </w:r>
      <w:r>
        <w:rPr>
          <w:rFonts w:ascii="Calibri" w:hAnsi="Calibri" w:eastAsia="Microsoft YaHei"/>
          <w:color w:val="263238"/>
        </w:rPr>
        <w:t>本项目的优势不是“vn.py 做不到多合约或期权”。真正差异是：本项目把组合经济目标、逐动作授权、持久化交接、UNKNOWN 恢复、三类真相与审计证据提升为通用内核契约；代价是工程更重、生态更小、上线前门禁更多。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1320"/>
        <w:gridCol w:w="4020"/>
        <w:gridCol w:w="4020"/>
      </w:tblGrid>
      <w:tr>
        <w:trPr>
          <w:tblHeader w:val="true"/>
          <w:cantSplit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维度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vn.py（依据官方资料）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本项目当前设计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首要目标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成熟、通用的量化交易平台；通过网关和 App 快速落地多类交易。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面向 CEX 的安全执行基础设施；先冻结权责、恢复和审计语义，再开放应用。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运行风格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以 EventEngine / MainEngine 为核心的事件驱动架构。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事件记录事实；核心状态转换强调同步、确定顺序和可重放，跨源决策使用一致性 Snapshot。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策略接口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CTA 等 App 提供回调与 buy/sell/short/cover；同一策略类可用于实盘和回测。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策略 / 应用输出 venue-neutral Intent；不能直接获得交易所 I/O 权限。SDK Lite 被保留但暂缓。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多合约 / 多腿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PortfolioStrategy 支持多合约目标；SpreadTrading 支持公式化价差、主动腿和被动腿对冲。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通用 N-leg BasketTargetIntent + Parent OrderGroup；不把两腿、三腿或 Funding 写死在内核。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风险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RiskManager 提供流控、单笔量、总成交、活动委托、撤单等交易前检查。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对完整 Basket 做 Portfolio 投影和资源声明；每个风险变化动作还需精确 Permit。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故障与恢复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成熟生态具备订单、网关和应用运行机制；具体恢复能力依赖网关 / App 的实现与部署。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durable-before-I/O、UNKNOWN ≠ failure、身份不可盲目复用、Journal replay 与 fail-closed 是冻结语义。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期权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OptionMaster 提供 IV 曲线、Greeks、压力测试和自动 Delta 对冲等应用能力。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可观察报价在 Market Data；IV / Greeks / 曲面在 Features；期权应用执行仍属后续范围。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会计与 PnL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不同 App 可提供交易统计与分析，生态侧重点是交易应用和研究使用。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Accounting 是独立真相域：实际 Funding、费用、估值、对账和 PnL 归因不由策略或 OMS 推断。</w:t>
            </w:r>
          </w:p>
        </w:tc>
      </w:tr>
      <w:tr>
        <w:trPr>
          <w:cantSplit w:val="true"/>
        </w:trPr>
        <w:tc>
          <w:tcPr>
            <w:tcW w:type="dxa" w:w="13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生态与成熟度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网关、GUI、App、社区和使用资料明显更成熟，适合快速上手。</w:t>
            </w:r>
          </w:p>
        </w:tc>
        <w:tc>
          <w:tcPr>
            <w:tcW w:type="dxa" w:w="402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当前是单仓库、窄场景、离线内核；Testnet / 实盘未授权，研究平台和 UI 仍不成熟。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本项目相对突出的优点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组合目标是一等公民：风险、执行、恢复和核算围绕同一个经济目标建立身份链。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故障语义明确：超时、未知、重启、部分成交和身份冲突都有“不可猜测”的处理原则。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审计链更完整：决策证据、政策版本、Permit、动作、子订单、账户事实与财务事实可以关联。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避免策略污染底座：Funding、CTA、做市、期权应用复用协议，不把特化分支写进 OMS / Risk。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精度和时间语义严格：定点数避免浮点金额误差；纳秒时间戳用于身份与排序，但不等于系统已经达到纳秒延迟。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可恢复性优先：每个权威状态有单写者和持久事实，重启后能按身份重建。</w:t>
      </w:r>
    </w:p>
    <w:p>
      <w:pPr>
        <w:pStyle w:val="Heading2"/>
        <w:keepNext/>
      </w:pPr>
      <w:r>
        <w:t>5.2 必须承认的代价和不足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学习曲线更陡：Intent、Basket、Permit、Journal、Snapshot 等概念多于普通策略脚本。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首个策略上线更慢：安全门禁和故障注入测试需要额外工程时间。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生态远不及 vn.py：交易网关数量、GUI、社区、示例、回测工具和研究体验仍明显不足。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当前没有外部执行授权：离线实现和测试通过，不等于 Binance Testnet 或真实资金可用。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Kernel v1 的抽象仍需首个闭环检验：真实交易所行为可能暴露需要局部修复的组合接缝。</w:t>
      </w:r>
    </w:p>
    <w:p>
      <w:pPr>
        <w:pStyle w:val="Heading2"/>
        <w:keepNext/>
      </w:pPr>
      <w:r>
        <w:t>5.3 如何选择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3900"/>
        <w:gridCol w:w="5460"/>
      </w:tblGrid>
      <w:tr>
        <w:trPr>
          <w:tblHeader w:val="true"/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你的主要目标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更合适的起点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快速连接多个市场、用成熟 App / GUI 研究和运行常见策略</w:t>
            </w:r>
          </w:p>
        </w:tc>
        <w:tc>
          <w:tcPr>
            <w:tcW w:type="dxa" w:w="54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优先评估 vn.py。它减少基础设施自建成本。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围绕 CEX 组合策略建立长期、安全、可审计、可恢复的专用平台</w:t>
            </w:r>
          </w:p>
        </w:tc>
        <w:tc>
          <w:tcPr>
            <w:tcW w:type="dxa" w:w="54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本项目的设计取向更匹配，但需要承担工程和运维成本。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既需要成熟生态，又重视特定风险控制</w:t>
            </w:r>
          </w:p>
        </w:tc>
        <w:tc>
          <w:tcPr>
            <w:tcW w:type="dxa" w:w="54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可以借鉴 vn.py 的应用体验或网关思想，但必须通过清晰适配层集成，不能混合权威状态。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当前完成度：内核已成形，但还不是可投真钱系统</w:t>
      </w:r>
    </w:p>
    <w:p>
      <w:r>
        <w:rPr>
          <w:rFonts w:ascii="Calibri" w:hAnsi="Calibri" w:eastAsia="Microsoft YaHei"/>
          <w:i w:val="0"/>
        </w:rPr>
        <w:t>截至 2026-07-31，ADR-009 至 ADR-014 已形成 Kernel v1 兼容性冻结：Snapshot、Basket、Parent Order Group、Portfolio Risk、Accounting 和 Carry Application 的核心边界已经建立并完成离线实现 / 验收。ADR-013 的离线实现已纳入冻结，但最终外部文档验收仍是独立门禁。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2500"/>
        <w:gridCol w:w="2200"/>
        <w:gridCol w:w="46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能力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当前状态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通俗解释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行情、状态、特征、单腿执行基线</w:t>
            </w:r>
          </w:p>
        </w:tc>
        <w:tc>
          <w:tcPr>
            <w:tcW w:type="dxa" w:w="22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已实现并回归</w:t>
            </w:r>
          </w:p>
        </w:tc>
        <w:tc>
          <w:tcPr>
            <w:tcW w:type="dxa" w:w="46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已具备规范数据、状态、策略、风险、OMS、Binance 适配和恢复基础。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N-leg Basket + OrderGroup + Portfolio Risk</w:t>
            </w:r>
          </w:p>
        </w:tc>
        <w:tc>
          <w:tcPr>
            <w:tcW w:type="dxa" w:w="22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离线已实现</w:t>
            </w:r>
          </w:p>
        </w:tc>
        <w:tc>
          <w:tcPr>
            <w:tcW w:type="dxa" w:w="46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组合目标、执行组和风险授权内核存在，但外部 grouped submit 被硬阻断。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Financial Ledger / PnL</w:t>
            </w:r>
          </w:p>
        </w:tc>
        <w:tc>
          <w:tcPr>
            <w:tcW w:type="dxa" w:w="22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离线已实现；最终外部验收待闭合</w:t>
            </w:r>
          </w:p>
        </w:tc>
        <w:tc>
          <w:tcPr>
            <w:tcW w:type="dxa" w:w="46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可记录和归因财务事实，不代表实盘结算已验证。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Carry Application</w:t>
            </w:r>
          </w:p>
        </w:tc>
        <w:tc>
          <w:tcPr>
            <w:tcW w:type="dxa" w:w="22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离线已验收</w:t>
            </w:r>
          </w:p>
        </w:tc>
        <w:tc>
          <w:tcPr>
            <w:tcW w:type="dxa" w:w="46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能从 Snapshot 产生 Basket 并维护应用状态，但不能直接下单。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Binance grouped Testnet</w:t>
            </w:r>
          </w:p>
        </w:tc>
        <w:tc>
          <w:tcPr>
            <w:tcW w:type="dxa" w:w="22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未授权 / 未验收</w:t>
            </w:r>
          </w:p>
        </w:tc>
        <w:tc>
          <w:tcPr>
            <w:tcW w:type="dxa" w:w="46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需要独立批准、Testnet 凭证、时钟、账户和恢复证据。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真实资金</w:t>
            </w:r>
          </w:p>
        </w:tc>
        <w:tc>
          <w:tcPr>
            <w:tcW w:type="dxa" w:w="220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未授权</w:t>
            </w:r>
          </w:p>
        </w:tc>
        <w:tc>
          <w:tcPr>
            <w:tcW w:type="dxa" w:w="4660"/>
          </w:tcPr>
          <w:p>
            <w:pPr>
              <w:keepLines/>
              <w:spacing w:before="20" w:after="40" w:line="276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必须经过 Shadow、Live Readiness 和受限 Micro-Live 门禁。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</w:rPr>
        <w:t>项目最新记录的离线基线为：467 个回归测试、141 个子测试、39 个验收场景、85.11% 分支覆盖率，以及 Ruff 和 strict MyPy 通过。它们证明离线确定性基础，不证明目标服务器性能、交易所协议实况或真实资金安全。</w:t>
      </w:r>
    </w:p>
    <w:p>
      <w:pPr>
        <w:pStyle w:val="Heading1"/>
        <w:keepNext/>
      </w:pPr>
      <w:r>
        <w:t>7. 最快上线的下一步：不扩内核，闭合第一条真实链路</w:t>
      </w:r>
    </w:p>
    <w:p>
      <w:r>
        <w:rPr>
          <w:rFonts w:ascii="Calibri" w:hAnsi="Calibri" w:eastAsia="Microsoft YaHei"/>
          <w:i w:val="0"/>
        </w:rPr>
        <w:t>当前产品目标已缩小为 Binance 单账户、BTC Spot + USD-M Perpetual、固定数量的 Funding Carry MVP。已实现能力全部保留，但 CTA、跨所套利、期权执行、做市、多账户、通用回放 / Paper 平台和完整 SDK 暂缓。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T045 — Execution Promotion Composition Audit：画清 Basket → Risk → OMS → Execution → Portfolio → Accounting → Carry 的真实调用、身份与单写者关系。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T046 — 离线故障注入运行时：模拟双腿成交、部分成交、拒绝、timeout-after-send、Permit 失效、重启和对账乱序。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A018 — 离线闭环验收：在完全无外部 I/O 的条件下证明整条链路可恢复、可解释。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A019 — Binance grouped Testnet：只有在明确授权、凭证与运行条件齐备后才开放。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T050 / A020 — 运维 Lite、Shadow 与 Live Readiness：最小监控、停止新风险、时钟、日志、备份和恢复演练。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</w:rPr>
        <w:t>A021 — Controlled Micro-Live：项目所有者明确批准账户、数量、最大损失、时间窗和退出条件后，才允许一笔受限真实闭环。</w:t>
      </w:r>
    </w:p>
    <w:p>
      <w:pPr>
        <w:keepLines/>
        <w:spacing w:before="120" w:after="160" w:line="288" w:lineRule="auto"/>
        <w:ind w:left="173" w:right="173"/>
        <w:shd w:fill="EAF4EF"/>
        <w:pBdr>
          <w:top w:val="single" w:sz="8" w:space="5" w:color="2E6B4F"/>
          <w:left w:val="single" w:sz="8" w:space="5" w:color="2E6B4F"/>
          <w:bottom w:val="single" w:sz="8" w:space="5" w:color="2E6B4F"/>
          <w:right w:val="single" w:sz="8" w:space="5" w:color="2E6B4F"/>
        </w:pBdr>
      </w:pPr>
      <w:r>
        <w:rPr>
          <w:rFonts w:ascii="Calibri" w:hAnsi="Calibri" w:eastAsia="Microsoft YaHei"/>
          <w:b/>
          <w:color w:val="2E6B4F"/>
        </w:rPr>
        <w:t xml:space="preserve">为什么这条路线最快  </w:t>
      </w:r>
      <w:r>
        <w:rPr>
          <w:rFonts w:ascii="Calibri" w:hAnsi="Calibri" w:eastAsia="Microsoft YaHei"/>
          <w:color w:val="263238"/>
        </w:rPr>
        <w:t>不是降低安全标准，而是冻结已经足够的内核，只服务一个交易所、一个账户、一个标的和一个应用。这样真实证据会告诉我们哪些接口值得继续抽象，避免在上线前继续建设暂时用不到的平台能力。</w:t>
      </w:r>
    </w:p>
    <w:p>
      <w:pPr>
        <w:pStyle w:val="Heading1"/>
        <w:keepNext/>
      </w:pPr>
      <w:r>
        <w:t>8. 初学者最容易混淆的十个概念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CEX：</w:t>
      </w:r>
      <w:r>
        <w:rPr>
          <w:rFonts w:ascii="Calibri" w:hAnsi="Calibri" w:eastAsia="Microsoft YaHei"/>
          <w:color w:val="263238"/>
        </w:rPr>
        <w:t>Centralized Exchange，中心化交易所，例如 Binance。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Spot：</w:t>
      </w:r>
      <w:r>
        <w:rPr>
          <w:rFonts w:ascii="Calibri" w:hAnsi="Calibri" w:eastAsia="Microsoft YaHei"/>
          <w:color w:val="263238"/>
        </w:rPr>
        <w:t>现货；持有资产本身。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Perpetual：</w:t>
      </w:r>
      <w:r>
        <w:rPr>
          <w:rFonts w:ascii="Calibri" w:hAnsi="Calibri" w:eastAsia="Microsoft YaHei"/>
          <w:color w:val="263238"/>
        </w:rPr>
        <w:t>永续合约；没有固定到期日，通常通过 Funding 机制锚定现货。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Funding Rate：</w:t>
      </w:r>
      <w:r>
        <w:rPr>
          <w:rFonts w:ascii="Calibri" w:hAnsi="Calibri" w:eastAsia="Microsoft YaHei"/>
          <w:color w:val="263238"/>
        </w:rPr>
        <w:t>下一期或当前观察到的资金费率，是市场数据；不等于实际收到的钱。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Intent：</w:t>
      </w:r>
      <w:r>
        <w:rPr>
          <w:rFonts w:ascii="Calibri" w:hAnsi="Calibri" w:eastAsia="Microsoft YaHei"/>
          <w:color w:val="263238"/>
        </w:rPr>
        <w:t>策略表达的经济意图，例如“目标持仓 +10 BTC”。不是订单。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Basket：</w:t>
      </w:r>
      <w:r>
        <w:rPr>
          <w:rFonts w:ascii="Calibri" w:hAnsi="Calibri" w:eastAsia="Microsoft YaHei"/>
          <w:color w:val="263238"/>
        </w:rPr>
        <w:t>多个腿组成的一个经济目标，可为两腿、三腿或 N 腿。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OMS：</w:t>
      </w:r>
      <w:r>
        <w:rPr>
          <w:rFonts w:ascii="Calibri" w:hAnsi="Calibri" w:eastAsia="Microsoft YaHei"/>
          <w:color w:val="263238"/>
        </w:rPr>
        <w:t>Order Management System，管理订单与执行事实的状态机。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Permit：</w:t>
      </w:r>
      <w:r>
        <w:rPr>
          <w:rFonts w:ascii="Calibri" w:hAnsi="Calibri" w:eastAsia="Microsoft YaHei"/>
          <w:color w:val="263238"/>
        </w:rPr>
        <w:t>针对一个精确动作、版本和有效期的执行授权，不是永久通行证。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Portfolio：</w:t>
      </w:r>
      <w:r>
        <w:rPr>
          <w:rFonts w:ascii="Calibri" w:hAnsi="Calibri" w:eastAsia="Microsoft YaHei"/>
          <w:color w:val="263238"/>
        </w:rPr>
        <w:t>账户当前余额、持仓、Margin 和风险资源的有效状态。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Ledger：</w:t>
      </w:r>
      <w:r>
        <w:rPr>
          <w:rFonts w:ascii="Calibri" w:hAnsi="Calibri" w:eastAsia="Microsoft YaHei"/>
          <w:color w:val="263238"/>
        </w:rPr>
        <w:t>不可随意改写的财务事实记录，用于对账和 PnL 解释。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Replay：</w:t>
      </w:r>
      <w:r>
        <w:rPr>
          <w:rFonts w:ascii="Calibri" w:hAnsi="Calibri" w:eastAsia="Microsoft YaHei"/>
          <w:color w:val="263238"/>
        </w:rPr>
        <w:t>从持久事件重新构建状态或重放历史，不等同于简单 DataFrame 回测。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UNKNOWN：</w:t>
      </w:r>
      <w:r>
        <w:rPr>
          <w:rFonts w:ascii="Calibri" w:hAnsi="Calibri" w:eastAsia="Microsoft YaHei"/>
          <w:color w:val="263238"/>
        </w:rPr>
        <w:t>外部结果不确定；必须查询与对账，不能当成失败直接重试。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Fail closed：</w:t>
      </w:r>
      <w:r>
        <w:rPr>
          <w:rFonts w:ascii="Calibri" w:hAnsi="Calibri" w:eastAsia="Microsoft YaHei"/>
          <w:color w:val="263238"/>
        </w:rPr>
        <w:t>证据不足或状态冲突时拒绝扩大风险，而不是默认放行。</w:t>
      </w:r>
    </w:p>
    <w:p>
      <w:pPr>
        <w:spacing w:after="100"/>
        <w:ind w:left="230" w:hanging="230"/>
      </w:pPr>
      <w:r>
        <w:rPr>
          <w:rFonts w:ascii="Calibri" w:hAnsi="Calibri" w:eastAsia="Microsoft YaHei"/>
          <w:b/>
          <w:color w:val="1F4D78"/>
        </w:rPr>
        <w:t>纳秒时间：</w:t>
      </w:r>
      <w:r>
        <w:rPr>
          <w:rFonts w:ascii="Calibri" w:hAnsi="Calibri" w:eastAsia="Microsoft YaHei"/>
          <w:color w:val="263238"/>
        </w:rPr>
        <w:t>使用纳秒整数表达时间与顺序精度；不宣称网络或交易延迟达到纳秒级。</w:t>
      </w:r>
    </w:p>
    <w:p>
      <w:pPr>
        <w:pStyle w:val="Heading1"/>
        <w:keepNext/>
      </w:pPr>
      <w:r>
        <w:t>9. 文档边界与权威来源</w:t>
      </w:r>
    </w:p>
    <w:p>
      <w:r>
        <w:rPr>
          <w:rFonts w:ascii="Calibri" w:hAnsi="Calibri" w:eastAsia="Microsoft YaHei"/>
          <w:i w:val="0"/>
        </w:rPr>
        <w:t>本指南为了帮助入门读者，会使用类比、简化图和概括性语言。它不是架构决策记录，不授权 Testnet 或实盘，也不应覆盖代码接口。遇到冲突时，应按下列顺序查阅仓库权威材料。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5"/>
          <w:left w:val="single" w:sz="6" w:space="0" w:color="D7DEE5"/>
          <w:bottom w:val="single" w:sz="6" w:space="0" w:color="D7DEE5"/>
          <w:right w:val="single" w:sz="6" w:space="0" w:color="D7DEE5"/>
          <w:insideH w:val="single" w:sz="6" w:space="0" w:color="D7DEE5"/>
          <w:insideV w:val="single" w:sz="6" w:space="0" w:color="D7DEE5"/>
        </w:tblBorders>
      </w:tblPr>
      <w:tblGrid>
        <w:gridCol w:w="3600"/>
        <w:gridCol w:w="5760"/>
      </w:tblGrid>
      <w:tr>
        <w:trPr>
          <w:tblHeader w:val="true"/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问题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20"/>
              </w:rPr>
              <w:t>权威来源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已接受的架构决策</w:t>
            </w:r>
          </w:p>
        </w:tc>
        <w:tc>
          <w:tcPr>
            <w:tcW w:type="dxa" w:w="57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adr/ 中状态为 Accepted 的 ADR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模块依赖、状态所有权、Kernel 冻结</w:t>
            </w:r>
          </w:p>
        </w:tc>
        <w:tc>
          <w:tcPr>
            <w:tcW w:type="dxa" w:w="57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architecture/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稳定数据结构和公开接口</w:t>
            </w:r>
          </w:p>
        </w:tc>
        <w:tc>
          <w:tcPr>
            <w:tcW w:type="dxa" w:w="57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interfaces/ 与包级 __init__.py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当前进度、测试证据、活动任务</w:t>
            </w:r>
          </w:p>
        </w:tc>
        <w:tc>
          <w:tcPr>
            <w:tcW w:type="dxa" w:w="57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development/progress.md、development/tasks.md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最快上线顺序</w:t>
            </w:r>
          </w:p>
        </w:tc>
        <w:tc>
          <w:tcPr>
            <w:tcW w:type="dxa" w:w="57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development/funding_carry_fast_track_plan.md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部署、恢复和事故处理</w:t>
            </w:r>
          </w:p>
        </w:tc>
        <w:tc>
          <w:tcPr>
            <w:tcW w:type="dxa" w:w="57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operations/</w:t>
            </w:r>
          </w:p>
        </w:tc>
      </w:tr>
      <w:tr>
        <w:trPr>
          <w:cantSplit w:val="true"/>
        </w:trPr>
        <w:tc>
          <w:tcPr>
            <w:tcW w:type="dxa" w:w="360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Web GPT 与 Codex 讨论原文</w:t>
            </w:r>
          </w:p>
        </w:tc>
        <w:tc>
          <w:tcPr>
            <w:tcW w:type="dxa" w:w="5760"/>
          </w:tcPr>
          <w:p>
            <w:pPr>
              <w:keepLines/>
              <w:spacing w:before="20" w:after="40" w:line="288" w:lineRule="auto"/>
            </w:pPr>
            <w:r>
              <w:rPr>
                <w:rFonts w:ascii="Calibri" w:hAnsi="Calibri" w:eastAsia="Microsoft YaHei"/>
                <w:color w:val="263238"/>
                <w:sz w:val="19"/>
              </w:rPr>
              <w:t>ai_collaboration/（仅为输入和审查证据）</w:t>
            </w:r>
          </w:p>
        </w:tc>
      </w:tr>
    </w:tbl>
    <w:p>
      <w:pPr>
        <w:spacing w:after="0"/>
      </w:pPr>
    </w:p>
    <w:p>
      <w:pPr>
        <w:keepLines/>
        <w:spacing w:before="120" w:after="160" w:line="288" w:lineRule="auto"/>
        <w:ind w:left="173" w:right="173"/>
        <w:shd w:fill="F4F6F9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Microsoft YaHei"/>
          <w:b/>
          <w:color w:val="2E74B5"/>
        </w:rPr>
        <w:t xml:space="preserve">知识图谱边界  </w:t>
      </w:r>
      <w:r>
        <w:rPr>
          <w:rFonts w:ascii="Calibri" w:hAnsi="Calibri" w:eastAsia="Microsoft YaHei"/>
          <w:color w:val="263238"/>
        </w:rPr>
        <w:t>这份 Word 指南作为教育材料存放在 guides/，不作为知识图谱中的架构权威正文。未来 LLM 可以用它快速入门，但做修改前仍必须回到 ADR、architecture、interfaces、development 和 operations 核对。</w:t>
      </w:r>
    </w:p>
    <w:p>
      <w:pPr>
        <w:pStyle w:val="Heading1"/>
        <w:keepNext/>
      </w:pPr>
      <w:r>
        <w:t>10. 外部参考：vn.py 官方资料</w:t>
      </w:r>
    </w:p>
    <w:p>
      <w:pPr>
        <w:spacing w:after="120"/>
      </w:pPr>
      <w:r>
        <w:rPr>
          <w:rFonts w:ascii="Calibri" w:hAnsi="Calibri" w:eastAsia="Microsoft YaHei"/>
          <w:color w:val="263238"/>
          <w:sz w:val="19"/>
        </w:rPr>
        <w:t xml:space="preserve">1. vn.py 官方 GitHub — 平台定位、EventEngine / MainEngine、网关与 App 生态概览。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spacing w:after="120"/>
      </w:pPr>
      <w:r>
        <w:rPr>
          <w:rFonts w:ascii="Calibri" w:hAnsi="Calibri" w:eastAsia="Microsoft YaHei"/>
          <w:color w:val="263238"/>
          <w:sz w:val="19"/>
        </w:rPr>
        <w:t xml:space="preserve">2. vn.py 应用模块索引 — CTA、回测、SpreadTrading、OptionMaster、PortfolioStrategy 等官方应用。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spacing w:after="120"/>
      </w:pPr>
      <w:r>
        <w:rPr>
          <w:rFonts w:ascii="Calibri" w:hAnsi="Calibri" w:eastAsia="Microsoft YaHei"/>
          <w:color w:val="263238"/>
          <w:sz w:val="19"/>
        </w:rPr>
        <w:t xml:space="preserve">3. CTA 策略模块 — 策略回调、buy/sell/short/cover，以及实盘 / 回测引擎复用方式。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spacing w:after="120"/>
      </w:pPr>
      <w:r>
        <w:rPr>
          <w:rFonts w:ascii="Calibri" w:hAnsi="Calibri" w:eastAsia="Microsoft YaHei"/>
          <w:color w:val="263238"/>
          <w:sz w:val="19"/>
        </w:rPr>
        <w:t xml:space="preserve">4. PortfolioStrategy — 多合约目标持仓与组合策略接口。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spacing w:after="120"/>
      </w:pPr>
      <w:r>
        <w:rPr>
          <w:rFonts w:ascii="Calibri" w:hAnsi="Calibri" w:eastAsia="Microsoft YaHei"/>
          <w:color w:val="263238"/>
          <w:sz w:val="19"/>
        </w:rPr>
        <w:t xml:space="preserve">5. SpreadTrading — 价差公式、主动腿 / 被动腿和算法执行说明。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spacing w:after="120"/>
      </w:pPr>
      <w:r>
        <w:rPr>
          <w:rFonts w:ascii="Calibri" w:hAnsi="Calibri" w:eastAsia="Microsoft YaHei"/>
          <w:color w:val="263238"/>
          <w:sz w:val="19"/>
        </w:rPr>
        <w:t xml:space="preserve">6. RiskManager — 订单流、单笔量、总成交、活动委托和撤单限制等交易前检查。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spacing w:after="120"/>
      </w:pPr>
      <w:r>
        <w:rPr>
          <w:rFonts w:ascii="Calibri" w:hAnsi="Calibri" w:eastAsia="Microsoft YaHei"/>
          <w:color w:val="263238"/>
          <w:sz w:val="19"/>
        </w:rPr>
        <w:t xml:space="preserve">7. OptionMaster — IV 曲线、Greeks、压力测试和自动 Delta 对冲等期权功能。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打开官方页面</w:t>
        </w:r>
      </w:hyperlink>
    </w:p>
    <w:p>
      <w:pPr>
        <w:spacing w:before="160"/>
      </w:pPr>
      <w:r>
        <w:rPr>
          <w:rFonts w:ascii="Calibri" w:hAnsi="Calibri" w:eastAsia="Microsoft YaHei"/>
          <w:i/>
          <w:color w:val="68737D"/>
          <w:sz w:val="18"/>
        </w:rPr>
        <w:t>资料核对日期：2026-07-31。vn.py 会持续演进，因此本指南的比较应结合其最新官方文档重新核对。</w:t>
      </w:r>
    </w:p>
    <w:p>
      <w:r>
        <w:br w:type="page"/>
      </w:r>
    </w:p>
    <w:p>
      <w:pPr>
        <w:pStyle w:val="Heading1"/>
        <w:keepNext/>
      </w:pPr>
      <w:r>
        <w:t>结语</w:t>
      </w:r>
    </w:p>
    <w:p>
      <w:r>
        <w:rPr>
          <w:rFonts w:ascii="Calibri" w:hAnsi="Calibri" w:eastAsia="Microsoft YaHei"/>
          <w:i w:val="0"/>
        </w:rPr>
        <w:t>这套设计的核心并不是“模块越多越好”，而是让每个风险变化都有证据、权限、身份、状态和恢复路径。对简单策略脚本来说，这可能显得沉重；对需要长期运行、跨多个市场、经历网络异常和进程重启、还要解释每一笔收益的交易系统来说，这些边界就是安全性本身。</w:t>
      </w:r>
    </w:p>
    <w:p>
      <w:r>
        <w:rPr>
          <w:rFonts w:ascii="Calibri" w:hAnsi="Calibri" w:eastAsia="Microsoft YaHei"/>
          <w:i w:val="0"/>
        </w:rPr>
        <w:t>vn.py 代表成熟通用平台的高效率路径；本项目选择较窄但更强调 CEX 组合执行安全、审计和恢复的路径。它们不是简单的高低关系，而是不同优先级。当前最重要的事情也不再是增加更多抽象，而是用冻结的 Kernel v1 跑通第一个受限、可验证的 Funding Carry 闭环。</w:t>
      </w:r>
    </w:p>
    <w:p>
      <w:pPr>
        <w:keepLines/>
        <w:spacing w:before="120" w:after="160" w:line="288" w:lineRule="auto"/>
        <w:ind w:left="173" w:right="173"/>
        <w:shd w:fill="EAF4EF"/>
        <w:pBdr>
          <w:top w:val="single" w:sz="8" w:space="5" w:color="2E6B4F"/>
          <w:left w:val="single" w:sz="8" w:space="5" w:color="2E6B4F"/>
          <w:bottom w:val="single" w:sz="8" w:space="5" w:color="2E6B4F"/>
          <w:right w:val="single" w:sz="8" w:space="5" w:color="2E6B4F"/>
        </w:pBdr>
      </w:pPr>
      <w:r>
        <w:rPr>
          <w:rFonts w:ascii="Calibri" w:hAnsi="Calibri" w:eastAsia="Microsoft YaHei"/>
          <w:b/>
          <w:color w:val="2E6B4F"/>
        </w:rPr>
        <w:t xml:space="preserve">当前最重要的里程碑  </w:t>
      </w:r>
      <w:r>
        <w:rPr>
          <w:rFonts w:ascii="Calibri" w:hAnsi="Calibri" w:eastAsia="Microsoft YaHei"/>
          <w:color w:val="263238"/>
        </w:rPr>
        <w:t>让一笔受限 BTC Funding Carry 完整经历 Snapshot、Basket、Risk、OMS、Binance、Portfolio、Ledger 和关闭恢复，并能用证据解释每一步。完成它，项目才真正从“架构工程”进入“可运行交易系统”。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8737D"/>
        <w:sz w:val="17"/>
      </w:rPr>
      <w:t xml:space="preserve">教育说明 · 非规范文档  |  </w:t>
    </w:r>
    <w:r>
      <w:rPr>
        <w:rFonts w:ascii="Calibri" w:hAnsi="Calibri" w:eastAsia="Microsoft YaHei"/>
        <w:color w:val="6873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8737D"/>
        <w:sz w:val="17"/>
      </w:rPr>
      <w:t>CEX QUANT · ARCHITECTURE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 w:eastAsia="Microsoft YaHei"/>
      <w:b/>
      <w:bCs/>
      <w:i w:val="0"/>
      <w:color w:val="6873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vnpy/vnpy" TargetMode="External"/><Relationship Id="rId13" Type="http://schemas.openxmlformats.org/officeDocument/2006/relationships/hyperlink" Target="https://www.vnpy.com/docs/cn/community/app/index.html" TargetMode="External"/><Relationship Id="rId14" Type="http://schemas.openxmlformats.org/officeDocument/2006/relationships/hyperlink" Target="https://www.vnpy.com/docs/cn/community/app/cta_strategy.html" TargetMode="External"/><Relationship Id="rId15" Type="http://schemas.openxmlformats.org/officeDocument/2006/relationships/hyperlink" Target="https://www.vnpy.com/docs/cn/community/app/portfolio_strategy.html" TargetMode="External"/><Relationship Id="rId16" Type="http://schemas.openxmlformats.org/officeDocument/2006/relationships/hyperlink" Target="https://www.vnpy.com/docs/cn/community/app/spread_trading.html" TargetMode="External"/><Relationship Id="rId17" Type="http://schemas.openxmlformats.org/officeDocument/2006/relationships/hyperlink" Target="https://www.vnpy.com/docs/cn/community/app/risk_manager.html" TargetMode="External"/><Relationship Id="rId18" Type="http://schemas.openxmlformats.org/officeDocument/2006/relationships/hyperlink" Target="https://www.vnpy.com/docs/cn/community/app/option_mas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为什么这个 CEX 量化交易平台要这样设计</dc:title>
  <dc:subject>CEX 量化交易平台架构入门与 vn.py 对比</dc:subject>
  <dc:creator>CEX Quant Project</dc:creator>
  <cp:keywords>CEX, 量化交易, Funding Carry, OMS, Portfolio Risk, Accounting, vn.py</cp:keywords>
  <dc:description>教育说明；不构成 Testnet、生产或真实资金授权。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