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Figure Captions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This document lists captions for all figures in the manuscript and supplementary materials. Main-text figures (Figures 1–3) are already present in the authors' folders from the original analysis. Supplementary figures (Figures S1–S8) are generated by the reproducible R script (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Roaming_paper_complete.R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 and saved to the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subdirectory.</w:t>
      </w:r>
    </w:p>
    <w:p>
      <w:pPr>
        <w:spacing w:after="240" w:before="0"/>
      </w:pPr>
      <w:r>
        <w:t xml:space="preserve"/>
      </w: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caps/>
          <w:color w:val="444444"/>
          <w:sz w:val="24"/>
          <w:szCs w:val="24"/>
        </w:rPr>
        <w:t xml:space="preserve">Main-text Figures (Figures 1–3)</w:t>
      </w:r>
    </w:p>
    <w:p>
      <w:pPr>
        <w:spacing w:after="240" w:before="0"/>
      </w:pPr>
      <w:r>
        <w:t xml:space="preserve"/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1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Fig1_density_by_district.png]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Roaming-dog density (dogs per kilometre walked) by district, ordered by density. Points are district estimates sized by walked distance and coloured by counting team (University = red; Municipality = blue). Horizontal bars are exact 95% Poisson confidence intervals. The dashed vertical line marks the pooled overall density (13.7 dogs/km). Open circles denote low-effort districts (&lt; 1 km walked), whose estimates are unreliable and excluded from regression analyses.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2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Fig2_temporal.png]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Descriptive roaming-dog density by (A) hour of day and (B) day of survey week, with 95% exact Poisson confidence intervals. Counts are summed across all 25 districts; each bar represents all observations recorded within that hour or day. The midday gap (12:00–13:59) is excluded from the survey window.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3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Fig3_glmm_diurnal.png]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Adjusted diurnal pattern of roaming-dog density from the best-fitting negative binomial GLMM (natural cubic spline of hour, 3 degrees of freedom; district random intercept; log walked-distance offset). Shaded band = 95% confidence interval. The grey region marks the excluded midday interval (12:00–13:59). Adjusted density is highest at approximately 09:00 (~18 dogs/km) and falls by ~40% to a trough between 14:00 and 16:00, before a modest late-afternoon recovery.</w:t>
      </w:r>
    </w:p>
    <w:p>
      <w:pPr>
        <w:spacing w:after="240" w:before="0"/>
      </w:pPr>
      <w:r>
        <w:t xml:space="preserve"/>
      </w: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caps/>
          <w:color w:val="444444"/>
          <w:sz w:val="24"/>
          <w:szCs w:val="24"/>
        </w:rPr>
        <w:t xml:space="preserve">Supplementary Figures (Figures S1–S8)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figures are generated by the R script and output to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File names correspond to the script output names.</w:t>
      </w:r>
    </w:p>
    <w:p>
      <w:pPr>
        <w:spacing w:after="240" w:before="0"/>
      </w:pPr>
      <w:r>
        <w:t xml:space="preserve"/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S1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FigE1_correlation_matrix.png]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S1.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Spearman correlation matrix of the 20 district-level covariates included in the extended screening analysis. Variables were log- or log(1+x)-transformed before correlation calculation where indicated in axis labels. Colour scale: blue = positive correlation, red = negative. The strong positive cluster in the upper-left reflects the high collinearity among socioeconomic development indices (IDC2 composite and sub-dimensions).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S2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FigE2a_forest_all25.png]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S2.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Forest plot of univariate negative binomial rate ratios for all 27 district-level predictors (n = 25 districts), sorted by rate ratio. Each estimate represents the rate ratio per one standard deviation (log/log1p-transformed where indicated). Coloured points: red = p &lt; 0.05, orange = p &lt; 0.10, grey = non-significant. Horizontal lines = 95% confidence intervals. None survives Benjamini–Hochberg FDR correction (all adjusted p &gt; 0.12).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S3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FigE3_scree.png]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S3.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Scree plot from the principal component analysis of 12 district-level covariates (n = 25 districts). Bars = variance explained by each PC; line = cumulative variance. Dashed horizontal line = 1/p threshold (8.3%); dotted vertical line = Kaiser cut-off (eigenvalue &gt; 1, retaining 3 PCs explaining 81.0% of variance).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S4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FigE4a_pca_loadings_PC12.png]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S4.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PCA variable loading circles. (A) PC1 vs PC2; (B) PC1 vs PC3. Arrow colour indicates relative contribution of each variable to the plotted PCs (green = low, red = high). PC1 = socioeconomic development axis (IDC2, vet centres, education, households all loading &gt; 0.89). PC2 = urbanisation / ownership-behaviour axis (roaming unsupervised loading +0.70). PC3 = indoor confinement versus neutering axis (always indoors loading −0.69, neutering +0.58).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S5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FigE5_pca_districts.png]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S5.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District scores on the first two principal components (PC1 vs PC2), coloured by roaming-dog density (dogs/km; green = low, red = high). Open squares = low-effort districts. Point labels are district names. The absence of a clear colour gradient along either axis indicates that roaming-dog density is not strongly aligned with the main axes of socioeconomic or ownership-behaviour variation among districts.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S6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FigE6_biplot.png]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S6.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PCA biplot (PC1 vs PC2) overlaying district scores (points, coloured by roaming density) and variable loadings (blue arrows). District positions reflect their composite socioeconomic and ownership-behaviour profiles; variable arrows show the direction and strength of each covariate's contribution. The scatter of high-density districts (red/orange) across the biplot confirms the decoupling of roaming density from the main covariate axes.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S7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FigE8a_IDD_vs_density.png]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S7.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Scatter plot of mean inter-dog distance (IDD, m; log scale) versus roaming-dog density (dogs/km; log scale) by district. Points are sized by number of dog observations and coloured by effort flag (blue = well-sampled, red = low-effort). The regression line and 95% confidence band are from a log–log linear model. Spearman ρ = −0.74, p &lt; 0.001: shorter inter-dog gaps characterise denser districts.</w:t>
      </w:r>
    </w:p>
    <w:p>
      <w:pPr>
        <w:spacing w:after="60" w:before="20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S8  </w:t>
      </w:r>
      <w:r>
        <w:rPr>
          <w:rFonts w:ascii="Times New Roman" w:cs="Times New Roman" w:eastAsia="Times New Roman" w:hAnsi="Times New Roman"/>
          <w:i/>
          <w:iCs/>
          <w:color w:val="666666"/>
          <w:sz w:val="24"/>
          <w:szCs w:val="24"/>
        </w:rPr>
        <w:t xml:space="preserve">[File: FigE8b_aggregation_ratio.png]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S8.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Aggregation ratio (AR = mean inter-dog distance / expected IDD under complete spatial randomness) by district, sorted ascending. AR &lt; 1 (red bars) = dogs more clustered than survey spacing; AR ≥ 1 (blue bars) = approximately random or uniform spacing. Most districts have AR ≈ 1, indicating that dog sightings are not strongly clustered within transects; the high overdispersion in encounter-probability models reflects between-district heterogeneity rather than within-district spatial clustering.</w:t>
      </w:r>
    </w:p>
    <w:p>
      <w:pPr>
        <w:spacing w:after="240" w:before="0"/>
      </w:pPr>
      <w:r>
        <w:t xml:space="preserve"/>
      </w: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caps/>
          <w:color w:val="444444"/>
          <w:sz w:val="24"/>
          <w:szCs w:val="24"/>
        </w:rPr>
        <w:t xml:space="preserve">Figure generation notes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Main figures (1–3):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Generated by R script Sections A and B. Present in authors' existing figure folder.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S1 (Correlation matrix):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figures/FigE1_correlation_matrix.png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Section E3 of R script.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 S2 (Forest plot):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figures/FigE2a_forest_all25.png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Section E2.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Figures S3–S6 (PCA):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figures/FigE3_scree.png, FigE4a_pca_loadings_PC12.png, FigE5_pca_districts.png, FigE6_biplot.png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Section E4.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Figures S7–S8 (Spatial IDD):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figures/FigE8a_IDD_vs_density.png, FigE8b_aggregation_ratio.png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Section E8.</w:t>
      </w:r>
    </w:p>
    <w:p>
      <w:pPr>
        <w:spacing w:after="240" w:before="0"/>
      </w:pPr>
      <w:r>
        <w:t xml:space="preserve"/>
      </w:r>
    </w:p>
    <w:p>
      <w:pPr>
        <w:spacing w:after="80" w:before="320"/>
      </w:pPr>
      <w:r>
        <w:rPr>
          <w:rFonts w:ascii="Times New Roman" w:cs="Times New Roman" w:eastAsia="Times New Roman" w:hAnsi="Times New Roman"/>
          <w:b/>
          <w:bCs/>
          <w:caps/>
          <w:color w:val="444444"/>
          <w:sz w:val="24"/>
          <w:szCs w:val="24"/>
        </w:rPr>
        <w:t xml:space="preserve">Figures NOT recommended for inclusion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following generated figures are diagnostic or exploratory and are best retained in supplementary data only or omitted: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figures/FigS_dharma.png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DHARMa residual diagnostics for the NB GLMM (internal check only).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figures/FigE2b_forest_excl_le.png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Forest plot sensitivity (excl. low-effort); can be cited in text without a figure.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figures/FigE4b_pca_loadings_PC13.png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PC1 vs PC3 loadings; include only if PC3 discussion warrants it (recommended for supplementary).</w:t>
      </w:r>
    </w:p>
    <w:p>
      <w:pPr>
        <w:spacing w:after="200" w:before="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figures/FigE7_encounter_rate_model.png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Partial forest plot for encounter rate model; content covered by Table 5 and text; omit.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2026-07-09T12:36:57.360Z</dcterms:created>
  <dcterms:modified xsi:type="dcterms:W3CDTF">2026-07-09T12:36:57.360Z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