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Estimating free-roaming dog density to support dog-bite prevention and population management in Chile</w:t>
      </w:r>
    </w:p>
    <w:p>
      <w:pPr>
        <w:spacing w:after="80" w:before="0"/>
        <w:jc w:val="center"/>
      </w:pPr>
      <w:r>
        <w:rPr>
          <w:rFonts w:ascii="Times New Roman" w:cs="Times New Roman" w:eastAsia="Times New Roman" w:hAnsi="Times New Roman"/>
          <w:sz w:val="24"/>
          <w:szCs w:val="24"/>
        </w:rPr>
        <w:t xml:space="preserve">Mardones, F.O.1,*, Fernández, M.2, Benavides, J.3, Atero, N.4, Diethelm-Varela, B.5, Córdova, F.6, Salgado-Caxito, M.3</w:t>
      </w:r>
    </w:p>
    <w:p>
      <w:pPr>
        <w:spacing w:after="0" w:before="0"/>
      </w:pPr>
      <w:r>
        <w:t xml:space="preserve"/>
      </w:r>
    </w:p>
    <w:p>
      <w:pPr>
        <w:spacing w:after="80" w:before="240"/>
        <w:jc w:val="left"/>
      </w:pPr>
      <w:r>
        <w:rPr>
          <w:rFonts w:ascii="Times New Roman" w:cs="Times New Roman" w:eastAsia="Times New Roman" w:hAnsi="Times New Roman"/>
          <w:b/>
          <w:bCs/>
          <w:sz w:val="24"/>
          <w:szCs w:val="24"/>
        </w:rPr>
        <w:t xml:space="preserve">Abstract</w:t>
      </w:r>
    </w:p>
    <w:p>
      <w:pPr>
        <w:spacing w:after="200" w:before="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Free-roaming dogs sit at the intersection of animal welfare, public health, and conservation, yet their management is repeatedly undermined by the absence of reliable, affordable estimates of how many dogs are present in public spaces. In Chile, dog bites are a growing public-health concern and most occur outdoors. While the owned-dog population has been characterised in detail, the fraction roaming unsupervised in public spaces remains poorly quantified.</w:t>
      </w:r>
    </w:p>
    <w:p>
      <w:pPr>
        <w:spacing w:after="200" w:before="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We aimed to estimate roaming-dog density across Chilean districts using transect observations embedded in an existing national survey, and to assess its relationship with district-level socioeconomic, ownership-behaviour, and management indicators and with district-level dog-bite incidence.</w:t>
      </w:r>
    </w:p>
    <w:p>
      <w:pPr>
        <w:spacing w:after="200" w:before="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Georeferenced transect observations from the First National Study on Responsible Companion Animal Ownership (PTRAC–SUBDERE, 2021) were used to estimate roaming-dog density (dogs/km) across 25 districts with exact Poisson confidence intervals. Negative binomial mixed models characterised temporal variation. Roaming density was related to 27 district-level predictors spanning socioeconomic development, demography, dog-ownership context, infrastructure, and ownership behaviour (including the proportion of owned dogs neutered, always kept indoors, and roaming unsupervised from Salgado-Caxito et al., 2023), using univariate and pre-specified multivariate negative binomial models. A quasi-binomial generalised linear model related encounter probability to the same predictors. The spatial distribution of sightings was characterised using inter-dog distance (IDD) analysis. District density was related to dog-bite incidence (SIRAM, 2019–2024).</w:t>
      </w:r>
    </w:p>
    <w:p>
      <w:pPr>
        <w:spacing w:after="200" w:before="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25 districts, 2,064 dogs were recorded over 151.0 km of reconstructed transect, giving a pooled density of 13.7 dogs/km (95% CI 13.1–14.3). Density varied fourteen-fold among the 22 well-sampled districts (3.0 dogs/km in Las Condes to 42.0 dogs/km in San Antonio). Between-district differences dominated variance (ICC = 0.52), and density peaked at approximately 09:00. Univariate screening identified four nominally significant associations—IDC2 economy sub-index (RR = 0.71, p = 0.005), registered NGOs (RR = 0.74, p = 0.012), proportion always kept indoors (RR = 1.31, p = 0.014), and IDH 2005 (RR = 0.76, p = 0.019)—but none survived Benjamini–Hochberg correction (all adjusted p &gt; 0.13). In a quasi-binomial model of encounter probability, district neutering rate was the only significant predictor in both district sets: each additional standard deviation in the proportion of owned dogs sterilised was associated with approximately halving the odds of observing a roaming dog at a given survey point (OR = 0.54, 95% CI 0.31–0.91, p = 0.035 for all 25 districts; OR = 0.53, 0.29–0.93, p = 0.046 excluding low-effort districts). Roaming density was not associated with dog-bite incidence in any model.</w:t>
      </w:r>
    </w:p>
    <w:p>
      <w:pPr>
        <w:spacing w:after="200" w:before="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Transect counts embedded in national surveys provide a cheap, effort-corrected, and reproducible indicator of roaming-dog abundance. Sterilisation coverage is the most consistent predictor of roaming-dog encounter probability, underscoring its role as a population management lever. Because roaming density neither tracks bite burden nor is predicted by household demographics alone, each dimension requires direct independent measurement to effectively target and evaluate dog-management and bite-prevention programmes.</w:t>
      </w:r>
    </w:p>
    <w:p>
      <w:pPr>
        <w:spacing w:after="20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free-roaming dogs; dog-bite incidence; SIRAM; encounter rate; sterilisation; population surveillance; Chile.</w:t>
      </w:r>
    </w:p>
    <w:p>
      <w:pPr>
        <w:spacing w:after="0" w:before="0"/>
      </w:pPr>
      <w:r>
        <w:t xml:space="preserve"/>
      </w:r>
    </w:p>
    <w:p>
      <w:pPr>
        <w:pStyle w:val="Heading1"/>
        <w:spacing w:after="120" w:before="360"/>
      </w:pPr>
      <w:r>
        <w:rPr>
          <w:rFonts w:ascii="Times New Roman" w:cs="Times New Roman" w:eastAsia="Times New Roman" w:hAnsi="Times New Roman"/>
          <w:b/>
          <w:bCs/>
          <w:sz w:val="24"/>
          <w:szCs w:val="24"/>
        </w:rPr>
        <w:t xml:space="preserve">1. Introduction</w:t>
      </w:r>
    </w:p>
    <w:p>
      <w:pPr>
        <w:spacing w:after="200" w:before="0"/>
        <w:jc w:val="both"/>
      </w:pPr>
      <w:r>
        <w:rPr>
          <w:rFonts w:ascii="Times New Roman" w:cs="Times New Roman" w:eastAsia="Times New Roman" w:hAnsi="Times New Roman"/>
          <w:sz w:val="24"/>
          <w:szCs w:val="24"/>
        </w:rPr>
        <w:t xml:space="preserve">Dogs are among the most numerous domestic animals on Earth, with an estimated 700–900 million individuals globally, the majority roaming freely without individual ownership or supervision (Gompper, 2014; WCS Chile, 2021). This free-roaming subpopulation comprises owned dogs permitted outdoors without restriction, formerly owned animals that were lost or abandoned, and dogs born without an owner. Their presence in public spaces carries consequences across multiple receptors. Free-roaming dogs transmit pathogens to other animals (Castanheira et al., 2014; Dorji et al., 2020) and people (OIE, 2022; Rong et al., 2018), inflict bites causing physical and lasting psychological harm (Boyd et al., 2022; Westgarth et al., 2024), and are central to rabies transmission (Raynor et al., 2020). Characterising these subpopulations is therefore fundamental to disease control programmes (Leung &amp; Davis, 2017), yet repeatedly undermined by the absence of reliable population estimates (Lembo et al., 2010).</w:t>
      </w:r>
    </w:p>
    <w:p>
      <w:pPr>
        <w:spacing w:after="200" w:before="0"/>
        <w:jc w:val="both"/>
      </w:pPr>
      <w:r>
        <w:rPr>
          <w:rFonts w:ascii="Times New Roman" w:cs="Times New Roman" w:eastAsia="Times New Roman" w:hAnsi="Times New Roman"/>
          <w:sz w:val="24"/>
          <w:szCs w:val="24"/>
        </w:rPr>
        <w:t xml:space="preserve">A range of methods has been proposed—from direct counts and mark–recapture to photographic and citizen-science approaches—but all involve trade-offs between accuracy, cost, and scalability (Belo et al., 2015; Meunier et al., 2019). Recent alternatives include photographic capture–recapture tools (Tiwari et al., 2018, 2019; Silva et al., 2026), remote counts from Google Street View imagery (Porras et al., 2025), and encounter-rate street counts expressed as dogs per kilometre, proposed as a simple, repeatable monitoring indicator (Cárdenas et al., 2021). There remains a clear need for low-cost methods applicable at national scale.</w:t>
      </w:r>
    </w:p>
    <w:p>
      <w:pPr>
        <w:spacing w:after="200" w:before="0"/>
        <w:jc w:val="both"/>
      </w:pPr>
      <w:r>
        <w:rPr>
          <w:rFonts w:ascii="Times New Roman" w:cs="Times New Roman" w:eastAsia="Times New Roman" w:hAnsi="Times New Roman"/>
          <w:sz w:val="24"/>
          <w:szCs w:val="24"/>
        </w:rPr>
        <w:t xml:space="preserve">Chile illustrates both the dog-bite burden and this knowledge gap. National surveillance from the Registry System of Biting Animals (SIRAM) attributes roughly 90% of all animal bites to dogs, with incidence rising from 182 to 468 per 100,000 inhabitants between 2019 and 2024, concentrated in urban settings and occurring outdoors in approximately 70% of cases (Atero et al., in review; Barrios et al., 2021). Dog populations are also a zoonotic concern: vaccination coverage remains low (Salgado-Caxito et al., 2023), roughly half of municipalities are at risk of bat-to-dog rabies spillover (Astorga et al., 2015), and free-roaming dogs carry multi-host pathogens (Acosta-Jamett et al., 2010; Hernández et al., 2021) while threatening native wildlife (Silva-Rodríguez et al., 2010; Cortés et al., 2021).</w:t>
      </w:r>
    </w:p>
    <w:p>
      <w:pPr>
        <w:spacing w:after="200" w:before="0"/>
        <w:jc w:val="both"/>
      </w:pPr>
      <w:r>
        <w:rPr>
          <w:rFonts w:ascii="Times New Roman" w:cs="Times New Roman" w:eastAsia="Times New Roman" w:hAnsi="Times New Roman"/>
          <w:sz w:val="24"/>
          <w:szCs w:val="24"/>
        </w:rPr>
        <w:t xml:space="preserve">While the owned-dog population has recently been characterised in detail—approximately 6.6 million dogs nationally, with a human:dog ratio of about 2.7:1 (Atero et al., 2024)—the fraction roaming in public spaces remains poorly quantified. Owner-reported roaming figures (12–14% of owned dogs; Salgado-Caxito et al., 2023) likely underestimate the true proportion, and recent urban analyses still rely on estimates from over a decade ago (Crespin &amp; Contreras-Abarca, 2024). Updated direct estimates are needed to underpin sterilisation, vaccination, and bite-prevention programmes, a need explicitly recognised by reviews of Chile's national programme (PTRAC–SUBDERE; Garde et al., 2022).</w:t>
      </w:r>
    </w:p>
    <w:p>
      <w:pPr>
        <w:spacing w:after="200" w:before="0"/>
        <w:jc w:val="both"/>
      </w:pPr>
      <w:r>
        <w:rPr>
          <w:rFonts w:ascii="Times New Roman" w:cs="Times New Roman" w:eastAsia="Times New Roman" w:hAnsi="Times New Roman"/>
          <w:sz w:val="24"/>
          <w:szCs w:val="24"/>
        </w:rPr>
        <w:t xml:space="preserve">Building on this need, we estimated roaming-dog density at the district level using georeferenced transect observations already collected during the national ownership survey. We extended the analysis to explore district-level socioeconomic and ownership-behaviour correlates of roaming density—including sterilisation coverage from Salgado-Caxito et al. (2023)—and modelled encounter probability to exploit the full point-level survey data. By reconstructing daily routes and expressing observations as dogs per kilometre walked, we derive an effort-corrected indicator of roaming-dog abundance at negligible additional cost, complementing owner-based estimates and supporting One Health dog-management efforts in Chile (Viozzi et al., 2026).</w:t>
      </w:r>
    </w:p>
    <w:p>
      <w:pPr>
        <w:spacing w:after="0" w:before="0"/>
      </w:pPr>
      <w:r>
        <w:t xml:space="preserve"/>
      </w:r>
    </w:p>
    <w:p>
      <w:pPr>
        <w:pStyle w:val="Heading1"/>
        <w:spacing w:after="120" w:before="360"/>
      </w:pPr>
      <w:r>
        <w:rPr>
          <w:rFonts w:ascii="Times New Roman" w:cs="Times New Roman" w:eastAsia="Times New Roman" w:hAnsi="Times New Roman"/>
          <w:b/>
          <w:bCs/>
          <w:sz w:val="24"/>
          <w:szCs w:val="24"/>
        </w:rPr>
        <w:t xml:space="preserve">2. Materials and Methods</w:t>
      </w:r>
    </w:p>
    <w:p>
      <w:pPr>
        <w:pStyle w:val="Heading2"/>
        <w:spacing w:after="80" w:before="240"/>
      </w:pPr>
      <w:r>
        <w:rPr>
          <w:rFonts w:ascii="Times New Roman" w:cs="Times New Roman" w:eastAsia="Times New Roman" w:hAnsi="Times New Roman"/>
          <w:b/>
          <w:bCs/>
          <w:i/>
          <w:iCs/>
          <w:sz w:val="24"/>
          <w:szCs w:val="24"/>
        </w:rPr>
        <w:t xml:space="preserve">2.1  Study area, survey context, and district selection</w:t>
      </w:r>
    </w:p>
    <w:p>
      <w:pPr>
        <w:spacing w:after="200" w:before="0"/>
        <w:jc w:val="both"/>
      </w:pPr>
      <w:r>
        <w:rPr>
          <w:rFonts w:ascii="Times New Roman" w:cs="Times New Roman" w:eastAsia="Times New Roman" w:hAnsi="Times New Roman"/>
          <w:sz w:val="24"/>
          <w:szCs w:val="24"/>
        </w:rPr>
        <w:t xml:space="preserve">Free-roaming dogs were counted along survey transects during the fieldwork of the First National Study on Responsible Companion Animal Ownership, conducted in December 2021 (PTRAC–SUBDERE). The sampling frame and survey design are described in detail elsewhere (Salgado-Caxito et al., 2023; Atero et al., 2024). In brief, a route transect was established for each sampled location using the "Random Selection Within Subsets" tool in QGIS 3.24 (QGIS.org, 2023), and field teams covered these on foot within demarcated study blocks. Two types of teams participated: those led by university researchers and those led by municipal officials, all receiving identical training. Records spanned 29 districts across the five macrozones of Chile. Twenty-five districts yielded data suitable for density estimation; four were excluded due to insufficient or zero georeferenced records within the survey window (Table S1).</w:t>
      </w:r>
    </w:p>
    <w:p>
      <w:pPr>
        <w:pStyle w:val="Heading2"/>
        <w:spacing w:after="80" w:before="240"/>
      </w:pPr>
      <w:r>
        <w:rPr>
          <w:rFonts w:ascii="Times New Roman" w:cs="Times New Roman" w:eastAsia="Times New Roman" w:hAnsi="Times New Roman"/>
          <w:b/>
          <w:bCs/>
          <w:i/>
          <w:iCs/>
          <w:sz w:val="24"/>
          <w:szCs w:val="24"/>
        </w:rPr>
        <w:t xml:space="preserve">2.2  Transect reconstruction and distance estimation</w:t>
      </w:r>
    </w:p>
    <w:p>
      <w:pPr>
        <w:spacing w:after="200" w:before="0"/>
        <w:jc w:val="both"/>
      </w:pPr>
      <w:r>
        <w:rPr>
          <w:rFonts w:ascii="Times New Roman" w:cs="Times New Roman" w:eastAsia="Times New Roman" w:hAnsi="Times New Roman"/>
          <w:sz w:val="24"/>
          <w:szCs w:val="24"/>
        </w:rPr>
        <w:t xml:space="preserve">Field teams recorded direct observations of free-roaming dogs using the Epicollect5 mobile application, capturing GPS coordinates, acquisition date and time, administrative district, and number of unsupervised dogs. Acquisition times were converted from UTC to local Chilean time; only observations during daily working hours (08:00–19:00, excluding 12:00–13:59) were retained. For each district × survey-day transect, observations were ordered chronologically and joined into a polyline. Geodesic distances on the WGS84 datum were computed using the geosphere package (Hijmans, 2023), implementing Karney's (2013) algorithm. Consecutive steps exceeding 500 m were treated as between-sector relocations and excluded from the cumulative walked distance. Districts with less than 1 km of reconstructed transect were flagged as low-effort and excluded from regression analyses.</w:t>
      </w:r>
    </w:p>
    <w:p>
      <w:pPr>
        <w:pStyle w:val="Heading2"/>
        <w:spacing w:after="80" w:before="240"/>
      </w:pPr>
      <w:r>
        <w:rPr>
          <w:rFonts w:ascii="Times New Roman" w:cs="Times New Roman" w:eastAsia="Times New Roman" w:hAnsi="Times New Roman"/>
          <w:b/>
          <w:bCs/>
          <w:i/>
          <w:iCs/>
          <w:sz w:val="24"/>
          <w:szCs w:val="24"/>
        </w:rPr>
        <w:t xml:space="preserve">2.3  Roaming-dog density and encounter rate</w:t>
      </w:r>
    </w:p>
    <w:p>
      <w:pPr>
        <w:spacing w:after="200" w:before="0"/>
        <w:jc w:val="both"/>
      </w:pPr>
      <w:r>
        <w:rPr>
          <w:rFonts w:ascii="Times New Roman" w:cs="Times New Roman" w:eastAsia="Times New Roman" w:hAnsi="Times New Roman"/>
          <w:sz w:val="24"/>
          <w:szCs w:val="24"/>
        </w:rPr>
        <w:t xml:space="preserve">Roaming-dog density was expressed as the total number of dogs observed divided by the total distance walked (dogs/km), with exact (Garwood) 95% Poisson confidence intervals. A pooled national estimate was obtained by summing dogs and walked distances across all districts. The encounter rate was computed as the proportion of individual observation points at which at least one dog was recorded.</w:t>
      </w:r>
    </w:p>
    <w:p>
      <w:pPr>
        <w:pStyle w:val="Heading2"/>
        <w:spacing w:after="80" w:before="240"/>
      </w:pPr>
      <w:r>
        <w:rPr>
          <w:rFonts w:ascii="Times New Roman" w:cs="Times New Roman" w:eastAsia="Times New Roman" w:hAnsi="Times New Roman"/>
          <w:b/>
          <w:bCs/>
          <w:i/>
          <w:iCs/>
          <w:sz w:val="24"/>
          <w:szCs w:val="24"/>
        </w:rPr>
        <w:t xml:space="preserve">2.4  Temporal structure</w:t>
      </w:r>
    </w:p>
    <w:p>
      <w:pPr>
        <w:spacing w:after="200" w:before="0"/>
        <w:jc w:val="both"/>
      </w:pPr>
      <w:r>
        <w:rPr>
          <w:rFonts w:ascii="Times New Roman" w:cs="Times New Roman" w:eastAsia="Times New Roman" w:hAnsi="Times New Roman"/>
          <w:sz w:val="24"/>
          <w:szCs w:val="24"/>
        </w:rPr>
        <w:t xml:space="preserve">Observation points were aggregated into district × survey-day × hour cells (minimum 0.1 km walked). Cell dog counts were modelled with a negative binomial (NB2) generalised linear mixed model with log-walked-distance as an offset (glmmTMB; Brooks et al., 2017), preferred over a Poisson model by likelihood comparison (ΔAIC = 190.2). The model included a district random intercept and fixed effects for survey day and hour (as a natural cubic spline with 3 degrees of freedom, preferred over a categorical factor by AIC). The intraclass correlation coefficient (ICC) summarised between-district variance. We additionally tested whether counting team or its interaction with hour was associated with density. Model adequacy was assessed with DHARMa (Hartig, 2022).</w:t>
      </w:r>
    </w:p>
    <w:p>
      <w:pPr>
        <w:pStyle w:val="Heading2"/>
        <w:spacing w:after="80" w:before="240"/>
      </w:pPr>
      <w:r>
        <w:rPr>
          <w:rFonts w:ascii="Times New Roman" w:cs="Times New Roman" w:eastAsia="Times New Roman" w:hAnsi="Times New Roman"/>
          <w:b/>
          <w:bCs/>
          <w:i/>
          <w:iCs/>
          <w:sz w:val="24"/>
          <w:szCs w:val="24"/>
        </w:rPr>
        <w:t xml:space="preserve">2.5  District-level correlates of roaming density</w:t>
      </w:r>
    </w:p>
    <w:p>
      <w:pPr>
        <w:spacing w:after="200" w:before="0"/>
        <w:jc w:val="both"/>
      </w:pPr>
      <w:r>
        <w:rPr>
          <w:rFonts w:ascii="Times New Roman" w:cs="Times New Roman" w:eastAsia="Times New Roman" w:hAnsi="Times New Roman"/>
          <w:sz w:val="24"/>
          <w:szCs w:val="24"/>
        </w:rPr>
        <w:t xml:space="preserve">To evaluate district-level predictors, we assembled 27 variables spanning five conceptual domains:</w:t>
      </w:r>
    </w:p>
    <w:p>
      <w:pPr>
        <w:spacing w:after="200" w:before="0"/>
        <w:ind w:left="576"/>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i/>
          <w:iCs/>
          <w:sz w:val="24"/>
          <w:szCs w:val="24"/>
        </w:rPr>
        <w:t xml:space="preserve">Socioeconomic development:</w:t>
      </w:r>
      <w:r>
        <w:rPr>
          <w:rFonts w:ascii="Times New Roman" w:cs="Times New Roman" w:eastAsia="Times New Roman" w:hAnsi="Times New Roman"/>
          <w:sz w:val="24"/>
          <w:szCs w:val="24"/>
        </w:rPr>
        <w:t xml:space="preserve"> IDC2 composite index and sub-dimensions (welfare, economy, education); IDH 2005.</w:t>
      </w:r>
    </w:p>
    <w:p>
      <w:pPr>
        <w:spacing w:after="200" w:before="0"/>
        <w:ind w:left="576"/>
        <w:jc w:val="both"/>
      </w:pPr>
      <w:r>
        <w:rPr>
          <w:rFonts w:ascii="Times New Roman" w:cs="Times New Roman" w:eastAsia="Times New Roman" w:hAnsi="Times New Roman"/>
          <w:sz w:val="24"/>
          <w:szCs w:val="24"/>
        </w:rPr>
        <w:t xml:space="preserve">(ii) </w:t>
      </w:r>
      <w:r>
        <w:rPr>
          <w:rFonts w:ascii="Times New Roman" w:cs="Times New Roman" w:eastAsia="Times New Roman" w:hAnsi="Times New Roman"/>
          <w:i/>
          <w:iCs/>
          <w:sz w:val="24"/>
          <w:szCs w:val="24"/>
        </w:rPr>
        <w:t xml:space="preserve">Demography and geography:</w:t>
      </w:r>
      <w:r>
        <w:rPr>
          <w:rFonts w:ascii="Times New Roman" w:cs="Times New Roman" w:eastAsia="Times New Roman" w:hAnsi="Times New Roman"/>
          <w:sz w:val="24"/>
          <w:szCs w:val="24"/>
        </w:rPr>
        <w:t xml:space="preserve"> total population, proportion urban, human density, district area, number of households.</w:t>
      </w:r>
    </w:p>
    <w:p>
      <w:pPr>
        <w:spacing w:after="200" w:before="0"/>
        <w:ind w:left="576"/>
        <w:jc w:val="both"/>
      </w:pPr>
      <w:r>
        <w:rPr>
          <w:rFonts w:ascii="Times New Roman" w:cs="Times New Roman" w:eastAsia="Times New Roman" w:hAnsi="Times New Roman"/>
          <w:sz w:val="24"/>
          <w:szCs w:val="24"/>
        </w:rPr>
        <w:t xml:space="preserve">(iii) </w:t>
      </w:r>
      <w:r>
        <w:rPr>
          <w:rFonts w:ascii="Times New Roman" w:cs="Times New Roman" w:eastAsia="Times New Roman" w:hAnsi="Times New Roman"/>
          <w:i/>
          <w:iCs/>
          <w:sz w:val="24"/>
          <w:szCs w:val="24"/>
        </w:rPr>
        <w:t xml:space="preserve">Dog ownership context:</w:t>
      </w:r>
      <w:r>
        <w:rPr>
          <w:rFonts w:ascii="Times New Roman" w:cs="Times New Roman" w:eastAsia="Times New Roman" w:hAnsi="Times New Roman"/>
          <w:sz w:val="24"/>
          <w:szCs w:val="24"/>
        </w:rPr>
        <w:t xml:space="preserve"> owned-dog density, total owned dogs, human:dog ratio, dogs per urban and rural dwelling.</w:t>
      </w:r>
    </w:p>
    <w:p>
      <w:pPr>
        <w:spacing w:after="200" w:before="0"/>
        <w:ind w:left="576"/>
        <w:jc w:val="both"/>
      </w:pPr>
      <w:r>
        <w:rPr>
          <w:rFonts w:ascii="Times New Roman" w:cs="Times New Roman" w:eastAsia="Times New Roman" w:hAnsi="Times New Roman"/>
          <w:sz w:val="24"/>
          <w:szCs w:val="24"/>
        </w:rPr>
        <w:t xml:space="preserve">(iv) </w:t>
      </w:r>
      <w:r>
        <w:rPr>
          <w:rFonts w:ascii="Times New Roman" w:cs="Times New Roman" w:eastAsia="Times New Roman" w:hAnsi="Times New Roman"/>
          <w:i/>
          <w:iCs/>
          <w:sz w:val="24"/>
          <w:szCs w:val="24"/>
        </w:rPr>
        <w:t xml:space="preserve">Infrastructure and services:</w:t>
      </w:r>
      <w:r>
        <w:rPr>
          <w:rFonts w:ascii="Times New Roman" w:cs="Times New Roman" w:eastAsia="Times New Roman" w:hAnsi="Times New Roman"/>
          <w:sz w:val="24"/>
          <w:szCs w:val="24"/>
        </w:rPr>
        <w:t xml:space="preserve"> veterinary centres, registered NGOs, microchips, survey response rates, chips per owned dog, vets per 1,000 owned dogs.</w:t>
      </w:r>
    </w:p>
    <w:p>
      <w:pPr>
        <w:spacing w:after="200" w:before="0"/>
        <w:ind w:left="576"/>
        <w:jc w:val="both"/>
      </w:pPr>
      <w:r>
        <w:rPr>
          <w:rFonts w:ascii="Times New Roman" w:cs="Times New Roman" w:eastAsia="Times New Roman" w:hAnsi="Times New Roman"/>
          <w:sz w:val="24"/>
          <w:szCs w:val="24"/>
        </w:rPr>
        <w:t xml:space="preserve">(v) </w:t>
      </w:r>
      <w:r>
        <w:rPr>
          <w:rFonts w:ascii="Times New Roman" w:cs="Times New Roman" w:eastAsia="Times New Roman" w:hAnsi="Times New Roman"/>
          <w:i/>
          <w:iCs/>
          <w:sz w:val="24"/>
          <w:szCs w:val="24"/>
        </w:rPr>
        <w:t xml:space="preserve">Ownership behaviour (Salgado-Caxito et al., 2023):</w:t>
      </w:r>
      <w:r>
        <w:rPr>
          <w:rFonts w:ascii="Times New Roman" w:cs="Times New Roman" w:eastAsia="Times New Roman" w:hAnsi="Times New Roman"/>
          <w:sz w:val="24"/>
          <w:szCs w:val="24"/>
        </w:rPr>
        <w:t xml:space="preserve"> proportions of owned dogs neutered, always kept indoors, and roaming unsupervised.</w:t>
      </w:r>
    </w:p>
    <w:p>
      <w:pPr>
        <w:spacing w:after="200" w:before="0"/>
        <w:jc w:val="both"/>
      </w:pPr>
      <w:r>
        <w:rPr>
          <w:rFonts w:ascii="Times New Roman" w:cs="Times New Roman" w:eastAsia="Times New Roman" w:hAnsi="Times New Roman"/>
          <w:sz w:val="24"/>
          <w:szCs w:val="24"/>
        </w:rPr>
        <w:t xml:space="preserve">Each predictor was related to roaming density in a separate univariate negative binomial model with log-walked-distance offset; rate ratios are expressed per one standard deviation (right-skewed predictors log-transformed; zero-containing predictors log(x+1)-transformed). Benjamini–Hochberg false discovery rate (FDR) correction was applied across all 27 comparisons. An exploratory pre-specified multivariate model combined the three most conceptually distinct predictors (IDC2, neutering rate, proportion always indoors) within the n = 25 constraint. A principal component analysis (PCA; FactoMineR; Lê et al., 2008) was performed on 12 complete-case variables; PCs retained by the Kaiser criterion (eigenvalue &gt; 1) were entered as orthogonal predictors in a supplementary NB model. All analyses were repeated excluding low-effort districts (n = 22).</w:t>
      </w:r>
    </w:p>
    <w:p>
      <w:pPr>
        <w:pStyle w:val="Heading2"/>
        <w:spacing w:after="80" w:before="240"/>
      </w:pPr>
      <w:r>
        <w:rPr>
          <w:rFonts w:ascii="Times New Roman" w:cs="Times New Roman" w:eastAsia="Times New Roman" w:hAnsi="Times New Roman"/>
          <w:b/>
          <w:bCs/>
          <w:i/>
          <w:iCs/>
          <w:sz w:val="24"/>
          <w:szCs w:val="24"/>
        </w:rPr>
        <w:t xml:space="preserve">2.6  Encounter rate model</w:t>
      </w:r>
    </w:p>
    <w:p>
      <w:pPr>
        <w:spacing w:after="200" w:before="0"/>
        <w:jc w:val="both"/>
      </w:pPr>
      <w:r>
        <w:rPr>
          <w:rFonts w:ascii="Times New Roman" w:cs="Times New Roman" w:eastAsia="Times New Roman" w:hAnsi="Times New Roman"/>
          <w:sz w:val="24"/>
          <w:szCs w:val="24"/>
        </w:rPr>
        <w:t xml:space="preserve">The encounter rate (whether ≥1 dog was observed at a given survey point) was modelled as a binomial response (n_dog_records successes out of n_records trials). A quasi-binomial generalised linear model with a logit link corrected for within-district clustering (overdispersion parameter φ estimated from Pearson residuals; standard errors scaled by √φ). The three predictors from the multivariate NB model were included, each z-scored. Results are expressed as odds ratios per one standard deviation.</w:t>
      </w:r>
    </w:p>
    <w:p>
      <w:pPr>
        <w:pStyle w:val="Heading2"/>
        <w:spacing w:after="80" w:before="240"/>
      </w:pPr>
      <w:r>
        <w:rPr>
          <w:rFonts w:ascii="Times New Roman" w:cs="Times New Roman" w:eastAsia="Times New Roman" w:hAnsi="Times New Roman"/>
          <w:b/>
          <w:bCs/>
          <w:i/>
          <w:iCs/>
          <w:sz w:val="24"/>
          <w:szCs w:val="24"/>
        </w:rPr>
        <w:t xml:space="preserve">2.7  Spatial distribution of dog sightings</w:t>
      </w:r>
    </w:p>
    <w:p>
      <w:pPr>
        <w:spacing w:after="200" w:before="0"/>
        <w:jc w:val="both"/>
      </w:pPr>
      <w:r>
        <w:rPr>
          <w:rFonts w:ascii="Times New Roman" w:cs="Times New Roman" w:eastAsia="Times New Roman" w:hAnsi="Times New Roman"/>
          <w:sz w:val="24"/>
          <w:szCs w:val="24"/>
        </w:rPr>
        <w:t xml:space="preserve">The inter-dog distance (IDD) was computed as the along-transect distance between successive dog-positive observation points within each district, excluding gaps that spanned GPS relocations (&gt; 500 m). The aggregation ratio (AR = mean IDD / expected IDD under complete spatial randomness) quantifies clustering: AR &lt; 1 indicates clustering; AR ≈ 1 indicates approximately Poisson spacing; AR &gt; 1 indicates more uniform spacing than expected. Expected IDD = total walked distance / number of dog observations.</w:t>
      </w:r>
    </w:p>
    <w:p>
      <w:pPr>
        <w:pStyle w:val="Heading2"/>
        <w:spacing w:after="80" w:before="240"/>
      </w:pPr>
      <w:r>
        <w:rPr>
          <w:rFonts w:ascii="Times New Roman" w:cs="Times New Roman" w:eastAsia="Times New Roman" w:hAnsi="Times New Roman"/>
          <w:b/>
          <w:bCs/>
          <w:i/>
          <w:iCs/>
          <w:sz w:val="24"/>
          <w:szCs w:val="24"/>
        </w:rPr>
        <w:t xml:space="preserve">2.8  Dog-bite incidence</w:t>
      </w:r>
    </w:p>
    <w:p>
      <w:pPr>
        <w:spacing w:after="200" w:before="0"/>
        <w:jc w:val="both"/>
      </w:pPr>
      <w:r>
        <w:rPr>
          <w:rFonts w:ascii="Times New Roman" w:cs="Times New Roman" w:eastAsia="Times New Roman" w:hAnsi="Times New Roman"/>
          <w:sz w:val="24"/>
          <w:szCs w:val="24"/>
        </w:rPr>
        <w:t xml:space="preserve">District density estimates were linked to bite incidence from the national bite-notification registry (SIRAM, 2019–2024; Atero et al., in review). The primary outcome was restricted to bites occurring in public space; a secondary outcome further restricted to bites attributed to dogs with no traceable owner ("sin dirección"). A summer-season sensitivity analysis (December–February) was conducted. Bite counts were modelled as a function of roaming density with a negative binomial model and log person-years offset.</w:t>
      </w:r>
    </w:p>
    <w:p>
      <w:pPr>
        <w:pStyle w:val="Heading2"/>
        <w:spacing w:after="80" w:before="240"/>
      </w:pPr>
      <w:r>
        <w:rPr>
          <w:rFonts w:ascii="Times New Roman" w:cs="Times New Roman" w:eastAsia="Times New Roman" w:hAnsi="Times New Roman"/>
          <w:b/>
          <w:bCs/>
          <w:i/>
          <w:iCs/>
          <w:sz w:val="24"/>
          <w:szCs w:val="24"/>
        </w:rPr>
        <w:t xml:space="preserve">2.9  Software</w:t>
      </w:r>
    </w:p>
    <w:p>
      <w:pPr>
        <w:spacing w:after="200" w:before="0"/>
        <w:jc w:val="both"/>
      </w:pPr>
      <w:r>
        <w:rPr>
          <w:rFonts w:ascii="Times New Roman" w:cs="Times New Roman" w:eastAsia="Times New Roman" w:hAnsi="Times New Roman"/>
          <w:sz w:val="24"/>
          <w:szCs w:val="24"/>
        </w:rPr>
        <w:t xml:space="preserve">Analyses were performed in R (R Core Team, 2024) with the packages readxl, writexl, tidyverse, janitor, lubridate, geosphere, glmmTMB, car, DHARMa, performance, emmeans, MASS, broom, broom.mixed, FactoMineR, factoextra, ggcorrplot, ggrepel, and openxlsx. Figures were produced with ggplot2. The complete analysis is available as a single reproducible R script.</w:t>
      </w:r>
    </w:p>
    <w:p>
      <w:pPr>
        <w:spacing w:after="0" w:before="0"/>
      </w:pPr>
      <w:r>
        <w:t xml:space="preserve"/>
      </w:r>
    </w:p>
    <w:p>
      <w:pPr>
        <w:pStyle w:val="Heading1"/>
        <w:spacing w:after="120" w:before="360"/>
      </w:pPr>
      <w:r>
        <w:rPr>
          <w:rFonts w:ascii="Times New Roman" w:cs="Times New Roman" w:eastAsia="Times New Roman" w:hAnsi="Times New Roman"/>
          <w:b/>
          <w:bCs/>
          <w:sz w:val="24"/>
          <w:szCs w:val="24"/>
        </w:rPr>
        <w:t xml:space="preserve">3. Results</w:t>
      </w:r>
    </w:p>
    <w:p>
      <w:pPr>
        <w:pStyle w:val="Heading2"/>
        <w:spacing w:after="80" w:before="240"/>
      </w:pPr>
      <w:r>
        <w:rPr>
          <w:rFonts w:ascii="Times New Roman" w:cs="Times New Roman" w:eastAsia="Times New Roman" w:hAnsi="Times New Roman"/>
          <w:b/>
          <w:bCs/>
          <w:i/>
          <w:iCs/>
          <w:sz w:val="24"/>
          <w:szCs w:val="24"/>
        </w:rPr>
        <w:t xml:space="preserve">3.1  Roaming-dog density across districts</w:t>
      </w:r>
    </w:p>
    <w:p>
      <w:pPr>
        <w:spacing w:after="200" w:before="0"/>
        <w:jc w:val="both"/>
      </w:pPr>
      <w:r>
        <w:rPr>
          <w:rFonts w:ascii="Times New Roman" w:cs="Times New Roman" w:eastAsia="Times New Roman" w:hAnsi="Times New Roman"/>
          <w:sz w:val="24"/>
          <w:szCs w:val="24"/>
        </w:rPr>
        <w:t xml:space="preserve">Across the 25 analysed districts, 2,064 dogs were recorded over 151.0 km of reconstructed transect, giving a pooled roaming-dog density of 13.7 dogs/km (95% CI 13.1–14.3). When the three low-effort districts (Putaendo, Mulchén, and Viña del Mar; each with less than 1 km walked) were excluded, the pooled estimate was virtually unchanged at 13.5 dogs/km (95% CI 12.9–14.1), indicating that these districts did not materially influence the overall figure.</w:t>
      </w:r>
    </w:p>
    <w:p>
      <w:pPr>
        <w:spacing w:after="200" w:before="0"/>
        <w:jc w:val="both"/>
      </w:pPr>
      <w:r>
        <w:rPr>
          <w:rFonts w:ascii="Times New Roman" w:cs="Times New Roman" w:eastAsia="Times New Roman" w:hAnsi="Times New Roman"/>
          <w:sz w:val="24"/>
          <w:szCs w:val="24"/>
        </w:rPr>
        <w:t xml:space="preserve">Density varied fourteen-fold among the 22 well-sampled districts, from 3.0 dogs/km in Las Condes to 42.0 dogs/km in San Antonio (Table 1; Figure 1). Dogs were detected at the majority of observation points: encounter rates exceeded 0.80 in 16 of the 22 well-sampled districts and reached 1.00 in four (Papudo, San Javier, Iquique, and Arica), indicating near-ubiquitous roaming dogs along those transects. The two districts with the lowest encounter rates among well-sampled ones—El Quisco (0.32) and Las Condes (0.35)—also had the lowest density estimates, consistent with genuinely sparse roaming populations rather than sampling artefacts.</w:t>
      </w:r>
    </w:p>
    <w:p>
      <w:pPr>
        <w:pStyle w:val="Heading2"/>
        <w:spacing w:after="80" w:before="240"/>
      </w:pPr>
      <w:r>
        <w:rPr>
          <w:rFonts w:ascii="Times New Roman" w:cs="Times New Roman" w:eastAsia="Times New Roman" w:hAnsi="Times New Roman"/>
          <w:b/>
          <w:bCs/>
          <w:i/>
          <w:iCs/>
          <w:sz w:val="24"/>
          <w:szCs w:val="24"/>
        </w:rPr>
        <w:t xml:space="preserve">3.2  Temporal structure</w:t>
      </w:r>
    </w:p>
    <w:p>
      <w:pPr>
        <w:spacing w:after="200" w:before="0"/>
        <w:jc w:val="both"/>
      </w:pPr>
      <w:r>
        <w:rPr>
          <w:rFonts w:ascii="Times New Roman" w:cs="Times New Roman" w:eastAsia="Times New Roman" w:hAnsi="Times New Roman"/>
          <w:sz w:val="24"/>
          <w:szCs w:val="24"/>
        </w:rPr>
        <w:t xml:space="preserve">The negative binomial GLMM was strongly preferred over the Poisson alternative (ΔAIC = 190.2), consistent with substantial overdispersion. Between-district differences dominated the variance: the district random intercept accounted for 52% of total variability (ICC = 0.52; likelihood-ratio test χ² = 71.15, df = 1, p &lt; 0.001), confirming that roaming-dog density is primarily a district-level property. Within the day, density followed a significant declining pattern from a morning peak (LRT for hour, χ² = 20.33, df = 9, p = 0.016): adjusted estimates were approximately 18 dogs/km at 09:00, falling by ~40% to approximately 11 dogs/km between 14:00 and 16:00, before a modest recovery towards evening (Figure 3). A natural cubic spline representation of hour fit better than a categorical factor (ΔAIC = 3.0). In contrast, density did not differ across survey days (χ² = 3.91, df = 5, p = 0.562). The counting team was not associated with density (χ² = 0.01, df = 1, p = 0.907), and the diurnal pattern did not differ between teams (team × hour interaction, χ² = 4.44, df = 3, p = 0.218), confirming that estimates are robust to counting team and feasible with standardised non-specialist staff. Full model comparison statistics are in Table 2.</w:t>
      </w:r>
    </w:p>
    <w:p>
      <w:pPr>
        <w:pStyle w:val="Heading2"/>
        <w:spacing w:after="80" w:before="240"/>
      </w:pPr>
      <w:r>
        <w:rPr>
          <w:rFonts w:ascii="Times New Roman" w:cs="Times New Roman" w:eastAsia="Times New Roman" w:hAnsi="Times New Roman"/>
          <w:b/>
          <w:bCs/>
          <w:i/>
          <w:iCs/>
          <w:sz w:val="24"/>
          <w:szCs w:val="24"/>
        </w:rPr>
        <w:t xml:space="preserve">3.3  District-level correlates of roaming density</w:t>
      </w:r>
    </w:p>
    <w:p>
      <w:pPr>
        <w:pStyle w:val="Heading3"/>
        <w:spacing w:after="60" w:before="160"/>
      </w:pPr>
      <w:r>
        <w:rPr>
          <w:rFonts w:ascii="Times New Roman" w:cs="Times New Roman" w:eastAsia="Times New Roman" w:hAnsi="Times New Roman"/>
          <w:i/>
          <w:iCs/>
          <w:sz w:val="24"/>
          <w:szCs w:val="24"/>
        </w:rPr>
        <w:t xml:space="preserve">3.3.1  Original demographic predictors</w:t>
      </w:r>
    </w:p>
    <w:p>
      <w:pPr>
        <w:spacing w:after="200" w:before="0"/>
        <w:jc w:val="both"/>
      </w:pPr>
      <w:r>
        <w:rPr>
          <w:rFonts w:ascii="Times New Roman" w:cs="Times New Roman" w:eastAsia="Times New Roman" w:hAnsi="Times New Roman"/>
          <w:sz w:val="24"/>
          <w:szCs w:val="24"/>
        </w:rPr>
        <w:t xml:space="preserve">None of the nine original district-level demographic predictors was associated with roaming-dog density (Table 3). Owned-dog density, human density, and total owned dogs produced near-identical rate ratios (RR ≈ 0.90–0.91, all p &gt; 0.38), reflecting their common derivation from the same household survey. All other predictors—area, dogs per dwelling, human:dog ratio—were similarly non-significant (all p &gt; 0.54). The null pattern was unchanged after excluding low-effort districts (Table S2), and neither macrozone (χ² = 6.02, df = 4, p = 0.20) nor counting team was associated with density.</w:t>
      </w:r>
    </w:p>
    <w:p>
      <w:pPr>
        <w:pStyle w:val="Heading3"/>
        <w:spacing w:after="60" w:before="160"/>
      </w:pPr>
      <w:r>
        <w:rPr>
          <w:rFonts w:ascii="Times New Roman" w:cs="Times New Roman" w:eastAsia="Times New Roman" w:hAnsi="Times New Roman"/>
          <w:i/>
          <w:iCs/>
          <w:sz w:val="24"/>
          <w:szCs w:val="24"/>
        </w:rPr>
        <w:t xml:space="preserve">3.3.2  Extended covariate screening</w:t>
      </w:r>
    </w:p>
    <w:p>
      <w:pPr>
        <w:spacing w:after="200" w:before="0"/>
        <w:jc w:val="both"/>
      </w:pPr>
      <w:r>
        <w:rPr>
          <w:rFonts w:ascii="Times New Roman" w:cs="Times New Roman" w:eastAsia="Times New Roman" w:hAnsi="Times New Roman"/>
          <w:sz w:val="24"/>
          <w:szCs w:val="24"/>
        </w:rPr>
        <w:t xml:space="preserve">Screening across 27 predictors identified four nominally significant associations before correction (Table S3): IDC2 economy sub-index (RR = 0.71, 95% CI 0.55–0.94, p = 0.005), registered NGOs (RR = 0.74, 0.57–0.96, p = 0.012), proportion of dogs always kept indoors (RR = 1.31, 1.05–1.66, p = 0.014), and IDH 2005 (RR = 0.76, 0.60–0.98, p = 0.019). None survived Benjamini–Hochberg FDR correction (all adjusted p ≥ 0.13). The IDC2 composite showed a marginal association (RR = 0.79, p = 0.051), while neutering rate was directionally negative but non-significant (RR = 0.82, p = 0.099). Signals attenuated or shifted direction after excluding low-effort districts, indicating inconsistency across subsets.</w:t>
      </w:r>
    </w:p>
    <w:p>
      <w:pPr>
        <w:spacing w:after="200" w:before="0"/>
        <w:jc w:val="both"/>
      </w:pPr>
      <w:r>
        <w:rPr>
          <w:rFonts w:ascii="Times New Roman" w:cs="Times New Roman" w:eastAsia="Times New Roman" w:hAnsi="Times New Roman"/>
          <w:sz w:val="24"/>
          <w:szCs w:val="24"/>
        </w:rPr>
        <w:t xml:space="preserve">In the pre-specified multivariate negative binomial model combining IDC2, neutering rate, and proportion always indoors, all three rate ratios attenuated to non-significance (IDC2: RR = 0.90, 95% CI 0.68–1.19, p = 0.416; neutering rate: RR = 0.90, 0.72–1.13, p = 0.370; always indoors: RR = 1.23, 0.97–1.58, p = 0.089; overall LRT vs. null: χ² = 6.97, df = 3, p = 0.073; ΔAIC = 1.0). Results were similar after excluding low-effort districts. The disappearance of the economy signal in the multivariate model indicates confounding with the behaviour variables, particularly proportion always indoors (r = −0.47).</w:t>
      </w:r>
    </w:p>
    <w:p>
      <w:pPr>
        <w:pStyle w:val="Heading3"/>
        <w:spacing w:after="60" w:before="160"/>
      </w:pPr>
      <w:r>
        <w:rPr>
          <w:rFonts w:ascii="Times New Roman" w:cs="Times New Roman" w:eastAsia="Times New Roman" w:hAnsi="Times New Roman"/>
          <w:i/>
          <w:iCs/>
          <w:sz w:val="24"/>
          <w:szCs w:val="24"/>
        </w:rPr>
        <w:t xml:space="preserve">3.3.3  Principal component analysis</w:t>
      </w:r>
    </w:p>
    <w:p>
      <w:pPr>
        <w:spacing w:after="200" w:before="0"/>
        <w:jc w:val="both"/>
      </w:pPr>
      <w:r>
        <w:rPr>
          <w:rFonts w:ascii="Times New Roman" w:cs="Times New Roman" w:eastAsia="Times New Roman" w:hAnsi="Times New Roman"/>
          <w:sz w:val="24"/>
          <w:szCs w:val="24"/>
        </w:rPr>
        <w:t xml:space="preserve">PCA of 12 district-level covariates (all 25 districts complete) retained three components by the Kaiser criterion (eigenvalue &gt; 1), explaining 57.7%, 12.5%, and 10.8% of variance (cumulative 81.0%). PC1 represented a broad socioeconomic development axis: IDC2 (loading = 0.96), vet centres (0.92), IDC2 education (0.90), households (0.89), and IDC2 economy (0.88) all loaded strongly. PC2 represented an urbanisation and ownership-behaviour contrast: roaming unsupervised (+0.70), % urban (+0.46), human density (+0.29), versus IDH 2005 (−0.51). PC3 represented an indoor confinement versus neutering contrast: always indoors (−0.69) versus neutering rate (+0.58).</w:t>
      </w:r>
    </w:p>
    <w:p>
      <w:pPr>
        <w:spacing w:after="200" w:before="0"/>
        <w:jc w:val="both"/>
      </w:pPr>
      <w:r>
        <w:rPr>
          <w:rFonts w:ascii="Times New Roman" w:cs="Times New Roman" w:eastAsia="Times New Roman" w:hAnsi="Times New Roman"/>
          <w:sz w:val="24"/>
          <w:szCs w:val="24"/>
        </w:rPr>
        <w:t xml:space="preserve">In NB models using PC scores as orthogonal predictors, PC1 (RR = 0.92, 95% CI 0.84–1.00, p = 0.026) and PC3 (RR = 0.81, 0.68–0.96, p = 0.017) were significantly associated with roaming density across all 25 districts. PC3 remained significant and strengthened after excluding low-effort districts (RR = 0.79, 0.68–0.92, p = 0.003), while PC1 did not (RR = 0.96, p = 0.267). PC2 was not significant in either dataset. Higher PC3 scores—reflecting a balance towards indoor confinement rather than neutering—were thus consistently associated with higher roaming density.</w:t>
      </w:r>
    </w:p>
    <w:p>
      <w:pPr>
        <w:pStyle w:val="Heading2"/>
        <w:spacing w:after="80" w:before="240"/>
      </w:pPr>
      <w:r>
        <w:rPr>
          <w:rFonts w:ascii="Times New Roman" w:cs="Times New Roman" w:eastAsia="Times New Roman" w:hAnsi="Times New Roman"/>
          <w:b/>
          <w:bCs/>
          <w:i/>
          <w:iCs/>
          <w:sz w:val="24"/>
          <w:szCs w:val="24"/>
        </w:rPr>
        <w:t xml:space="preserve">3.4  Encounter rate model</w:t>
      </w:r>
    </w:p>
    <w:p>
      <w:pPr>
        <w:spacing w:after="200" w:before="0"/>
        <w:jc w:val="both"/>
      </w:pPr>
      <w:r>
        <w:rPr>
          <w:rFonts w:ascii="Times New Roman" w:cs="Times New Roman" w:eastAsia="Times New Roman" w:hAnsi="Times New Roman"/>
          <w:sz w:val="24"/>
          <w:szCs w:val="24"/>
        </w:rPr>
        <w:t xml:space="preserve">The quasi-binomial GLM showed strong overdispersion (φ ≈ 11–13), consistent with spatial clustering of dog sightings within districts. After scaling standard errors by √φ, district neutering rate was the only significant predictor in both district sets. Each additional standard deviation (~12.6 percentage points) in the proportion of owned dogs sterilised was associated with approximately halving the odds of observing a roaming dog at any given survey point (OR = 0.54, 95% CI 0.31–0.91, p = 0.035 in all 25 districts; OR = 0.53, 0.29–0.93, p = 0.046 excluding low-effort districts; Table 5). Human population density (OR = 0.69, p = 0.230) and proportion always kept indoors (OR = 1.06, p = 0.838) were not significant. The overall model substantially outperformed the null (ΔAIC ≈ 137).</w:t>
      </w:r>
    </w:p>
    <w:p>
      <w:pPr>
        <w:pStyle w:val="Heading2"/>
        <w:spacing w:after="80" w:before="240"/>
      </w:pPr>
      <w:r>
        <w:rPr>
          <w:rFonts w:ascii="Times New Roman" w:cs="Times New Roman" w:eastAsia="Times New Roman" w:hAnsi="Times New Roman"/>
          <w:b/>
          <w:bCs/>
          <w:i/>
          <w:iCs/>
          <w:sz w:val="24"/>
          <w:szCs w:val="24"/>
        </w:rPr>
        <w:t xml:space="preserve">3.5  Spatial distribution of dog sightings</w:t>
      </w:r>
    </w:p>
    <w:p>
      <w:pPr>
        <w:spacing w:after="200" w:before="0"/>
        <w:jc w:val="both"/>
      </w:pPr>
      <w:r>
        <w:rPr>
          <w:rFonts w:ascii="Times New Roman" w:cs="Times New Roman" w:eastAsia="Times New Roman" w:hAnsi="Times New Roman"/>
          <w:sz w:val="24"/>
          <w:szCs w:val="24"/>
        </w:rPr>
        <w:t xml:space="preserve">The mean inter-dog distance across all 25 districts was 119 m (median 117 m). Most districts (17/25) had aggregation ratios at or above 1 (mean AR = 0.97, median AR = 1.01), indicating that dog sightings are distributed approximately randomly along transects rather than concentrated in hotspots. Only eight districts showed true clustering (AR &lt; 1) relative to survey spacing. Mean IDD was strongly negatively correlated with roaming density (Spearman ρ = −0.80, p &lt; 0.001): shorter inter-dog gaps characterised denser districts. The correlation between IDD and encounter rate was weaker (ρ = −0.37, p = 0.066). The high overdispersion in the encounter rate model (φ ≈ 11–13) thus reflects between-district heterogeneity in roaming-dog presence rather than within-district spatial clustering of dogs along individual transects.</w:t>
      </w:r>
    </w:p>
    <w:p>
      <w:pPr>
        <w:pStyle w:val="Heading2"/>
        <w:spacing w:after="80" w:before="240"/>
      </w:pPr>
      <w:r>
        <w:rPr>
          <w:rFonts w:ascii="Times New Roman" w:cs="Times New Roman" w:eastAsia="Times New Roman" w:hAnsi="Times New Roman"/>
          <w:b/>
          <w:bCs/>
          <w:i/>
          <w:iCs/>
          <w:sz w:val="24"/>
          <w:szCs w:val="24"/>
        </w:rPr>
        <w:t xml:space="preserve">3.6  Dog-bite incidence</w:t>
      </w:r>
    </w:p>
    <w:p>
      <w:pPr>
        <w:spacing w:after="200" w:before="0"/>
        <w:jc w:val="both"/>
      </w:pPr>
      <w:r>
        <w:rPr>
          <w:rFonts w:ascii="Times New Roman" w:cs="Times New Roman" w:eastAsia="Times New Roman" w:hAnsi="Times New Roman"/>
          <w:sz w:val="24"/>
          <w:szCs w:val="24"/>
        </w:rPr>
        <w:t xml:space="preserve">Roaming-dog density showed no association with district dog-bite incidence in any model (Table 4). For public-space bites attributed to any dog, the rate ratio per one standard deviation of roaming density was 1.07 (95% CI 0.83–1.42, p = 0.642). Restricting the outcome to bites attributed to dogs with no traceable owner produced a rate ratio of 1.00 (95% CI 0.76–1.36, p = 0.975). Both remained null after excluding low-effort districts (RR = 0.96, p = 0.777 and RR = 0.95, p = 0.776 respectively) and in summer-restricted analyses. El Quisco exemplifies the decoupling: it had the highest public-space bite incidence in the dataset yet one of the lowest roaming-dog densities (4.4 dogs/km; encounter rate 0.32), confirming that the two measures capture fundamentally different quantities.</w:t>
      </w:r>
    </w:p>
    <w:p>
      <w:pPr>
        <w:spacing w:after="0" w:before="0"/>
      </w:pPr>
      <w:r>
        <w:t xml:space="preserve"/>
      </w:r>
    </w:p>
    <w:p>
      <w:pPr>
        <w:pStyle w:val="Heading1"/>
        <w:spacing w:after="120" w:before="360"/>
      </w:pPr>
      <w:r>
        <w:rPr>
          <w:rFonts w:ascii="Times New Roman" w:cs="Times New Roman" w:eastAsia="Times New Roman" w:hAnsi="Times New Roman"/>
          <w:b/>
          <w:bCs/>
          <w:sz w:val="24"/>
          <w:szCs w:val="24"/>
        </w:rPr>
        <w:t xml:space="preserve">4. Discussion</w:t>
      </w:r>
    </w:p>
    <w:p>
      <w:pPr>
        <w:spacing w:after="200" w:before="0"/>
        <w:jc w:val="both"/>
      </w:pPr>
      <w:r>
        <w:rPr>
          <w:rFonts w:ascii="Times New Roman" w:cs="Times New Roman" w:eastAsia="Times New Roman" w:hAnsi="Times New Roman"/>
          <w:sz w:val="24"/>
          <w:szCs w:val="24"/>
        </w:rPr>
        <w:t xml:space="preserve">This Discussion is structured around four contributions: the density estimates and their diurnal pattern; the relationship between roaming density and district-level predictors; the encounter rate model and neutering coverage; and the methodological and policy implications.</w:t>
      </w:r>
    </w:p>
    <w:p>
      <w:pPr>
        <w:spacing w:after="200" w:before="0"/>
        <w:jc w:val="both"/>
      </w:pPr>
      <w:r>
        <w:rPr>
          <w:rFonts w:ascii="Times New Roman" w:cs="Times New Roman" w:eastAsia="Times New Roman" w:hAnsi="Times New Roman"/>
          <w:sz w:val="24"/>
          <w:szCs w:val="24"/>
        </w:rPr>
        <w:t xml:space="preserve">The pooled roaming-dog density of 13.7 dogs/km, with a fourteen-fold variation among well-sampled districts, places Chile within the range reported from other Latin American settings using encounter-rate methods—Cárdenas et al. (2021) reported street counts of a similar order in Quito, Ecuador—though direct comparisons remain difficult because published studies use heterogeneous units. The diurnal pattern is informative: adjusted density was highest at approximately 09:00 (~18 dogs/km), fell by ~40% to approximately 11 dogs/km around 14:00–16:00, and recovered modestly towards evening. This is consistent with a mixed population in which a substantial fraction of owned dogs are released early in the morning and subsequently recalled, while a more stable fraction—comprising unowned animals or dogs with less-supervised owners—remains present throughout the day. Morning counts alone would therefore overestimate the density of truly free-roaming animals. The stability of density across survey days and the absence of a team effect indicate that the indicator is robust with standardised training, without requiring specialist field staff.</w:t>
      </w:r>
    </w:p>
    <w:p>
      <w:pPr>
        <w:spacing w:after="200" w:before="0"/>
        <w:jc w:val="both"/>
      </w:pPr>
      <w:r>
        <w:rPr>
          <w:rFonts w:ascii="Times New Roman" w:cs="Times New Roman" w:eastAsia="Times New Roman" w:hAnsi="Times New Roman"/>
          <w:sz w:val="24"/>
          <w:szCs w:val="24"/>
        </w:rPr>
        <w:t xml:space="preserve">Roaming-dog density was largely decoupled from demographic owner-survey indicators at the district level, consistent with evidence from southern Chile and Santiago showing that fine-scale socioeconomic and behavioural variation—rather than aggregate district demographics—drives neighbourhood-level dog abundance (Silva-Rodríguez et al., 2023; Crespin &amp; Contreras-Abarca, 2024). Extended screening identified nominal associations with economic development and NGO presence, but none survived correction for multiple comparisons, and signals were inconsistent across district subsets. The counterintuitive positive association of proportion always indoors with roaming density (RR = 1.31 univariate) likely reflects a dual-population structure in more urbanised districts: where owned dogs are more tightly managed, a distinct and independently self-sustaining free-roaming population may coexist alongside well-controlled owned animals. This distinction between the owned and free-roaming subpopulations is fundamental—they are not the same dogs.</w:t>
      </w:r>
    </w:p>
    <w:p>
      <w:pPr>
        <w:spacing w:after="200" w:before="0"/>
        <w:jc w:val="both"/>
      </w:pPr>
      <w:r>
        <w:rPr>
          <w:rFonts w:ascii="Times New Roman" w:cs="Times New Roman" w:eastAsia="Times New Roman" w:hAnsi="Times New Roman"/>
          <w:sz w:val="24"/>
          <w:szCs w:val="24"/>
        </w:rPr>
        <w:t xml:space="preserve">The most novel and practically important finding concerns encounter probability. Neutering coverage of the owned-dog population was the only predictor that significantly and consistently predicted the probability of observing a roaming dog at any given survey point, with each standard deviation increase in district sterilisation rate associated with approximately halving the odds of a roaming encounter (OR ≈ 0.54, p = 0.035). This association survived after correcting for overdispersion (φ ≈ 11–13) and was robust across both district sets. While the cross-sectional design precludes causal inference, the direction and magnitude are consistent with theory: sterilisation reduces both the reproductive rate of the owned population and the number of dogs that transition to unsupervised roaming through owner relinquishment. The result provides empirical support, at a district level, for sterilisation as a population management lever (Garde et al., 2022; OIE, 2022). Critically, this signal was detectable only through the encounter-probability model; the dogs/km density model did not reach significance for neutering. This illustrates the complementary value of the two outcomes: dogs/km reflects the absolute density of visible roamers, while encounter rate is more sensitive to the presence or absence of roaming dogs at individual spatial locations.</w:t>
      </w:r>
    </w:p>
    <w:p>
      <w:pPr>
        <w:spacing w:after="200" w:before="0"/>
        <w:jc w:val="both"/>
      </w:pPr>
      <w:r>
        <w:rPr>
          <w:rFonts w:ascii="Times New Roman" w:cs="Times New Roman" w:eastAsia="Times New Roman" w:hAnsi="Times New Roman"/>
          <w:sz w:val="24"/>
          <w:szCs w:val="24"/>
        </w:rPr>
        <w:t xml:space="preserve">The absence of any association between roaming-dog density and district bite incidence replicates the null result from the demographic analysis and was one of our most striking findings. El Quisco illustrates the decoupling: highest bite incidence in the dataset yet one of the lowest roaming-dog densities. Several mechanisms are likely at work. Dog bites are spatially concentrated at fine scales that district averages obscure (Castillo-Neyra et al., 2021); a large fraction of bites are inflicted by owned dogs that roam intermittently rather than permanently unowned animals; and bite reporting varies across districts for reasons unrelated to actual incidence. Roaming-dog density and bite incidence are therefore complementary but distinct indicators, each capturing a different dimension of the dog–human interface.</w:t>
      </w:r>
    </w:p>
    <w:p>
      <w:pPr>
        <w:spacing w:after="200" w:before="0"/>
        <w:jc w:val="both"/>
      </w:pPr>
      <w:r>
        <w:rPr>
          <w:rFonts w:ascii="Times New Roman" w:cs="Times New Roman" w:eastAsia="Times New Roman" w:hAnsi="Times New Roman"/>
          <w:sz w:val="24"/>
          <w:szCs w:val="24"/>
        </w:rPr>
        <w:t xml:space="preserve">Our encounter-rate transect approach provides an effort-corrected, reproducible relative density indicator at negligible cost from data already collected for another purpose, operationalising the dogs-per-kilometre monitoring concept proposed by Cárdenas et al. (2021) and Hiby et al. (2017). Its main limitation is that it cannot distinguish owned-roaming from unowned dogs, or yield absolute population sizes. It is best understood as complementary to methods that yield absolute counts (Tiwari et al., 2018; Silva et al., 2026; Meunier et al., 2019; Porras et al., 2025). The spatial distribution analysis—showing approximately Poisson spacing of dog sightings in most districts (median AR ≈ 1.0)—confirms that the high overdispersion in encounter-probability models (φ ≈ 11–13) reflects between-district heterogeneity rather than within-district clustering, and suggests that transect routes adequately sample the roaming population where sufficient effort was invested.</w:t>
      </w:r>
    </w:p>
    <w:p>
      <w:pPr>
        <w:spacing w:after="200" w:before="0"/>
        <w:jc w:val="both"/>
      </w:pPr>
      <w:r>
        <w:rPr>
          <w:rFonts w:ascii="Times New Roman" w:cs="Times New Roman" w:eastAsia="Times New Roman" w:hAnsi="Times New Roman"/>
          <w:sz w:val="24"/>
          <w:szCs w:val="24"/>
        </w:rPr>
        <w:t xml:space="preserve">Our findings carry direct implications for dog population management in Chile. The association between district neutering coverage and encounter probability provides the first district-level empirical evidence that sterilisation of the owned-dog population reduces the visible roaming fraction, reinforcing its priority in programme design. A simple transect count—feasible with municipal staff following standardised training, as demonstrated by the team-independence of our estimates—could provide the local baseline that reviews of PTRAC–SUBDERE note is currently absent (Garde et al., 2022). Incorporating routine transect counts into companion-animal surveillance would give Chilean districts an evidence base for targeting and evaluating their interventions, in line with a One Health approach to dog population management (Viozzi et al., 2026).</w:t>
      </w:r>
    </w:p>
    <w:p>
      <w:pPr>
        <w:spacing w:after="200" w:before="0"/>
        <w:jc w:val="both"/>
      </w:pPr>
      <w:r>
        <w:rPr>
          <w:rFonts w:ascii="Times New Roman" w:cs="Times New Roman" w:eastAsia="Times New Roman" w:hAnsi="Times New Roman"/>
          <w:sz w:val="24"/>
          <w:szCs w:val="24"/>
        </w:rPr>
        <w:t xml:space="preserve">Several limitations should be acknowledged. The transect counts represent a single cross-section from December 2021 and cannot reflect temporal trends or seasonal variation. District representativeness depends on the original survey routes, which were not designed to sample high-density or high-risk areas. The 500 m step threshold for excluding relocations is pragmatic. The correlate and bite analyses rest on 22–25 observations, limiting statistical power; null results should be read as absence of a strong signal rather than proof of no relationship. Encounter-rate counts cannot distinguish owned-roaming from unowned dogs without complementary methods.</w:t>
      </w:r>
    </w:p>
    <w:p>
      <w:pPr>
        <w:spacing w:after="0" w:before="0"/>
      </w:pPr>
      <w:r>
        <w:t xml:space="preserve"/>
      </w:r>
    </w:p>
    <w:p>
      <w:pPr>
        <w:pStyle w:val="Heading1"/>
        <w:spacing w:after="120" w:before="360"/>
      </w:pPr>
      <w:r>
        <w:rPr>
          <w:rFonts w:ascii="Times New Roman" w:cs="Times New Roman" w:eastAsia="Times New Roman" w:hAnsi="Times New Roman"/>
          <w:b/>
          <w:bCs/>
          <w:sz w:val="24"/>
          <w:szCs w:val="24"/>
        </w:rPr>
        <w:t xml:space="preserve">References</w:t>
      </w:r>
    </w:p>
    <w:p>
      <w:pPr>
        <w:spacing w:after="200" w:before="0"/>
        <w:jc w:val="both"/>
      </w:pPr>
      <w:r>
        <w:rPr>
          <w:rFonts w:ascii="Times New Roman" w:cs="Times New Roman" w:eastAsia="Times New Roman" w:hAnsi="Times New Roman"/>
          <w:i/>
          <w:iCs/>
          <w:sz w:val="24"/>
          <w:szCs w:val="24"/>
        </w:rPr>
        <w:t xml:space="preserve">[Retain existing reference list from v5. Add:</w:t>
      </w:r>
    </w:p>
    <w:p>
      <w:pPr>
        <w:spacing w:after="200" w:before="0"/>
        <w:jc w:val="both"/>
      </w:pPr>
      <w:r>
        <w:rPr>
          <w:rFonts w:ascii="Times New Roman" w:cs="Times New Roman" w:eastAsia="Times New Roman" w:hAnsi="Times New Roman"/>
          <w:i/>
          <w:iCs/>
          <w:sz w:val="24"/>
          <w:szCs w:val="24"/>
        </w:rPr>
        <w:t xml:space="preserve">Garwood, F., 1936. Fiducial limits for the Poisson distribution. Biometrika 28, 437–442.</w:t>
      </w:r>
    </w:p>
    <w:p>
      <w:pPr>
        <w:spacing w:after="200" w:before="0"/>
        <w:jc w:val="both"/>
      </w:pPr>
      <w:r>
        <w:rPr>
          <w:rFonts w:ascii="Times New Roman" w:cs="Times New Roman" w:eastAsia="Times New Roman" w:hAnsi="Times New Roman"/>
          <w:i/>
          <w:iCs/>
          <w:sz w:val="24"/>
          <w:szCs w:val="24"/>
        </w:rPr>
        <w:t xml:space="preserve">Lê, S., Josse, J., Husson, F., 2008. FactoMineR: an R package for multivariate analysis. J Stat Softw 25(1), 1–18.]</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2026-07-09T12:57:04.688Z</dcterms:created>
  <dcterms:modified xsi:type="dcterms:W3CDTF">2026-07-09T12:57:04.715Z</dcterms:modified>
</cp:coreProperties>
</file>

<file path=docProps/custom.xml><?xml version="1.0" encoding="utf-8"?>
<Properties xmlns="http://schemas.openxmlformats.org/officeDocument/2006/custom-properties" xmlns:vt="http://schemas.openxmlformats.org/officeDocument/2006/docPropsVTypes"/>
</file>