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Joprelys HealthTech</w:t>
      </w:r>
    </w:p>
    <w:p>
      <w:pPr>
        <w:jc w:val="center"/>
      </w:pPr>
      <w:r>
        <w:drawing>
          <wp:inline xmlns:a="http://schemas.openxmlformats.org/drawingml/2006/main" xmlns:pic="http://schemas.openxmlformats.org/drawingml/2006/picture">
            <wp:extent cx="3474720" cy="3474720"/>
            <wp:docPr id="1" name="Picture 1"/>
            <wp:cNvGraphicFramePr>
              <a:graphicFrameLocks noChangeAspect="1"/>
            </wp:cNvGraphicFramePr>
            <a:graphic>
              <a:graphicData uri="http://schemas.openxmlformats.org/drawingml/2006/picture">
                <pic:pic>
                  <pic:nvPicPr>
                    <pic:cNvPr id="0" name="01_logo_principal.png"/>
                    <pic:cNvPicPr/>
                  </pic:nvPicPr>
                  <pic:blipFill>
                    <a:blip r:embed="rId9"/>
                    <a:stretch>
                      <a:fillRect/>
                    </a:stretch>
                  </pic:blipFill>
                  <pic:spPr>
                    <a:xfrm>
                      <a:off x="0" y="0"/>
                      <a:ext cx="3474720" cy="3474720"/>
                    </a:xfrm>
                    <a:prstGeom prst="rect"/>
                  </pic:spPr>
                </pic:pic>
              </a:graphicData>
            </a:graphic>
          </wp:inline>
        </w:drawing>
      </w:r>
    </w:p>
    <w:p>
      <w:pPr>
        <w:jc w:val="center"/>
      </w:pPr>
      <w:r>
        <w:rPr>
          <w:b/>
        </w:rPr>
        <w:t>Parce que chaque vie compte, nous protégeons l’essentiel.</w:t>
      </w:r>
    </w:p>
    <w:p>
      <w:pPr>
        <w:pStyle w:val="Heading1"/>
      </w:pPr>
      <w:r>
        <w:t>1. Présentation de marque</w:t>
      </w:r>
    </w:p>
    <w:p>
      <w:r>
        <w:t>Slogan court : Parce que chaque vie compte.</w:t>
      </w:r>
    </w:p>
    <w:p>
      <w:r>
        <w:t>Slogan long : Parce que chaque vie compte, nous protégeons l’essentiel.</w:t>
      </w:r>
    </w:p>
    <w:p>
      <w:r>
        <w:t>Histoire de marque : Née d’une histoire de famille, Joprelys HealthTech développe des solutions numériques pour protéger la santé des personnes, connecter les acteurs du soin et rendre le parcours médical plus simple, plus sûr et plus humain.</w:t>
      </w:r>
    </w:p>
    <w:p>
      <w:pPr>
        <w:pStyle w:val="Heading1"/>
      </w:pPr>
      <w:r>
        <w:t>2. Positionnement</w:t>
      </w:r>
    </w:p>
    <w:p>
      <w:r>
        <w:t>Joprelys HealthTech est une marque de santé numérique construite autour d’une vision humaine, familiale et technologique. Elle vise à protéger la santé des personnes, simplifier le parcours de soins et connecter les acteurs du soin.</w:t>
      </w:r>
    </w:p>
    <w:p>
      <w:pPr>
        <w:pStyle w:val="Heading1"/>
      </w:pPr>
      <w:r>
        <w:t>3. Valeurs de marque</w:t>
      </w:r>
    </w:p>
    <w:p>
      <w:pPr>
        <w:pStyle w:val="ListBullet"/>
      </w:pPr>
      <w:r>
        <w:t>Protection : La sécurité et le bien-être des personnes avant tout.</w:t>
      </w:r>
    </w:p>
    <w:p>
      <w:pPr>
        <w:pStyle w:val="ListBullet"/>
      </w:pPr>
      <w:r>
        <w:t>Humanité : Des solutions centrées sur l’humain.</w:t>
      </w:r>
    </w:p>
    <w:p>
      <w:pPr>
        <w:pStyle w:val="ListBullet"/>
      </w:pPr>
      <w:r>
        <w:t>Innovation : La technologie au service d’une meilleure santé.</w:t>
      </w:r>
    </w:p>
    <w:p>
      <w:pPr>
        <w:pStyle w:val="ListBullet"/>
      </w:pPr>
      <w:r>
        <w:t>Intégrité : Transparence, éthique et confiance.</w:t>
      </w:r>
    </w:p>
    <w:p>
      <w:pPr>
        <w:pStyle w:val="ListBullet"/>
      </w:pPr>
      <w:r>
        <w:t>Engagement : Un engagement durable pour un impact réel.</w:t>
      </w:r>
    </w:p>
    <w:p>
      <w:pPr>
        <w:pStyle w:val="Heading1"/>
      </w:pPr>
      <w:r>
        <w:t>4. Palette de couleurs</w:t>
      </w:r>
    </w:p>
    <w:p>
      <w:pPr>
        <w:pStyle w:val="ListBullet"/>
      </w:pPr>
      <w:r>
        <w:t>Bleu nuit principal : #0A1D3D</w:t>
      </w:r>
    </w:p>
    <w:p>
      <w:pPr>
        <w:pStyle w:val="ListBullet"/>
      </w:pPr>
      <w:r>
        <w:t>Vert santé : #16A34A</w:t>
      </w:r>
    </w:p>
    <w:p>
      <w:pPr>
        <w:pStyle w:val="ListBullet"/>
      </w:pPr>
      <w:r>
        <w:t>Bleu cyan / santé digitale : #0B91B2</w:t>
      </w:r>
    </w:p>
    <w:p>
      <w:pPr>
        <w:pStyle w:val="ListBullet"/>
      </w:pPr>
      <w:r>
        <w:t>Vert menthe clair : #D1FAE5</w:t>
      </w:r>
    </w:p>
    <w:p>
      <w:pPr>
        <w:pStyle w:val="ListBullet"/>
      </w:pPr>
      <w:r>
        <w:t>Gris très clair : #F2F4F7</w:t>
      </w:r>
    </w:p>
    <w:p>
      <w:pPr>
        <w:pStyle w:val="Heading1"/>
      </w:pPr>
      <w:r>
        <w:t>5. Typographies</w:t>
      </w:r>
    </w:p>
    <w:p>
      <w:pPr>
        <w:pStyle w:val="ListBullet"/>
      </w:pPr>
      <w:r>
        <w:t>Montserrat — Bold / SemiBold : titres, accents, identité forte.</w:t>
      </w:r>
    </w:p>
    <w:p>
      <w:pPr>
        <w:pStyle w:val="ListBullet"/>
      </w:pPr>
      <w:r>
        <w:t>Inter — Regular / Medium : textes, contenus, interfaces et documents.</w:t>
      </w:r>
    </w:p>
    <w:p>
      <w:pPr>
        <w:pStyle w:val="Heading1"/>
      </w:pPr>
      <w:r>
        <w:t>6. Architecture de marque</w:t>
      </w:r>
    </w:p>
    <w:p>
      <w:pPr>
        <w:pStyle w:val="ListBullet"/>
      </w:pPr>
      <w:r>
        <w:t>AllôPharma — une solution Joprelys HealthTech</w:t>
      </w:r>
    </w:p>
    <w:p>
      <w:pPr>
        <w:pStyle w:val="ListBullet"/>
      </w:pPr>
      <w:r>
        <w:t>Joprelys Hospital — gestion d’hôpitaux et cliniques</w:t>
      </w:r>
    </w:p>
    <w:p>
      <w:pPr>
        <w:pStyle w:val="ListBullet"/>
      </w:pPr>
      <w:r>
        <w:t>Joprelys Clinic — gestion de centres médicaux et cabinets</w:t>
      </w:r>
    </w:p>
    <w:p>
      <w:pPr>
        <w:pStyle w:val="ListBullet"/>
      </w:pPr>
      <w:r>
        <w:t>Joprelys Patient — carnet de santé / dossier patient</w:t>
      </w:r>
    </w:p>
    <w:p>
      <w:pPr>
        <w:pStyle w:val="ListBullet"/>
      </w:pPr>
      <w:r>
        <w:t>Joprelys Pro — espace professionnels de santé</w:t>
      </w:r>
    </w:p>
    <w:p>
      <w:pPr>
        <w:pStyle w:val="Heading1"/>
      </w:pPr>
      <w:r>
        <w:t>7. Déclinaisons du logo incluses</w:t>
      </w:r>
    </w:p>
    <w:p>
      <w:pPr>
        <w:pStyle w:val="ListBullet"/>
      </w:pPr>
      <w:r>
        <w:t>01_logo_principal.png : version principale institutionnelle.</w:t>
      </w:r>
    </w:p>
    <w:p>
      <w:pPr>
        <w:pStyle w:val="ListBullet"/>
      </w:pPr>
      <w:r>
        <w:t>02_logo_horizontal.png : version pour en-têtes, bannières et signatures.</w:t>
      </w:r>
    </w:p>
    <w:p>
      <w:pPr>
        <w:pStyle w:val="ListBullet"/>
      </w:pPr>
      <w:r>
        <w:t>03_logo_compact.png : version compacte pour petits espaces.</w:t>
      </w:r>
    </w:p>
    <w:p>
      <w:pPr>
        <w:pStyle w:val="ListBullet"/>
      </w:pPr>
      <w:r>
        <w:t>04_logo_icone_favicon.png : icône application / favicon.</w:t>
      </w:r>
    </w:p>
    <w:p>
      <w:pPr>
        <w:pStyle w:val="ListBullet"/>
      </w:pPr>
      <w:r>
        <w:t>05_logo_monochrome.png : usage monochrome et impression sobre.</w:t>
      </w:r>
    </w:p>
    <w:p>
      <w:pPr>
        <w:pStyle w:val="ListBullet"/>
      </w:pPr>
      <w:r>
        <w:t>06_logo_blanc_fond_bleu.png : usage sur fonds sombres institutionnels.</w:t>
      </w:r>
    </w:p>
    <w:p>
      <w:pPr>
        <w:pStyle w:val="ListBullet"/>
      </w:pPr>
      <w:r>
        <w:t>07_logo_blanc_fond_vert.png : variation sur fond vert de marque.</w:t>
      </w:r>
    </w:p>
    <w:p>
      <w:pPr>
        <w:pStyle w:val="ListBullet"/>
      </w:pPr>
      <w:r>
        <w:t>08_logo_noir.png : usage noir simple et impression noir et blanc.</w:t>
      </w:r>
    </w:p>
    <w:p>
      <w:pPr>
        <w:pStyle w:val="Heading1"/>
      </w:pPr>
      <w:r>
        <w:t>8. Règles d’usage du logo</w:t>
      </w:r>
    </w:p>
    <w:p>
      <w:pPr>
        <w:pStyle w:val="ListBullet"/>
      </w:pPr>
      <w:r>
        <w:t>Toujours respecter les proportions du logo.</w:t>
      </w:r>
    </w:p>
    <w:p>
      <w:pPr>
        <w:pStyle w:val="ListBullet"/>
      </w:pPr>
      <w:r>
        <w:t>Ne pas déformer, étirer ou incliner le logo.</w:t>
      </w:r>
    </w:p>
    <w:p>
      <w:pPr>
        <w:pStyle w:val="ListBullet"/>
      </w:pPr>
      <w:r>
        <w:t>Ne pas changer les couleurs en dehors des versions prévues.</w:t>
      </w:r>
    </w:p>
    <w:p>
      <w:pPr>
        <w:pStyle w:val="ListBullet"/>
      </w:pPr>
      <w:r>
        <w:t>Préserver une zone de protection autour du logo.</w:t>
      </w:r>
    </w:p>
    <w:p>
      <w:pPr>
        <w:pStyle w:val="ListBullet"/>
      </w:pPr>
      <w:r>
        <w:t>Utiliser la version monochrome ou noire quand l’impression couleur n’est pas possible.</w:t>
      </w:r>
    </w:p>
    <w:p>
      <w:pPr>
        <w:pStyle w:val="Heading1"/>
      </w:pPr>
      <w:r>
        <w:t>9. Applications recommandées</w:t>
      </w:r>
    </w:p>
    <w:p>
      <w:pPr>
        <w:pStyle w:val="ListBullet"/>
      </w:pPr>
      <w:r>
        <w:t>Site web et landing pages</w:t>
      </w:r>
    </w:p>
    <w:p>
      <w:pPr>
        <w:pStyle w:val="ListBullet"/>
      </w:pPr>
      <w:r>
        <w:t>Applications mobiles et favicon</w:t>
      </w:r>
    </w:p>
    <w:p>
      <w:pPr>
        <w:pStyle w:val="ListBullet"/>
      </w:pPr>
      <w:r>
        <w:t>Cartes de visite et signatures e-mail</w:t>
      </w:r>
    </w:p>
    <w:p>
      <w:pPr>
        <w:pStyle w:val="ListBullet"/>
      </w:pPr>
      <w:r>
        <w:t>Réseaux sociaux, bannières et présentations</w:t>
      </w:r>
    </w:p>
    <w:p>
      <w:pPr>
        <w:pStyle w:val="ListBullet"/>
      </w:pPr>
      <w:r>
        <w:t>Supports institutionnels, commerciaux et produits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