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146EF5"/>
          <w:sz w:val="22"/>
        </w:rPr>
        <w:t>INDYLI SERVICES</w:t>
      </w:r>
    </w:p>
    <w:p>
      <w:pPr>
        <w:pStyle w:val="CoverTitle"/>
        <w:spacing w:before="1100"/>
      </w:pPr>
      <w:r>
        <w:t>Expression de besoin</w:t>
      </w:r>
    </w:p>
    <w:p>
      <w:pPr>
        <w:pStyle w:val="CoverSub"/>
      </w:pPr>
      <w:r>
        <w:t>Application de saisie des temps, CRA et pilotage des prestations</w:t>
      </w:r>
    </w:p>
    <w:p>
      <w:pPr>
        <w:spacing w:before="240"/>
      </w:pPr>
      <w:r>
        <w:rPr>
          <w:color w:val="475467"/>
          <w:sz w:val="22"/>
        </w:rPr>
        <w:t>Prestations logicielles  •  Développement  •  Support  •  Formations</w:t>
      </w:r>
    </w:p>
    <w:tbl>
      <w:tblPr>
        <w:tblW w:type="auto" w:w="0"/>
        <w:jc w:val="left"/>
        <w:tblLook w:firstColumn="1" w:firstRow="1" w:lastColumn="0" w:lastRow="0" w:noHBand="0" w:noVBand="1" w:val="04A0"/>
      </w:tblPr>
      <w:tblGrid>
        <w:gridCol w:w="3437"/>
        <w:gridCol w:w="3437"/>
        <w:gridCol w:w="3437"/>
      </w:tblGrid>
      <w:tr>
        <w:tc>
          <w:tcPr>
            <w:tcW w:type="dxa" w:w="2948"/>
            <w:shd w:fill="146EF5"/>
            <w:tcBorders>
              <w:top w:val="nil"/>
              <w:left w:val="nil"/>
              <w:bottom w:val="nil"/>
              <w:right w:val="nil"/>
            </w:tcBorders>
          </w:tcPr>
          <w:p/>
        </w:tc>
        <w:tc>
          <w:tcPr>
            <w:tcW w:type="dxa" w:w="1247"/>
            <w:shd w:fill="FF8A00"/>
            <w:tcBorders>
              <w:top w:val="nil"/>
              <w:left w:val="nil"/>
              <w:bottom w:val="nil"/>
              <w:right w:val="nil"/>
            </w:tcBorders>
          </w:tcPr>
          <w:p/>
        </w:tc>
        <w:tc>
          <w:tcPr>
            <w:tcW w:type="dxa" w:w="4649"/>
            <w:shd w:fill="0E1B3D"/>
            <w:tcBorders>
              <w:top w:val="nil"/>
              <w:left w:val="nil"/>
              <w:bottom w:val="nil"/>
              <w:right w:val="nil"/>
            </w:tcBorders>
          </w:tcPr>
          <w:p/>
        </w:tc>
      </w:tr>
    </w:tbl>
    <w:p>
      <w:pPr>
        <w:spacing w:before="700"/>
      </w:pPr>
      <w:r>
        <w:rPr>
          <w:color w:val="667085"/>
          <w:sz w:val="20"/>
        </w:rPr>
        <w:t>Version : V1.0</w:t>
        <w:br/>
        <w:t>Date : 30 septembre 2026</w:t>
        <w:br/>
        <w:t>Statut : Expression de besoin / cadrage fonctionnel</w:t>
      </w:r>
    </w:p>
    <w:tbl>
      <w:tblPr>
        <w:tblW w:type="auto" w:w="0"/>
        <w:jc w:val="center"/>
        <w:tblLayout w:type="autofit"/>
        <w:tblLook w:firstColumn="1" w:firstRow="1" w:lastColumn="0" w:lastRow="0" w:noHBand="0" w:noVBand="1" w:val="04A0"/>
      </w:tblPr>
      <w:tblGrid>
        <w:gridCol w:w="10312"/>
      </w:tblGrid>
      <w:tr>
        <w:tc>
          <w:tcPr>
            <w:tcW w:type="dxa" w:w="10312"/>
            <w:shd w:fill="EAF3FF"/>
            <w:tcBorders>
              <w:top w:val="nil"/>
              <w:left w:val="single" w:sz="24" w:color="146EF5"/>
              <w:bottom w:val="nil"/>
              <w:right w:val="nil"/>
            </w:tcBorders>
            <w:tcMar>
              <w:top w:w="140" w:type="dxa"/>
              <w:start w:w="180" w:type="dxa"/>
              <w:bottom w:w="140" w:type="dxa"/>
              <w:end w:w="180" w:type="dxa"/>
            </w:tcMar>
          </w:tcPr>
          <w:p>
            <w:pPr>
              <w:spacing w:after="60"/>
            </w:pPr>
            <w:r>
              <w:rPr>
                <w:b/>
                <w:color w:val="0E1B3D"/>
                <w:sz w:val="21"/>
              </w:rPr>
              <w:t>Vision du produit</w:t>
            </w:r>
          </w:p>
          <w:p>
            <w:pPr>
              <w:spacing w:after="0"/>
            </w:pPr>
            <w:r>
              <w:rPr>
                <w:color w:val="344054"/>
                <w:sz w:val="19"/>
              </w:rPr>
              <w:t>Mettre à disposition des collaborateurs, chefs de projet, formateurs et responsables une interface simple et moderne permettant de déclarer, valider et piloter le temps passé sur les missions clients, les projets logiciels, le support et les formations, en s’appuyant sur Azure DevOps comme source de référence des projets.</w:t>
            </w:r>
          </w:p>
        </w:tc>
      </w:tr>
    </w:tbl>
    <w:p>
      <w:pPr>
        <w:spacing w:after="0"/>
      </w:pPr>
    </w:p>
    <w:p>
      <w:r>
        <w:br w:type="page"/>
      </w:r>
    </w:p>
    <w:p>
      <w:pPr>
        <w:pStyle w:val="Heading1"/>
        <w:spacing w:before="200" w:after="120"/>
        <w:pBdr>
          <w:bottom w:val="single" w:sz="8" w:space="1" w:color="146EF5"/>
        </w:pBdr>
      </w:pPr>
      <w:r>
        <w:t>1. Contexte et objectifs</w:t>
      </w:r>
    </w:p>
    <w:p>
      <w:r>
        <w:t>INDYLI Services intervient sur des prestations de développement logiciel, d’intégration, de maintenance/support, de conseil et d’animation de formations. Le besoin est de centraliser la saisie des temps et les comptes rendus d’activité (CRA) dans un outil unique, ergonomique et exploitable pour le pilotage opérationnel et financier.</w:t>
      </w:r>
    </w:p>
    <w:tbl>
      <w:tblPr>
        <w:tblW w:type="auto" w:w="0"/>
        <w:jc w:val="center"/>
        <w:tblLayout w:type="autofit"/>
        <w:tblLook w:firstColumn="1" w:firstRow="1" w:lastColumn="0" w:lastRow="0" w:noHBand="0" w:noVBand="1" w:val="04A0"/>
      </w:tblPr>
      <w:tblGrid>
        <w:gridCol w:w="10312"/>
      </w:tblGrid>
      <w:tr>
        <w:tc>
          <w:tcPr>
            <w:tcW w:type="dxa" w:w="10312"/>
            <w:shd w:fill="FFF7ED"/>
            <w:tcBorders>
              <w:top w:val="nil"/>
              <w:left w:val="single" w:sz="24" w:color="FF8A00"/>
              <w:bottom w:val="nil"/>
              <w:right w:val="nil"/>
            </w:tcBorders>
            <w:tcMar>
              <w:top w:w="140" w:type="dxa"/>
              <w:start w:w="180" w:type="dxa"/>
              <w:bottom w:w="140" w:type="dxa"/>
              <w:end w:w="180" w:type="dxa"/>
            </w:tcMar>
          </w:tcPr>
          <w:p>
            <w:pPr>
              <w:spacing w:after="60"/>
            </w:pPr>
            <w:r>
              <w:rPr>
                <w:b/>
                <w:color w:val="0E1B3D"/>
                <w:sz w:val="21"/>
              </w:rPr>
              <w:t>Référence UX</w:t>
            </w:r>
          </w:p>
          <w:p>
            <w:pPr>
              <w:spacing w:after="0"/>
            </w:pPr>
            <w:r>
              <w:rPr>
                <w:color w:val="344054"/>
                <w:sz w:val="19"/>
              </w:rPr>
              <w:t>L’application Pilot est retenue comme inspiration pour la simplicité visuelle, le pilotage collaboratif et l’expérience utilisateur. Le métier cible reste cependant celui d’une ESN / société de services et d’un organisme de formation.</w:t>
            </w:r>
          </w:p>
        </w:tc>
      </w:tr>
    </w:tbl>
    <w:p>
      <w:pPr>
        <w:spacing w:after="0"/>
      </w:pPr>
    </w:p>
    <w:p>
      <w:pPr>
        <w:pStyle w:val="Heading2"/>
        <w:spacing w:before="120" w:after="120"/>
      </w:pPr>
      <w:r>
        <w:t>1.1 Objectifs principaux</w:t>
      </w:r>
    </w:p>
    <w:p>
      <w:pPr>
        <w:pStyle w:val="ListBullet"/>
        <w:spacing w:after="40"/>
      </w:pPr>
      <w:r>
        <w:rPr>
          <w:sz w:val="19"/>
        </w:rPr>
        <w:t>Simplifier la saisie hebdomadaire des temps et réduire les oublis ou erreurs de CRA.</w:t>
      </w:r>
    </w:p>
    <w:p>
      <w:pPr>
        <w:pStyle w:val="ListBullet"/>
        <w:spacing w:after="40"/>
      </w:pPr>
      <w:r>
        <w:rPr>
          <w:sz w:val="19"/>
        </w:rPr>
        <w:t>Alimenter automatiquement la liste des projets à partir d’Azure DevOps afin d’éviter les doubles référentiels.</w:t>
      </w:r>
    </w:p>
    <w:p>
      <w:pPr>
        <w:pStyle w:val="ListBullet"/>
        <w:spacing w:after="40"/>
      </w:pPr>
      <w:r>
        <w:rPr>
          <w:sz w:val="19"/>
        </w:rPr>
        <w:t>Distinguer les temps facturables, non facturables et internes.</w:t>
      </w:r>
    </w:p>
    <w:p>
      <w:pPr>
        <w:pStyle w:val="ListBullet"/>
        <w:spacing w:after="40"/>
      </w:pPr>
      <w:r>
        <w:rPr>
          <w:sz w:val="19"/>
        </w:rPr>
        <w:t>Permettre un circuit de soumission, contrôle, rejet/correction, validation et verrouillage.</w:t>
      </w:r>
    </w:p>
    <w:p>
      <w:pPr>
        <w:pStyle w:val="ListBullet"/>
        <w:spacing w:after="40"/>
      </w:pPr>
      <w:r>
        <w:rPr>
          <w:sz w:val="19"/>
        </w:rPr>
        <w:t>Offrir une vision consolidée de la charge, de l’occupation, du consommé et de la rentabilité des missions.</w:t>
      </w:r>
    </w:p>
    <w:p>
      <w:pPr>
        <w:pStyle w:val="ListBullet"/>
        <w:spacing w:after="40"/>
      </w:pPr>
      <w:r>
        <w:rPr>
          <w:sz w:val="19"/>
        </w:rPr>
        <w:t>Couvrir aussi bien les projets logiciels que les activités de formation, support, maintenance et activités internes.</w:t>
      </w:r>
    </w:p>
    <w:p>
      <w:pPr>
        <w:pStyle w:val="Heading2"/>
        <w:spacing w:before="120" w:after="120"/>
      </w:pPr>
      <w:r>
        <w:t>1.2 Périmètre V1</w:t>
      </w:r>
    </w:p>
    <w:p>
      <w:pPr>
        <w:pStyle w:val="ListBullet"/>
        <w:spacing w:after="40"/>
      </w:pPr>
      <w:r>
        <w:rPr>
          <w:sz w:val="19"/>
        </w:rPr>
        <w:t>Authentification et gestion des rôles.</w:t>
      </w:r>
    </w:p>
    <w:p>
      <w:pPr>
        <w:pStyle w:val="ListBullet"/>
        <w:spacing w:after="40"/>
      </w:pPr>
      <w:r>
        <w:rPr>
          <w:sz w:val="19"/>
        </w:rPr>
        <w:t>Synchronisation des projets Azure DevOps.</w:t>
      </w:r>
    </w:p>
    <w:p>
      <w:pPr>
        <w:pStyle w:val="ListBullet"/>
        <w:spacing w:after="40"/>
      </w:pPr>
      <w:r>
        <w:rPr>
          <w:sz w:val="19"/>
        </w:rPr>
        <w:t>Saisie hebdomadaire des temps par projet / activité.</w:t>
      </w:r>
    </w:p>
    <w:p>
      <w:pPr>
        <w:pStyle w:val="ListBullet"/>
        <w:spacing w:after="40"/>
      </w:pPr>
      <w:r>
        <w:rPr>
          <w:sz w:val="19"/>
        </w:rPr>
        <w:t>Gestion des feuilles de temps et statuts de validation.</w:t>
      </w:r>
    </w:p>
    <w:p>
      <w:pPr>
        <w:pStyle w:val="ListBullet"/>
        <w:spacing w:after="40"/>
      </w:pPr>
      <w:r>
        <w:rPr>
          <w:sz w:val="19"/>
        </w:rPr>
        <w:t>Gestion des activités de formation.</w:t>
      </w:r>
    </w:p>
    <w:p>
      <w:pPr>
        <w:pStyle w:val="ListBullet"/>
        <w:spacing w:after="40"/>
      </w:pPr>
      <w:r>
        <w:rPr>
          <w:sz w:val="19"/>
        </w:rPr>
        <w:t>Tableaux de bord individuels, managers et direction.</w:t>
      </w:r>
    </w:p>
    <w:p>
      <w:pPr>
        <w:pStyle w:val="ListBullet"/>
        <w:spacing w:after="40"/>
      </w:pPr>
      <w:r>
        <w:rPr>
          <w:sz w:val="19"/>
        </w:rPr>
        <w:t>Exports pour reporting, contrôle et préparation à la facturation.</w:t>
      </w:r>
    </w:p>
    <w:p>
      <w:pPr>
        <w:pStyle w:val="ListBullet"/>
        <w:spacing w:after="40"/>
      </w:pPr>
      <w:r>
        <w:rPr>
          <w:sz w:val="19"/>
        </w:rPr>
        <w:t>Paramétrage des catégories d’activités et règles de saisie.</w:t>
      </w:r>
    </w:p>
    <w:p>
      <w:pPr>
        <w:pStyle w:val="Heading1"/>
        <w:spacing w:before="200" w:after="120"/>
        <w:pBdr>
          <w:bottom w:val="single" w:sz="8" w:space="1" w:color="146EF5"/>
        </w:pBdr>
      </w:pPr>
      <w:r>
        <w:t>2. Utilisateurs et rôles</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0E1B3D"/>
            <w:tcMar>
              <w:top w:w="80" w:type="dxa"/>
              <w:start w:w="100" w:type="dxa"/>
              <w:bottom w:w="80" w:type="dxa"/>
              <w:end w:w="100" w:type="dxa"/>
            </w:tcMar>
          </w:tcPr>
          <w:p>
            <w:r>
              <w:rPr>
                <w:b/>
                <w:color w:val="FFFFFF"/>
                <w:sz w:val="18"/>
              </w:rPr>
              <w:t>Rôle</w:t>
            </w:r>
          </w:p>
        </w:tc>
        <w:tc>
          <w:tcPr>
            <w:tcW w:type="dxa" w:w="5156"/>
            <w:shd w:fill="0E1B3D"/>
            <w:tcMar>
              <w:top w:w="80" w:type="dxa"/>
              <w:start w:w="100" w:type="dxa"/>
              <w:bottom w:w="80" w:type="dxa"/>
              <w:end w:w="100" w:type="dxa"/>
            </w:tcMar>
          </w:tcPr>
          <w:p>
            <w:r>
              <w:rPr>
                <w:b/>
                <w:color w:val="FFFFFF"/>
                <w:sz w:val="18"/>
              </w:rPr>
              <w:t>Responsabilités principales</w:t>
            </w:r>
          </w:p>
        </w:tc>
      </w:tr>
      <w:tr>
        <w:tc>
          <w:tcPr>
            <w:tcW w:type="dxa" w:w="5156"/>
            <w:tcMar>
              <w:top w:w="80" w:type="dxa"/>
              <w:start w:w="100" w:type="dxa"/>
              <w:bottom w:w="80" w:type="dxa"/>
              <w:end w:w="100" w:type="dxa"/>
            </w:tcMar>
          </w:tcPr>
          <w:p>
            <w:r>
              <w:rPr>
                <w:b/>
              </w:rPr>
              <w:t>Collaborateur / Développeur</w:t>
            </w:r>
          </w:p>
        </w:tc>
        <w:tc>
          <w:tcPr>
            <w:tcW w:type="dxa" w:w="5156"/>
            <w:tcMar>
              <w:top w:w="80" w:type="dxa"/>
              <w:start w:w="100" w:type="dxa"/>
              <w:bottom w:w="80" w:type="dxa"/>
              <w:end w:w="100" w:type="dxa"/>
            </w:tcMar>
          </w:tcPr>
          <w:p>
            <w:r>
              <w:t>Saisit ses temps, consulte son historique, corrige une feuille rejetée, soumet ses CRA.</w:t>
            </w:r>
          </w:p>
        </w:tc>
      </w:tr>
      <w:tr>
        <w:tc>
          <w:tcPr>
            <w:tcW w:type="dxa" w:w="5156"/>
            <w:tcMar>
              <w:top w:w="80" w:type="dxa"/>
              <w:start w:w="100" w:type="dxa"/>
              <w:bottom w:w="80" w:type="dxa"/>
              <w:end w:w="100" w:type="dxa"/>
            </w:tcMar>
          </w:tcPr>
          <w:p>
            <w:r>
              <w:rPr>
                <w:b/>
              </w:rPr>
              <w:t>Formateur / Consultant</w:t>
            </w:r>
          </w:p>
        </w:tc>
        <w:tc>
          <w:tcPr>
            <w:tcW w:type="dxa" w:w="5156"/>
            <w:tcMar>
              <w:top w:w="80" w:type="dxa"/>
              <w:start w:w="100" w:type="dxa"/>
              <w:bottom w:w="80" w:type="dxa"/>
              <w:end w:w="100" w:type="dxa"/>
            </w:tcMar>
          </w:tcPr>
          <w:p>
            <w:r>
              <w:t>Saisit animation, préparation, accompagnement, déplacement et autres temps liés aux formations.</w:t>
            </w:r>
          </w:p>
        </w:tc>
      </w:tr>
      <w:tr>
        <w:tc>
          <w:tcPr>
            <w:tcW w:type="dxa" w:w="5156"/>
            <w:tcMar>
              <w:top w:w="80" w:type="dxa"/>
              <w:start w:w="100" w:type="dxa"/>
              <w:bottom w:w="80" w:type="dxa"/>
              <w:end w:w="100" w:type="dxa"/>
            </w:tcMar>
          </w:tcPr>
          <w:p>
            <w:r>
              <w:rPr>
                <w:b/>
              </w:rPr>
              <w:t>Chef de projet / Manager</w:t>
            </w:r>
          </w:p>
        </w:tc>
        <w:tc>
          <w:tcPr>
            <w:tcW w:type="dxa" w:w="5156"/>
            <w:tcMar>
              <w:top w:w="80" w:type="dxa"/>
              <w:start w:w="100" w:type="dxa"/>
              <w:bottom w:w="80" w:type="dxa"/>
              <w:end w:w="100" w:type="dxa"/>
            </w:tcMar>
          </w:tcPr>
          <w:p>
            <w:r>
              <w:t>Suit les temps de son périmètre, valide ou rejette les feuilles, contrôle le consommé et la charge.</w:t>
            </w:r>
          </w:p>
        </w:tc>
      </w:tr>
      <w:tr>
        <w:tc>
          <w:tcPr>
            <w:tcW w:type="dxa" w:w="5156"/>
            <w:tcMar>
              <w:top w:w="80" w:type="dxa"/>
              <w:start w:w="100" w:type="dxa"/>
              <w:bottom w:w="80" w:type="dxa"/>
              <w:end w:w="100" w:type="dxa"/>
            </w:tcMar>
          </w:tcPr>
          <w:p>
            <w:r>
              <w:rPr>
                <w:b/>
              </w:rPr>
              <w:t>Direction / Pilotage</w:t>
            </w:r>
          </w:p>
        </w:tc>
        <w:tc>
          <w:tcPr>
            <w:tcW w:type="dxa" w:w="5156"/>
            <w:tcMar>
              <w:top w:w="80" w:type="dxa"/>
              <w:start w:w="100" w:type="dxa"/>
              <w:bottom w:w="80" w:type="dxa"/>
              <w:end w:w="100" w:type="dxa"/>
            </w:tcMar>
          </w:tcPr>
          <w:p>
            <w:r>
              <w:t>Accède aux indicateurs consolidés, rentabilité, taux d’occupation, consommé par client/projet et alertes.</w:t>
            </w:r>
          </w:p>
        </w:tc>
      </w:tr>
      <w:tr>
        <w:tc>
          <w:tcPr>
            <w:tcW w:type="dxa" w:w="5156"/>
            <w:tcMar>
              <w:top w:w="80" w:type="dxa"/>
              <w:start w:w="100" w:type="dxa"/>
              <w:bottom w:w="80" w:type="dxa"/>
              <w:end w:w="100" w:type="dxa"/>
            </w:tcMar>
          </w:tcPr>
          <w:p>
            <w:r>
              <w:rPr>
                <w:b/>
              </w:rPr>
              <w:t>Administrateur</w:t>
            </w:r>
          </w:p>
        </w:tc>
        <w:tc>
          <w:tcPr>
            <w:tcW w:type="dxa" w:w="5156"/>
            <w:tcMar>
              <w:top w:w="80" w:type="dxa"/>
              <w:start w:w="100" w:type="dxa"/>
              <w:bottom w:w="80" w:type="dxa"/>
              <w:end w:w="100" w:type="dxa"/>
            </w:tcMar>
          </w:tcPr>
          <w:p>
            <w:r>
              <w:t>Paramètre les règles, catégories, correspondances Azure DevOps, utilisateurs, rôles et intégrations.</w:t>
            </w:r>
          </w:p>
        </w:tc>
      </w:tr>
    </w:tbl>
    <w:p>
      <w:pPr>
        <w:pStyle w:val="Heading1"/>
        <w:spacing w:before="200" w:after="120"/>
        <w:pBdr>
          <w:bottom w:val="single" w:sz="8" w:space="1" w:color="146EF5"/>
        </w:pBdr>
      </w:pPr>
      <w:r>
        <w:t>3. Parcours utilisateur cible</w:t>
      </w:r>
    </w:p>
    <w:tbl>
      <w:tblPr>
        <w:tblW w:type="auto" w:w="0"/>
        <w:jc w:val="center"/>
        <w:tblLayout w:type="autofit"/>
        <w:tblLook w:firstColumn="1" w:firstRow="1" w:lastColumn="0" w:lastRow="0" w:noHBand="0" w:noVBand="1" w:val="04A0"/>
      </w:tblPr>
      <w:tblGrid>
        <w:gridCol w:w="10312"/>
      </w:tblGrid>
      <w:tr>
        <w:tc>
          <w:tcPr>
            <w:tcW w:type="dxa" w:w="10312"/>
            <w:shd w:fill="EAF3FF"/>
            <w:tcBorders>
              <w:top w:val="nil"/>
              <w:left w:val="single" w:sz="24" w:color="146EF5"/>
              <w:bottom w:val="nil"/>
              <w:right w:val="nil"/>
            </w:tcBorders>
            <w:tcMar>
              <w:top w:w="140" w:type="dxa"/>
              <w:start w:w="180" w:type="dxa"/>
              <w:bottom w:w="140" w:type="dxa"/>
              <w:end w:w="180" w:type="dxa"/>
            </w:tcMar>
          </w:tcPr>
          <w:p>
            <w:pPr>
              <w:spacing w:after="60"/>
            </w:pPr>
            <w:r>
              <w:rPr>
                <w:b/>
                <w:color w:val="0E1B3D"/>
                <w:sz w:val="21"/>
              </w:rPr>
              <w:t>Parcours principal</w:t>
            </w:r>
          </w:p>
          <w:p>
            <w:pPr>
              <w:spacing w:after="0"/>
            </w:pPr>
            <w:r>
              <w:rPr>
                <w:color w:val="344054"/>
                <w:sz w:val="19"/>
              </w:rPr>
              <w:t>Connexion → sélection / ajout d’une activité → choix du projet synchronisé depuis Azure DevOps → saisie des heures → enregistrement → soumission du CRA → validation manager → verrouillage → exploitation reporting / facturation.</w:t>
            </w:r>
          </w:p>
        </w:tc>
      </w:tr>
    </w:tbl>
    <w:p>
      <w:pPr>
        <w:spacing w:after="0"/>
      </w:pPr>
    </w:p>
    <w:p>
      <w:pPr>
        <w:pStyle w:val="Heading2"/>
        <w:spacing w:before="120" w:after="120"/>
      </w:pPr>
      <w:r>
        <w:t>3.1 Saisie hebdomadaire</w:t>
      </w:r>
    </w:p>
    <w:p>
      <w:pPr>
        <w:pStyle w:val="ListBullet"/>
        <w:spacing w:after="40"/>
      </w:pPr>
      <w:r>
        <w:rPr>
          <w:sz w:val="19"/>
        </w:rPr>
        <w:t>L’utilisateur visualise sa semaine de travail dans une grille Lun–Ven (extensible selon le calendrier).</w:t>
      </w:r>
    </w:p>
    <w:p>
      <w:pPr>
        <w:pStyle w:val="ListBullet"/>
        <w:spacing w:after="40"/>
      </w:pPr>
      <w:r>
        <w:rPr>
          <w:sz w:val="19"/>
        </w:rPr>
        <w:t>Il ajoute une ligne en recherchant un projet, une mission, une formation ou une activité interne.</w:t>
      </w:r>
    </w:p>
    <w:p>
      <w:pPr>
        <w:pStyle w:val="ListBullet"/>
        <w:spacing w:after="40"/>
      </w:pPr>
      <w:r>
        <w:rPr>
          <w:sz w:val="19"/>
        </w:rPr>
        <w:t>Il renseigne le nombre d’heures par jour et peut ajouter un commentaire / détail facultatif ou obligatoire selon le projet.</w:t>
      </w:r>
    </w:p>
    <w:p>
      <w:pPr>
        <w:pStyle w:val="ListBullet"/>
        <w:spacing w:after="40"/>
      </w:pPr>
      <w:r>
        <w:rPr>
          <w:sz w:val="19"/>
        </w:rPr>
        <w:t>Les totaux journaliers et hebdomadaires sont recalculés en temps réel.</w:t>
      </w:r>
    </w:p>
    <w:p>
      <w:pPr>
        <w:pStyle w:val="ListBullet"/>
        <w:spacing w:after="40"/>
      </w:pPr>
      <w:r>
        <w:rPr>
          <w:sz w:val="19"/>
        </w:rPr>
        <w:t>L’interface signale les incohérences : jour surchargé, temps manquant, projet inactif, feuille déjà verrouillée, etc.</w:t>
      </w:r>
    </w:p>
    <w:p>
      <w:pPr>
        <w:pStyle w:val="Heading2"/>
        <w:spacing w:before="120" w:after="120"/>
      </w:pPr>
      <w:r>
        <w:t>3.2 Cycle de vie du CRA</w:t>
      </w:r>
    </w:p>
    <w:tbl>
      <w:tblPr>
        <w:tblW w:type="auto" w:w="0"/>
        <w:jc w:val="center"/>
        <w:tblLook w:firstColumn="1" w:firstRow="1" w:lastColumn="0" w:lastRow="0" w:noHBand="0" w:noVBand="1" w:val="04A0"/>
      </w:tblPr>
      <w:tblGrid>
        <w:gridCol w:w="1719"/>
        <w:gridCol w:w="1719"/>
        <w:gridCol w:w="1719"/>
        <w:gridCol w:w="1719"/>
        <w:gridCol w:w="1719"/>
        <w:gridCol w:w="1719"/>
      </w:tblGrid>
      <w:tr>
        <w:tc>
          <w:tcPr>
            <w:tcW w:type="dxa" w:w="1719"/>
            <w:shd w:fill="F5F7FA"/>
            <w:tcMar>
              <w:top w:w="120" w:type="dxa"/>
              <w:start w:w="100" w:type="dxa"/>
              <w:bottom w:w="120" w:type="dxa"/>
              <w:end w:w="100" w:type="dxa"/>
            </w:tcMar>
          </w:tcPr>
          <w:p>
            <w:pPr>
              <w:jc w:val="center"/>
            </w:pPr>
            <w:r>
              <w:rPr>
                <w:b/>
                <w:color w:val="0E1B3D"/>
                <w:sz w:val="17"/>
              </w:rPr>
              <w:t>Brouillon</w:t>
            </w:r>
            <w:r>
              <w:rPr>
                <w:color w:val="146EF5"/>
              </w:rPr>
              <w:t xml:space="preserve">  →</w:t>
            </w:r>
          </w:p>
        </w:tc>
        <w:tc>
          <w:tcPr>
            <w:tcW w:type="dxa" w:w="1719"/>
            <w:shd w:fill="EAF3FF"/>
            <w:tcMar>
              <w:top w:w="120" w:type="dxa"/>
              <w:start w:w="100" w:type="dxa"/>
              <w:bottom w:w="120" w:type="dxa"/>
              <w:end w:w="100" w:type="dxa"/>
            </w:tcMar>
          </w:tcPr>
          <w:p>
            <w:pPr>
              <w:jc w:val="center"/>
            </w:pPr>
            <w:r>
              <w:rPr>
                <w:b/>
                <w:color w:val="0E1B3D"/>
                <w:sz w:val="17"/>
              </w:rPr>
              <w:t>Soumis</w:t>
            </w:r>
            <w:r>
              <w:rPr>
                <w:color w:val="146EF5"/>
              </w:rPr>
              <w:t xml:space="preserve">  →</w:t>
            </w:r>
          </w:p>
        </w:tc>
        <w:tc>
          <w:tcPr>
            <w:tcW w:type="dxa" w:w="1719"/>
            <w:shd w:fill="EEF2FF"/>
            <w:tcMar>
              <w:top w:w="120" w:type="dxa"/>
              <w:start w:w="100" w:type="dxa"/>
              <w:bottom w:w="120" w:type="dxa"/>
              <w:end w:w="100" w:type="dxa"/>
            </w:tcMar>
          </w:tcPr>
          <w:p>
            <w:pPr>
              <w:jc w:val="center"/>
            </w:pPr>
            <w:r>
              <w:rPr>
                <w:b/>
                <w:color w:val="0E1B3D"/>
                <w:sz w:val="17"/>
              </w:rPr>
              <w:t>À valider</w:t>
            </w:r>
            <w:r>
              <w:rPr>
                <w:color w:val="146EF5"/>
              </w:rPr>
              <w:t xml:space="preserve">  →</w:t>
            </w:r>
          </w:p>
        </w:tc>
        <w:tc>
          <w:tcPr>
            <w:tcW w:type="dxa" w:w="1719"/>
            <w:shd w:fill="ECFDF3"/>
            <w:tcMar>
              <w:top w:w="120" w:type="dxa"/>
              <w:start w:w="100" w:type="dxa"/>
              <w:bottom w:w="120" w:type="dxa"/>
              <w:end w:w="100" w:type="dxa"/>
            </w:tcMar>
          </w:tcPr>
          <w:p>
            <w:pPr>
              <w:jc w:val="center"/>
            </w:pPr>
            <w:r>
              <w:rPr>
                <w:b/>
                <w:color w:val="0E1B3D"/>
                <w:sz w:val="17"/>
              </w:rPr>
              <w:t>Validé</w:t>
            </w:r>
            <w:r>
              <w:rPr>
                <w:color w:val="146EF5"/>
              </w:rPr>
              <w:t xml:space="preserve">  →</w:t>
            </w:r>
          </w:p>
        </w:tc>
        <w:tc>
          <w:tcPr>
            <w:tcW w:type="dxa" w:w="1719"/>
            <w:shd w:fill="FEF3F2"/>
            <w:tcMar>
              <w:top w:w="120" w:type="dxa"/>
              <w:start w:w="100" w:type="dxa"/>
              <w:bottom w:w="120" w:type="dxa"/>
              <w:end w:w="100" w:type="dxa"/>
            </w:tcMar>
          </w:tcPr>
          <w:p>
            <w:pPr>
              <w:jc w:val="center"/>
            </w:pPr>
            <w:r>
              <w:rPr>
                <w:b/>
                <w:color w:val="0E1B3D"/>
                <w:sz w:val="17"/>
              </w:rPr>
              <w:t>Rejeté</w:t>
            </w:r>
            <w:r>
              <w:rPr>
                <w:color w:val="146EF5"/>
              </w:rPr>
              <w:t xml:space="preserve">  →</w:t>
            </w:r>
          </w:p>
        </w:tc>
        <w:tc>
          <w:tcPr>
            <w:tcW w:type="dxa" w:w="1719"/>
            <w:shd w:fill="F2F4F7"/>
            <w:tcMar>
              <w:top w:w="120" w:type="dxa"/>
              <w:start w:w="100" w:type="dxa"/>
              <w:bottom w:w="120" w:type="dxa"/>
              <w:end w:w="100" w:type="dxa"/>
            </w:tcMar>
          </w:tcPr>
          <w:p>
            <w:pPr>
              <w:jc w:val="center"/>
            </w:pPr>
            <w:r>
              <w:rPr>
                <w:b/>
                <w:color w:val="0E1B3D"/>
                <w:sz w:val="17"/>
              </w:rPr>
              <w:t>Verrouillé</w:t>
            </w:r>
          </w:p>
        </w:tc>
      </w:tr>
    </w:tbl>
    <w:p>
      <w:pPr>
        <w:pStyle w:val="Heading1"/>
        <w:spacing w:before="200" w:after="120"/>
        <w:pBdr>
          <w:bottom w:val="single" w:sz="8" w:space="1" w:color="146EF5"/>
        </w:pBdr>
      </w:pPr>
      <w:r>
        <w:t>4. Intégration Azure DevOps</w:t>
      </w:r>
    </w:p>
    <w:p>
      <w:r>
        <w:t>La liste des projets doit être alimentée depuis Azure DevOps. Cette intégration est techniquement réalisable via les API REST Azure DevOps. L’application ne doit pas demander aux utilisateurs de recréer manuellement les projets déjà référencés dans Azure DevOps.</w:t>
      </w:r>
    </w:p>
    <w:p>
      <w:pPr>
        <w:pStyle w:val="Heading2"/>
        <w:spacing w:before="120" w:after="120"/>
      </w:pPr>
      <w:r>
        <w:t>4.1 Données à synchroniser</w:t>
      </w:r>
    </w:p>
    <w:p>
      <w:pPr>
        <w:pStyle w:val="ListBullet"/>
        <w:spacing w:after="40"/>
      </w:pPr>
      <w:r>
        <w:rPr>
          <w:sz w:val="19"/>
        </w:rPr>
        <w:t>Organisation Azure DevOps.</w:t>
      </w:r>
    </w:p>
    <w:p>
      <w:pPr>
        <w:pStyle w:val="ListBullet"/>
        <w:spacing w:after="40"/>
      </w:pPr>
      <w:r>
        <w:rPr>
          <w:sz w:val="19"/>
        </w:rPr>
        <w:t>Identifiant et nom du projet.</w:t>
      </w:r>
    </w:p>
    <w:p>
      <w:pPr>
        <w:pStyle w:val="ListBullet"/>
        <w:spacing w:after="40"/>
      </w:pPr>
      <w:r>
        <w:rPr>
          <w:sz w:val="19"/>
        </w:rPr>
        <w:t>État / disponibilité du projet (actif, archivé ou masqué côté application).</w:t>
      </w:r>
    </w:p>
    <w:p>
      <w:pPr>
        <w:pStyle w:val="ListBullet"/>
        <w:spacing w:after="40"/>
      </w:pPr>
      <w:r>
        <w:rPr>
          <w:sz w:val="19"/>
        </w:rPr>
        <w:t>URL du projet et métadonnées techniques nécessaires à la traçabilité.</w:t>
      </w:r>
    </w:p>
    <w:p>
      <w:pPr>
        <w:pStyle w:val="ListBullet"/>
        <w:spacing w:after="40"/>
      </w:pPr>
      <w:r>
        <w:rPr>
          <w:sz w:val="19"/>
        </w:rPr>
        <w:t>Option V1.1/V2 : équipes, Area Path, Iteration Path, Work Items (Epic / Feature / User Story / Task / Bug) pour une saisie plus fine.</w:t>
      </w:r>
    </w:p>
    <w:p>
      <w:pPr>
        <w:pStyle w:val="Heading2"/>
        <w:spacing w:before="120" w:after="120"/>
      </w:pPr>
      <w:r>
        <w:t>4.2 Principe de synchronisation</w:t>
      </w:r>
    </w:p>
    <w:p>
      <w:pPr>
        <w:pStyle w:val="ListBullet"/>
        <w:spacing w:after="40"/>
      </w:pPr>
      <w:r>
        <w:rPr>
          <w:sz w:val="19"/>
        </w:rPr>
        <w:t>Synchronisation initiale à la configuration de l’organisation.</w:t>
      </w:r>
    </w:p>
    <w:p>
      <w:pPr>
        <w:pStyle w:val="ListBullet"/>
        <w:spacing w:after="40"/>
      </w:pPr>
      <w:r>
        <w:rPr>
          <w:sz w:val="19"/>
        </w:rPr>
        <w:t>Synchronisation planifiée, par exemple toutes les heures ou plusieurs fois par jour.</w:t>
      </w:r>
    </w:p>
    <w:p>
      <w:pPr>
        <w:pStyle w:val="ListBullet"/>
        <w:spacing w:after="40"/>
      </w:pPr>
      <w:r>
        <w:rPr>
          <w:sz w:val="19"/>
        </w:rPr>
        <w:t>Bouton de synchronisation manuelle réservé à l’administrateur.</w:t>
      </w:r>
    </w:p>
    <w:p>
      <w:pPr>
        <w:pStyle w:val="ListBullet"/>
        <w:spacing w:after="40"/>
      </w:pPr>
      <w:r>
        <w:rPr>
          <w:sz w:val="19"/>
        </w:rPr>
        <w:t>Conservation de l’identifiant Azure DevOps comme clé externe afin d’éviter les doublons.</w:t>
      </w:r>
    </w:p>
    <w:p>
      <w:pPr>
        <w:pStyle w:val="ListBullet"/>
        <w:spacing w:after="40"/>
      </w:pPr>
      <w:r>
        <w:rPr>
          <w:sz w:val="19"/>
        </w:rPr>
        <w:t>Un projet supprimé/archivé dans Azure DevOps n’efface pas l’historique des feuilles de temps : il devient non sélectionnable pour les nouvelles saisies.</w:t>
      </w:r>
    </w:p>
    <w:p>
      <w:pPr>
        <w:pStyle w:val="ListBullet"/>
        <w:spacing w:after="40"/>
      </w:pPr>
      <w:r>
        <w:rPr>
          <w:sz w:val="19"/>
        </w:rPr>
        <w:t>Journalisation de la dernière synchronisation, du statut et des éventuelles erreurs.</w:t>
      </w:r>
    </w:p>
    <w:p>
      <w:pPr>
        <w:pStyle w:val="Heading2"/>
        <w:spacing w:before="120" w:after="120"/>
      </w:pPr>
      <w:r>
        <w:t>4.3 Authentification de l’intégration</w:t>
      </w:r>
    </w:p>
    <w:p>
      <w:pPr>
        <w:pStyle w:val="ListBullet"/>
        <w:spacing w:after="40"/>
      </w:pPr>
      <w:r>
        <w:rPr>
          <w:sz w:val="19"/>
        </w:rPr>
        <w:t>Préférer une authentification d’application / identité Microsoft Entra ID lorsque le contexte client et l’organisation Azure le permettent.</w:t>
      </w:r>
    </w:p>
    <w:p>
      <w:pPr>
        <w:pStyle w:val="ListBullet"/>
        <w:spacing w:after="40"/>
      </w:pPr>
      <w:r>
        <w:rPr>
          <w:sz w:val="19"/>
        </w:rPr>
        <w:t>Un Personal Access Token (PAT) peut être utilisé pour une première version ou un environnement maîtrisé, avec stockage sécurisé, rotation et droits minimaux.</w:t>
      </w:r>
    </w:p>
    <w:p>
      <w:pPr>
        <w:pStyle w:val="ListBullet"/>
        <w:spacing w:after="40"/>
      </w:pPr>
      <w:r>
        <w:rPr>
          <w:sz w:val="19"/>
        </w:rPr>
        <w:t>Les secrets d’intégration ne doivent jamais être exposés dans le navigateur ou dans les journaux applicatifs.</w:t>
      </w:r>
    </w:p>
    <w:tbl>
      <w:tblPr>
        <w:tblW w:type="auto" w:w="0"/>
        <w:jc w:val="center"/>
        <w:tblLayout w:type="autofit"/>
        <w:tblLook w:firstColumn="1" w:firstRow="1" w:lastColumn="0" w:lastRow="0" w:noHBand="0" w:noVBand="1" w:val="04A0"/>
      </w:tblPr>
      <w:tblGrid>
        <w:gridCol w:w="10312"/>
      </w:tblGrid>
      <w:tr>
        <w:tc>
          <w:tcPr>
            <w:tcW w:type="dxa" w:w="10312"/>
            <w:shd w:fill="FFF7ED"/>
            <w:tcBorders>
              <w:top w:val="nil"/>
              <w:left w:val="single" w:sz="24" w:color="FF8A00"/>
              <w:bottom w:val="nil"/>
              <w:right w:val="nil"/>
            </w:tcBorders>
            <w:tcMar>
              <w:top w:w="140" w:type="dxa"/>
              <w:start w:w="180" w:type="dxa"/>
              <w:bottom w:w="140" w:type="dxa"/>
              <w:end w:w="180" w:type="dxa"/>
            </w:tcMar>
          </w:tcPr>
          <w:p>
            <w:pPr>
              <w:spacing w:after="60"/>
            </w:pPr>
            <w:r>
              <w:rPr>
                <w:b/>
                <w:color w:val="0E1B3D"/>
                <w:sz w:val="21"/>
              </w:rPr>
              <w:t>Point de décision fonctionnel</w:t>
            </w:r>
          </w:p>
          <w:p>
            <w:pPr>
              <w:spacing w:after="0"/>
            </w:pPr>
            <w:r>
              <w:rPr>
                <w:color w:val="344054"/>
                <w:sz w:val="19"/>
              </w:rPr>
              <w:t>Il faut décider si la feuille de temps sera rattachée uniquement au projet Azure DevOps, ou si l’utilisateur devra aussi choisir un Work Item (Task, Bug, User Story…). Pour une V1 simple et rapide, le rattachement au projet + activité interne est recommandé.</w:t>
            </w:r>
          </w:p>
        </w:tc>
      </w:tr>
    </w:tbl>
    <w:p>
      <w:pPr>
        <w:spacing w:after="0"/>
      </w:pPr>
    </w:p>
    <w:p>
      <w:pPr>
        <w:pStyle w:val="Heading1"/>
        <w:spacing w:before="200" w:after="120"/>
        <w:pBdr>
          <w:bottom w:val="single" w:sz="8" w:space="1" w:color="146EF5"/>
        </w:pBdr>
      </w:pPr>
      <w:r>
        <w:t>5. Exigences fonctionnelles</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trPr>
        <w:tc>
          <w:tcPr>
            <w:tcW w:type="dxa" w:w="1247"/>
            <w:shd w:fill="0E1B3D"/>
            <w:tcBorders>
              <w:top w:val="single" w:sz="6" w:color="0E1B3D"/>
              <w:left w:val="single" w:sz="6" w:color="0E1B3D"/>
              <w:bottom w:val="single" w:sz="6" w:color="0E1B3D"/>
              <w:right w:val="single" w:sz="6" w:color="0E1B3D"/>
            </w:tcBorders>
            <w:tcMar>
              <w:top w:w="100" w:type="dxa"/>
              <w:start w:w="100" w:type="dxa"/>
              <w:bottom w:w="100" w:type="dxa"/>
              <w:end w:w="100" w:type="dxa"/>
            </w:tcMar>
          </w:tcPr>
          <w:p>
            <w:pPr>
              <w:jc w:val="center"/>
            </w:pPr>
            <w:r>
              <w:rPr>
                <w:b/>
                <w:color w:val="FFFFFF"/>
                <w:sz w:val="18"/>
              </w:rPr>
              <w:t>ID</w:t>
            </w:r>
          </w:p>
        </w:tc>
        <w:tc>
          <w:tcPr>
            <w:tcW w:type="dxa" w:w="2381"/>
            <w:shd w:fill="0E1B3D"/>
            <w:tcBorders>
              <w:top w:val="single" w:sz="6" w:color="0E1B3D"/>
              <w:left w:val="single" w:sz="6" w:color="0E1B3D"/>
              <w:bottom w:val="single" w:sz="6" w:color="0E1B3D"/>
              <w:right w:val="single" w:sz="6" w:color="0E1B3D"/>
            </w:tcBorders>
            <w:tcMar>
              <w:top w:w="100" w:type="dxa"/>
              <w:start w:w="100" w:type="dxa"/>
              <w:bottom w:w="100" w:type="dxa"/>
              <w:end w:w="100" w:type="dxa"/>
            </w:tcMar>
          </w:tcPr>
          <w:p>
            <w:pPr>
              <w:jc w:val="center"/>
            </w:pPr>
            <w:r>
              <w:rPr>
                <w:b/>
                <w:color w:val="FFFFFF"/>
                <w:sz w:val="18"/>
              </w:rPr>
              <w:t>Besoin</w:t>
            </w:r>
          </w:p>
        </w:tc>
        <w:tc>
          <w:tcPr>
            <w:tcW w:type="dxa" w:w="4535"/>
            <w:shd w:fill="0E1B3D"/>
            <w:tcBorders>
              <w:top w:val="single" w:sz="6" w:color="0E1B3D"/>
              <w:left w:val="single" w:sz="6" w:color="0E1B3D"/>
              <w:bottom w:val="single" w:sz="6" w:color="0E1B3D"/>
              <w:right w:val="single" w:sz="6" w:color="0E1B3D"/>
            </w:tcBorders>
            <w:tcMar>
              <w:top w:w="100" w:type="dxa"/>
              <w:start w:w="100" w:type="dxa"/>
              <w:bottom w:w="100" w:type="dxa"/>
              <w:end w:w="100" w:type="dxa"/>
            </w:tcMar>
          </w:tcPr>
          <w:p>
            <w:pPr>
              <w:jc w:val="center"/>
            </w:pPr>
            <w:r>
              <w:rPr>
                <w:b/>
                <w:color w:val="FFFFFF"/>
                <w:sz w:val="18"/>
              </w:rPr>
              <w:t>Description attendue</w:t>
            </w:r>
          </w:p>
        </w:tc>
        <w:tc>
          <w:tcPr>
            <w:tcW w:type="dxa" w:w="1247"/>
            <w:shd w:fill="0E1B3D"/>
            <w:tcBorders>
              <w:top w:val="single" w:sz="6" w:color="0E1B3D"/>
              <w:left w:val="single" w:sz="6" w:color="0E1B3D"/>
              <w:bottom w:val="single" w:sz="6" w:color="0E1B3D"/>
              <w:right w:val="single" w:sz="6" w:color="0E1B3D"/>
            </w:tcBorders>
            <w:tcMar>
              <w:top w:w="100" w:type="dxa"/>
              <w:start w:w="100" w:type="dxa"/>
              <w:bottom w:w="100" w:type="dxa"/>
              <w:end w:w="100" w:type="dxa"/>
            </w:tcMar>
          </w:tcPr>
          <w:p>
            <w:pPr>
              <w:jc w:val="center"/>
            </w:pPr>
            <w:r>
              <w:rPr>
                <w:b/>
                <w:color w:val="FFFFFF"/>
                <w:sz w:val="18"/>
              </w:rPr>
              <w:t>Priorité</w:t>
            </w:r>
          </w:p>
        </w:tc>
      </w:tr>
      <w:tr>
        <w:tc>
          <w:tcPr>
            <w:tcW w:type="dxa" w:w="2578"/>
            <w:tcMar>
              <w:top w:w="90" w:type="dxa"/>
              <w:start w:w="100" w:type="dxa"/>
              <w:bottom w:w="90" w:type="dxa"/>
              <w:end w:w="100" w:type="dxa"/>
            </w:tcMar>
          </w:tcPr>
          <w:p>
            <w:pPr>
              <w:spacing w:after="0"/>
            </w:pPr>
            <w:r>
              <w:rPr>
                <w:b/>
                <w:color w:val="146EF5"/>
                <w:sz w:val="17"/>
              </w:rPr>
              <w:t>F-001</w:t>
            </w:r>
          </w:p>
        </w:tc>
        <w:tc>
          <w:tcPr>
            <w:tcW w:type="dxa" w:w="2578"/>
            <w:tcMar>
              <w:top w:w="90" w:type="dxa"/>
              <w:start w:w="100" w:type="dxa"/>
              <w:bottom w:w="90" w:type="dxa"/>
              <w:end w:w="100" w:type="dxa"/>
            </w:tcMar>
          </w:tcPr>
          <w:p>
            <w:pPr>
              <w:spacing w:after="0"/>
            </w:pPr>
            <w:r>
              <w:rPr>
                <w:color w:val="344054"/>
                <w:sz w:val="17"/>
              </w:rPr>
              <w:t>Authentification</w:t>
            </w:r>
          </w:p>
        </w:tc>
        <w:tc>
          <w:tcPr>
            <w:tcW w:type="dxa" w:w="2578"/>
            <w:tcMar>
              <w:top w:w="90" w:type="dxa"/>
              <w:start w:w="100" w:type="dxa"/>
              <w:bottom w:w="90" w:type="dxa"/>
              <w:end w:w="100" w:type="dxa"/>
            </w:tcMar>
          </w:tcPr>
          <w:p>
            <w:pPr>
              <w:spacing w:after="0"/>
            </w:pPr>
            <w:r>
              <w:rPr>
                <w:color w:val="344054"/>
                <w:sz w:val="17"/>
              </w:rPr>
              <w:t>Connexion sécurisée et gestion des utilisateurs selon les rôles autorisés.</w:t>
            </w:r>
          </w:p>
        </w:tc>
        <w:tc>
          <w:tcPr>
            <w:tcW w:type="dxa" w:w="2578"/>
            <w:tcMar>
              <w:top w:w="90" w:type="dxa"/>
              <w:start w:w="100" w:type="dxa"/>
              <w:bottom w:w="90" w:type="dxa"/>
              <w:end w:w="100" w:type="dxa"/>
            </w:tcMar>
          </w:tcPr>
          <w:p>
            <w:pPr>
              <w:spacing w:after="0"/>
              <w:jc w:val="center"/>
            </w:pPr>
            <w:r>
              <w:rPr>
                <w:b/>
                <w:color w:val="B42318"/>
                <w:sz w:val="17"/>
              </w:rPr>
              <w:t>MUST</w:t>
            </w:r>
          </w:p>
        </w:tc>
      </w:tr>
      <w:tr>
        <w:tc>
          <w:tcPr>
            <w:tcW w:type="dxa" w:w="2578"/>
            <w:tcMar>
              <w:top w:w="90" w:type="dxa"/>
              <w:start w:w="100" w:type="dxa"/>
              <w:bottom w:w="90" w:type="dxa"/>
              <w:end w:w="100" w:type="dxa"/>
            </w:tcMar>
            <w:shd w:fill="FAFBFC"/>
          </w:tcPr>
          <w:p>
            <w:pPr>
              <w:spacing w:after="0"/>
            </w:pPr>
            <w:r>
              <w:rPr>
                <w:b/>
                <w:color w:val="146EF5"/>
                <w:sz w:val="17"/>
              </w:rPr>
              <w:t>F-002</w:t>
            </w:r>
          </w:p>
        </w:tc>
        <w:tc>
          <w:tcPr>
            <w:tcW w:type="dxa" w:w="2578"/>
            <w:tcMar>
              <w:top w:w="90" w:type="dxa"/>
              <w:start w:w="100" w:type="dxa"/>
              <w:bottom w:w="90" w:type="dxa"/>
              <w:end w:w="100" w:type="dxa"/>
            </w:tcMar>
            <w:shd w:fill="FAFBFC"/>
          </w:tcPr>
          <w:p>
            <w:pPr>
              <w:spacing w:after="0"/>
            </w:pPr>
            <w:r>
              <w:rPr>
                <w:color w:val="344054"/>
                <w:sz w:val="17"/>
              </w:rPr>
              <w:t>Synchronisation projets</w:t>
            </w:r>
          </w:p>
        </w:tc>
        <w:tc>
          <w:tcPr>
            <w:tcW w:type="dxa" w:w="2578"/>
            <w:tcMar>
              <w:top w:w="90" w:type="dxa"/>
              <w:start w:w="100" w:type="dxa"/>
              <w:bottom w:w="90" w:type="dxa"/>
              <w:end w:w="100" w:type="dxa"/>
            </w:tcMar>
            <w:shd w:fill="FAFBFC"/>
          </w:tcPr>
          <w:p>
            <w:pPr>
              <w:spacing w:after="0"/>
            </w:pPr>
            <w:r>
              <w:rPr>
                <w:color w:val="344054"/>
                <w:sz w:val="17"/>
              </w:rPr>
              <w:t>Importer automatiquement les projets depuis une ou plusieurs organisations Azure DevOps configurées.</w:t>
            </w:r>
          </w:p>
        </w:tc>
        <w:tc>
          <w:tcPr>
            <w:tcW w:type="dxa" w:w="2578"/>
            <w:tcMar>
              <w:top w:w="90" w:type="dxa"/>
              <w:start w:w="100" w:type="dxa"/>
              <w:bottom w:w="90" w:type="dxa"/>
              <w:end w:w="100" w:type="dxa"/>
            </w:tcMar>
            <w:shd w:fill="FAFBFC"/>
          </w:tcPr>
          <w:p>
            <w:pPr>
              <w:spacing w:after="0"/>
              <w:jc w:val="center"/>
            </w:pPr>
            <w:r>
              <w:rPr>
                <w:b/>
                <w:color w:val="B42318"/>
                <w:sz w:val="17"/>
              </w:rPr>
              <w:t>MUST</w:t>
            </w:r>
          </w:p>
        </w:tc>
      </w:tr>
      <w:tr>
        <w:tc>
          <w:tcPr>
            <w:tcW w:type="dxa" w:w="2578"/>
            <w:tcMar>
              <w:top w:w="90" w:type="dxa"/>
              <w:start w:w="100" w:type="dxa"/>
              <w:bottom w:w="90" w:type="dxa"/>
              <w:end w:w="100" w:type="dxa"/>
            </w:tcMar>
          </w:tcPr>
          <w:p>
            <w:pPr>
              <w:spacing w:after="0"/>
            </w:pPr>
            <w:r>
              <w:rPr>
                <w:b/>
                <w:color w:val="146EF5"/>
                <w:sz w:val="17"/>
              </w:rPr>
              <w:t>F-003</w:t>
            </w:r>
          </w:p>
        </w:tc>
        <w:tc>
          <w:tcPr>
            <w:tcW w:type="dxa" w:w="2578"/>
            <w:tcMar>
              <w:top w:w="90" w:type="dxa"/>
              <w:start w:w="100" w:type="dxa"/>
              <w:bottom w:w="90" w:type="dxa"/>
              <w:end w:w="100" w:type="dxa"/>
            </w:tcMar>
          </w:tcPr>
          <w:p>
            <w:pPr>
              <w:spacing w:after="0"/>
            </w:pPr>
            <w:r>
              <w:rPr>
                <w:color w:val="344054"/>
                <w:sz w:val="17"/>
              </w:rPr>
              <w:t>Recherche projet</w:t>
            </w:r>
          </w:p>
        </w:tc>
        <w:tc>
          <w:tcPr>
            <w:tcW w:type="dxa" w:w="2578"/>
            <w:tcMar>
              <w:top w:w="90" w:type="dxa"/>
              <w:start w:w="100" w:type="dxa"/>
              <w:bottom w:w="90" w:type="dxa"/>
              <w:end w:w="100" w:type="dxa"/>
            </w:tcMar>
          </w:tcPr>
          <w:p>
            <w:pPr>
              <w:spacing w:after="0"/>
            </w:pPr>
            <w:r>
              <w:rPr>
                <w:color w:val="344054"/>
                <w:sz w:val="17"/>
              </w:rPr>
              <w:t>Recherche rapide et filtrable des projets synchronisés lors de l’ajout d’une activité.</w:t>
            </w:r>
          </w:p>
        </w:tc>
        <w:tc>
          <w:tcPr>
            <w:tcW w:type="dxa" w:w="2578"/>
            <w:tcMar>
              <w:top w:w="90" w:type="dxa"/>
              <w:start w:w="100" w:type="dxa"/>
              <w:bottom w:w="90" w:type="dxa"/>
              <w:end w:w="100" w:type="dxa"/>
            </w:tcMar>
          </w:tcPr>
          <w:p>
            <w:pPr>
              <w:spacing w:after="0"/>
              <w:jc w:val="center"/>
            </w:pPr>
            <w:r>
              <w:rPr>
                <w:b/>
                <w:color w:val="B42318"/>
                <w:sz w:val="17"/>
              </w:rPr>
              <w:t>MUST</w:t>
            </w:r>
          </w:p>
        </w:tc>
      </w:tr>
      <w:tr>
        <w:tc>
          <w:tcPr>
            <w:tcW w:type="dxa" w:w="2578"/>
            <w:tcMar>
              <w:top w:w="90" w:type="dxa"/>
              <w:start w:w="100" w:type="dxa"/>
              <w:bottom w:w="90" w:type="dxa"/>
              <w:end w:w="100" w:type="dxa"/>
            </w:tcMar>
            <w:shd w:fill="FAFBFC"/>
          </w:tcPr>
          <w:p>
            <w:pPr>
              <w:spacing w:after="0"/>
            </w:pPr>
            <w:r>
              <w:rPr>
                <w:b/>
                <w:color w:val="146EF5"/>
                <w:sz w:val="17"/>
              </w:rPr>
              <w:t>F-004</w:t>
            </w:r>
          </w:p>
        </w:tc>
        <w:tc>
          <w:tcPr>
            <w:tcW w:type="dxa" w:w="2578"/>
            <w:tcMar>
              <w:top w:w="90" w:type="dxa"/>
              <w:start w:w="100" w:type="dxa"/>
              <w:bottom w:w="90" w:type="dxa"/>
              <w:end w:w="100" w:type="dxa"/>
            </w:tcMar>
            <w:shd w:fill="FAFBFC"/>
          </w:tcPr>
          <w:p>
            <w:pPr>
              <w:spacing w:after="0"/>
            </w:pPr>
            <w:r>
              <w:rPr>
                <w:color w:val="344054"/>
                <w:sz w:val="17"/>
              </w:rPr>
              <w:t>Saisie hebdomadaire</w:t>
            </w:r>
          </w:p>
        </w:tc>
        <w:tc>
          <w:tcPr>
            <w:tcW w:type="dxa" w:w="2578"/>
            <w:tcMar>
              <w:top w:w="90" w:type="dxa"/>
              <w:start w:w="100" w:type="dxa"/>
              <w:bottom w:w="90" w:type="dxa"/>
              <w:end w:w="100" w:type="dxa"/>
            </w:tcMar>
            <w:shd w:fill="FAFBFC"/>
          </w:tcPr>
          <w:p>
            <w:pPr>
              <w:spacing w:after="0"/>
            </w:pPr>
            <w:r>
              <w:rPr>
                <w:color w:val="344054"/>
                <w:sz w:val="17"/>
              </w:rPr>
              <w:t>Saisir les heures par jour, par projet et par activité, avec calcul automatique des totaux.</w:t>
            </w:r>
          </w:p>
        </w:tc>
        <w:tc>
          <w:tcPr>
            <w:tcW w:type="dxa" w:w="2578"/>
            <w:tcMar>
              <w:top w:w="90" w:type="dxa"/>
              <w:start w:w="100" w:type="dxa"/>
              <w:bottom w:w="90" w:type="dxa"/>
              <w:end w:w="100" w:type="dxa"/>
            </w:tcMar>
            <w:shd w:fill="FAFBFC"/>
          </w:tcPr>
          <w:p>
            <w:pPr>
              <w:spacing w:after="0"/>
              <w:jc w:val="center"/>
            </w:pPr>
            <w:r>
              <w:rPr>
                <w:b/>
                <w:color w:val="B42318"/>
                <w:sz w:val="17"/>
              </w:rPr>
              <w:t>MUST</w:t>
            </w:r>
          </w:p>
        </w:tc>
      </w:tr>
      <w:tr>
        <w:tc>
          <w:tcPr>
            <w:tcW w:type="dxa" w:w="2578"/>
            <w:tcMar>
              <w:top w:w="90" w:type="dxa"/>
              <w:start w:w="100" w:type="dxa"/>
              <w:bottom w:w="90" w:type="dxa"/>
              <w:end w:w="100" w:type="dxa"/>
            </w:tcMar>
          </w:tcPr>
          <w:p>
            <w:pPr>
              <w:spacing w:after="0"/>
            </w:pPr>
            <w:r>
              <w:rPr>
                <w:b/>
                <w:color w:val="146EF5"/>
                <w:sz w:val="17"/>
              </w:rPr>
              <w:t>F-005</w:t>
            </w:r>
          </w:p>
        </w:tc>
        <w:tc>
          <w:tcPr>
            <w:tcW w:type="dxa" w:w="2578"/>
            <w:tcMar>
              <w:top w:w="90" w:type="dxa"/>
              <w:start w:w="100" w:type="dxa"/>
              <w:bottom w:w="90" w:type="dxa"/>
              <w:end w:w="100" w:type="dxa"/>
            </w:tcMar>
          </w:tcPr>
          <w:p>
            <w:pPr>
              <w:spacing w:after="0"/>
            </w:pPr>
            <w:r>
              <w:rPr>
                <w:color w:val="344054"/>
                <w:sz w:val="17"/>
              </w:rPr>
              <w:t>Catégorie de temps</w:t>
            </w:r>
          </w:p>
        </w:tc>
        <w:tc>
          <w:tcPr>
            <w:tcW w:type="dxa" w:w="2578"/>
            <w:tcMar>
              <w:top w:w="90" w:type="dxa"/>
              <w:start w:w="100" w:type="dxa"/>
              <w:bottom w:w="90" w:type="dxa"/>
              <w:end w:w="100" w:type="dxa"/>
            </w:tcMar>
          </w:tcPr>
          <w:p>
            <w:pPr>
              <w:spacing w:after="0"/>
            </w:pPr>
            <w:r>
              <w:rPr>
                <w:color w:val="344054"/>
                <w:sz w:val="17"/>
              </w:rPr>
              <w:t>Identifier chaque saisie comme facturable, non facturable, interne, formation, support ou autre catégorie paramétrée.</w:t>
            </w:r>
          </w:p>
        </w:tc>
        <w:tc>
          <w:tcPr>
            <w:tcW w:type="dxa" w:w="2578"/>
            <w:tcMar>
              <w:top w:w="90" w:type="dxa"/>
              <w:start w:w="100" w:type="dxa"/>
              <w:bottom w:w="90" w:type="dxa"/>
              <w:end w:w="100" w:type="dxa"/>
            </w:tcMar>
          </w:tcPr>
          <w:p>
            <w:pPr>
              <w:spacing w:after="0"/>
              <w:jc w:val="center"/>
            </w:pPr>
            <w:r>
              <w:rPr>
                <w:b/>
                <w:color w:val="B42318"/>
                <w:sz w:val="17"/>
              </w:rPr>
              <w:t>MUST</w:t>
            </w:r>
          </w:p>
        </w:tc>
      </w:tr>
      <w:tr>
        <w:tc>
          <w:tcPr>
            <w:tcW w:type="dxa" w:w="2578"/>
            <w:tcMar>
              <w:top w:w="90" w:type="dxa"/>
              <w:start w:w="100" w:type="dxa"/>
              <w:bottom w:w="90" w:type="dxa"/>
              <w:end w:w="100" w:type="dxa"/>
            </w:tcMar>
            <w:shd w:fill="FAFBFC"/>
          </w:tcPr>
          <w:p>
            <w:pPr>
              <w:spacing w:after="0"/>
            </w:pPr>
            <w:r>
              <w:rPr>
                <w:b/>
                <w:color w:val="146EF5"/>
                <w:sz w:val="17"/>
              </w:rPr>
              <w:t>F-006</w:t>
            </w:r>
          </w:p>
        </w:tc>
        <w:tc>
          <w:tcPr>
            <w:tcW w:type="dxa" w:w="2578"/>
            <w:tcMar>
              <w:top w:w="90" w:type="dxa"/>
              <w:start w:w="100" w:type="dxa"/>
              <w:bottom w:w="90" w:type="dxa"/>
              <w:end w:w="100" w:type="dxa"/>
            </w:tcMar>
            <w:shd w:fill="FAFBFC"/>
          </w:tcPr>
          <w:p>
            <w:pPr>
              <w:spacing w:after="0"/>
            </w:pPr>
            <w:r>
              <w:rPr>
                <w:color w:val="344054"/>
                <w:sz w:val="17"/>
              </w:rPr>
              <w:t>Enregistrement brouillon</w:t>
            </w:r>
          </w:p>
        </w:tc>
        <w:tc>
          <w:tcPr>
            <w:tcW w:type="dxa" w:w="2578"/>
            <w:tcMar>
              <w:top w:w="90" w:type="dxa"/>
              <w:start w:w="100" w:type="dxa"/>
              <w:bottom w:w="90" w:type="dxa"/>
              <w:end w:w="100" w:type="dxa"/>
            </w:tcMar>
            <w:shd w:fill="FAFBFC"/>
          </w:tcPr>
          <w:p>
            <w:pPr>
              <w:spacing w:after="0"/>
            </w:pPr>
            <w:r>
              <w:rPr>
                <w:color w:val="344054"/>
                <w:sz w:val="17"/>
              </w:rPr>
              <w:t>Sauvegarder une feuille sans la soumettre et reprendre la saisie ultérieurement.</w:t>
            </w:r>
          </w:p>
        </w:tc>
        <w:tc>
          <w:tcPr>
            <w:tcW w:type="dxa" w:w="2578"/>
            <w:tcMar>
              <w:top w:w="90" w:type="dxa"/>
              <w:start w:w="100" w:type="dxa"/>
              <w:bottom w:w="90" w:type="dxa"/>
              <w:end w:w="100" w:type="dxa"/>
            </w:tcMar>
            <w:shd w:fill="FAFBFC"/>
          </w:tcPr>
          <w:p>
            <w:pPr>
              <w:spacing w:after="0"/>
              <w:jc w:val="center"/>
            </w:pPr>
            <w:r>
              <w:rPr>
                <w:b/>
                <w:color w:val="B42318"/>
                <w:sz w:val="17"/>
              </w:rPr>
              <w:t>MUST</w:t>
            </w:r>
          </w:p>
        </w:tc>
      </w:tr>
      <w:tr>
        <w:tc>
          <w:tcPr>
            <w:tcW w:type="dxa" w:w="2578"/>
            <w:tcMar>
              <w:top w:w="90" w:type="dxa"/>
              <w:start w:w="100" w:type="dxa"/>
              <w:bottom w:w="90" w:type="dxa"/>
              <w:end w:w="100" w:type="dxa"/>
            </w:tcMar>
          </w:tcPr>
          <w:p>
            <w:pPr>
              <w:spacing w:after="0"/>
            </w:pPr>
            <w:r>
              <w:rPr>
                <w:b/>
                <w:color w:val="146EF5"/>
                <w:sz w:val="17"/>
              </w:rPr>
              <w:t>F-007</w:t>
            </w:r>
          </w:p>
        </w:tc>
        <w:tc>
          <w:tcPr>
            <w:tcW w:type="dxa" w:w="2578"/>
            <w:tcMar>
              <w:top w:w="90" w:type="dxa"/>
              <w:start w:w="100" w:type="dxa"/>
              <w:bottom w:w="90" w:type="dxa"/>
              <w:end w:w="100" w:type="dxa"/>
            </w:tcMar>
          </w:tcPr>
          <w:p>
            <w:pPr>
              <w:spacing w:after="0"/>
            </w:pPr>
            <w:r>
              <w:rPr>
                <w:color w:val="344054"/>
                <w:sz w:val="17"/>
              </w:rPr>
              <w:t>Soumission</w:t>
            </w:r>
          </w:p>
        </w:tc>
        <w:tc>
          <w:tcPr>
            <w:tcW w:type="dxa" w:w="2578"/>
            <w:tcMar>
              <w:top w:w="90" w:type="dxa"/>
              <w:start w:w="100" w:type="dxa"/>
              <w:bottom w:w="90" w:type="dxa"/>
              <w:end w:w="100" w:type="dxa"/>
            </w:tcMar>
          </w:tcPr>
          <w:p>
            <w:pPr>
              <w:spacing w:after="0"/>
            </w:pPr>
            <w:r>
              <w:rPr>
                <w:color w:val="344054"/>
                <w:sz w:val="17"/>
              </w:rPr>
              <w:t>Soumettre une feuille terminée au responsable désigné.</w:t>
            </w:r>
          </w:p>
        </w:tc>
        <w:tc>
          <w:tcPr>
            <w:tcW w:type="dxa" w:w="2578"/>
            <w:tcMar>
              <w:top w:w="90" w:type="dxa"/>
              <w:start w:w="100" w:type="dxa"/>
              <w:bottom w:w="90" w:type="dxa"/>
              <w:end w:w="100" w:type="dxa"/>
            </w:tcMar>
          </w:tcPr>
          <w:p>
            <w:pPr>
              <w:spacing w:after="0"/>
              <w:jc w:val="center"/>
            </w:pPr>
            <w:r>
              <w:rPr>
                <w:b/>
                <w:color w:val="B42318"/>
                <w:sz w:val="17"/>
              </w:rPr>
              <w:t>MUST</w:t>
            </w:r>
          </w:p>
        </w:tc>
      </w:tr>
      <w:tr>
        <w:tc>
          <w:tcPr>
            <w:tcW w:type="dxa" w:w="2578"/>
            <w:tcMar>
              <w:top w:w="90" w:type="dxa"/>
              <w:start w:w="100" w:type="dxa"/>
              <w:bottom w:w="90" w:type="dxa"/>
              <w:end w:w="100" w:type="dxa"/>
            </w:tcMar>
            <w:shd w:fill="FAFBFC"/>
          </w:tcPr>
          <w:p>
            <w:pPr>
              <w:spacing w:after="0"/>
            </w:pPr>
            <w:r>
              <w:rPr>
                <w:b/>
                <w:color w:val="146EF5"/>
                <w:sz w:val="17"/>
              </w:rPr>
              <w:t>F-008</w:t>
            </w:r>
          </w:p>
        </w:tc>
        <w:tc>
          <w:tcPr>
            <w:tcW w:type="dxa" w:w="2578"/>
            <w:tcMar>
              <w:top w:w="90" w:type="dxa"/>
              <w:start w:w="100" w:type="dxa"/>
              <w:bottom w:w="90" w:type="dxa"/>
              <w:end w:w="100" w:type="dxa"/>
            </w:tcMar>
            <w:shd w:fill="FAFBFC"/>
          </w:tcPr>
          <w:p>
            <w:pPr>
              <w:spacing w:after="0"/>
            </w:pPr>
            <w:r>
              <w:rPr>
                <w:color w:val="344054"/>
                <w:sz w:val="17"/>
              </w:rPr>
              <w:t>Validation / rejet</w:t>
            </w:r>
          </w:p>
        </w:tc>
        <w:tc>
          <w:tcPr>
            <w:tcW w:type="dxa" w:w="2578"/>
            <w:tcMar>
              <w:top w:w="90" w:type="dxa"/>
              <w:start w:w="100" w:type="dxa"/>
              <w:bottom w:w="90" w:type="dxa"/>
              <w:end w:w="100" w:type="dxa"/>
            </w:tcMar>
            <w:shd w:fill="FAFBFC"/>
          </w:tcPr>
          <w:p>
            <w:pPr>
              <w:spacing w:after="0"/>
            </w:pPr>
            <w:r>
              <w:rPr>
                <w:color w:val="344054"/>
                <w:sz w:val="17"/>
              </w:rPr>
              <w:t>Le valideur peut accepter, rejeter ou demander correction avec commentaire obligatoire en cas de rejet.</w:t>
            </w:r>
          </w:p>
        </w:tc>
        <w:tc>
          <w:tcPr>
            <w:tcW w:type="dxa" w:w="2578"/>
            <w:tcMar>
              <w:top w:w="90" w:type="dxa"/>
              <w:start w:w="100" w:type="dxa"/>
              <w:bottom w:w="90" w:type="dxa"/>
              <w:end w:w="100" w:type="dxa"/>
            </w:tcMar>
            <w:shd w:fill="FAFBFC"/>
          </w:tcPr>
          <w:p>
            <w:pPr>
              <w:spacing w:after="0"/>
              <w:jc w:val="center"/>
            </w:pPr>
            <w:r>
              <w:rPr>
                <w:b/>
                <w:color w:val="B42318"/>
                <w:sz w:val="17"/>
              </w:rPr>
              <w:t>MUST</w:t>
            </w:r>
          </w:p>
        </w:tc>
      </w:tr>
      <w:tr>
        <w:tc>
          <w:tcPr>
            <w:tcW w:type="dxa" w:w="2578"/>
            <w:tcMar>
              <w:top w:w="90" w:type="dxa"/>
              <w:start w:w="100" w:type="dxa"/>
              <w:bottom w:w="90" w:type="dxa"/>
              <w:end w:w="100" w:type="dxa"/>
            </w:tcMar>
          </w:tcPr>
          <w:p>
            <w:pPr>
              <w:spacing w:after="0"/>
            </w:pPr>
            <w:r>
              <w:rPr>
                <w:b/>
                <w:color w:val="146EF5"/>
                <w:sz w:val="17"/>
              </w:rPr>
              <w:t>F-009</w:t>
            </w:r>
          </w:p>
        </w:tc>
        <w:tc>
          <w:tcPr>
            <w:tcW w:type="dxa" w:w="2578"/>
            <w:tcMar>
              <w:top w:w="90" w:type="dxa"/>
              <w:start w:w="100" w:type="dxa"/>
              <w:bottom w:w="90" w:type="dxa"/>
              <w:end w:w="100" w:type="dxa"/>
            </w:tcMar>
          </w:tcPr>
          <w:p>
            <w:pPr>
              <w:spacing w:after="0"/>
            </w:pPr>
            <w:r>
              <w:rPr>
                <w:color w:val="344054"/>
                <w:sz w:val="17"/>
              </w:rPr>
              <w:t>Verrouillage</w:t>
            </w:r>
          </w:p>
        </w:tc>
        <w:tc>
          <w:tcPr>
            <w:tcW w:type="dxa" w:w="2578"/>
            <w:tcMar>
              <w:top w:w="90" w:type="dxa"/>
              <w:start w:w="100" w:type="dxa"/>
              <w:bottom w:w="90" w:type="dxa"/>
              <w:end w:w="100" w:type="dxa"/>
            </w:tcMar>
          </w:tcPr>
          <w:p>
            <w:pPr>
              <w:spacing w:after="0"/>
            </w:pPr>
            <w:r>
              <w:rPr>
                <w:color w:val="344054"/>
                <w:sz w:val="17"/>
              </w:rPr>
              <w:t>Interdire la modification d’une feuille validée/verrouillée sauf réouverture autorisée.</w:t>
            </w:r>
          </w:p>
        </w:tc>
        <w:tc>
          <w:tcPr>
            <w:tcW w:type="dxa" w:w="2578"/>
            <w:tcMar>
              <w:top w:w="90" w:type="dxa"/>
              <w:start w:w="100" w:type="dxa"/>
              <w:bottom w:w="90" w:type="dxa"/>
              <w:end w:w="100" w:type="dxa"/>
            </w:tcMar>
          </w:tcPr>
          <w:p>
            <w:pPr>
              <w:spacing w:after="0"/>
              <w:jc w:val="center"/>
            </w:pPr>
            <w:r>
              <w:rPr>
                <w:b/>
                <w:color w:val="B42318"/>
                <w:sz w:val="17"/>
              </w:rPr>
              <w:t>MUST</w:t>
            </w:r>
          </w:p>
        </w:tc>
      </w:tr>
      <w:tr>
        <w:tc>
          <w:tcPr>
            <w:tcW w:type="dxa" w:w="2578"/>
            <w:tcMar>
              <w:top w:w="90" w:type="dxa"/>
              <w:start w:w="100" w:type="dxa"/>
              <w:bottom w:w="90" w:type="dxa"/>
              <w:end w:w="100" w:type="dxa"/>
            </w:tcMar>
            <w:shd w:fill="FAFBFC"/>
          </w:tcPr>
          <w:p>
            <w:pPr>
              <w:spacing w:after="0"/>
            </w:pPr>
            <w:r>
              <w:rPr>
                <w:b/>
                <w:color w:val="146EF5"/>
                <w:sz w:val="17"/>
              </w:rPr>
              <w:t>F-010</w:t>
            </w:r>
          </w:p>
        </w:tc>
        <w:tc>
          <w:tcPr>
            <w:tcW w:type="dxa" w:w="2578"/>
            <w:tcMar>
              <w:top w:w="90" w:type="dxa"/>
              <w:start w:w="100" w:type="dxa"/>
              <w:bottom w:w="90" w:type="dxa"/>
              <w:end w:w="100" w:type="dxa"/>
            </w:tcMar>
            <w:shd w:fill="FAFBFC"/>
          </w:tcPr>
          <w:p>
            <w:pPr>
              <w:spacing w:after="0"/>
            </w:pPr>
            <w:r>
              <w:rPr>
                <w:color w:val="344054"/>
                <w:sz w:val="17"/>
              </w:rPr>
              <w:t>Formation</w:t>
            </w:r>
          </w:p>
        </w:tc>
        <w:tc>
          <w:tcPr>
            <w:tcW w:type="dxa" w:w="2578"/>
            <w:tcMar>
              <w:top w:w="90" w:type="dxa"/>
              <w:start w:w="100" w:type="dxa"/>
              <w:bottom w:w="90" w:type="dxa"/>
              <w:end w:w="100" w:type="dxa"/>
            </w:tcMar>
            <w:shd w:fill="FAFBFC"/>
          </w:tcPr>
          <w:p>
            <w:pPr>
              <w:spacing w:after="0"/>
            </w:pPr>
            <w:r>
              <w:rPr>
                <w:color w:val="344054"/>
                <w:sz w:val="17"/>
              </w:rPr>
              <w:t>Gérer les activités : préparation, animation, TP, accompagnement, correction, déplacement et compte rendu.</w:t>
            </w:r>
          </w:p>
        </w:tc>
        <w:tc>
          <w:tcPr>
            <w:tcW w:type="dxa" w:w="2578"/>
            <w:tcMar>
              <w:top w:w="90" w:type="dxa"/>
              <w:start w:w="100" w:type="dxa"/>
              <w:bottom w:w="90" w:type="dxa"/>
              <w:end w:w="100" w:type="dxa"/>
            </w:tcMar>
            <w:shd w:fill="FAFBFC"/>
          </w:tcPr>
          <w:p>
            <w:pPr>
              <w:spacing w:after="0"/>
              <w:jc w:val="center"/>
            </w:pPr>
            <w:r>
              <w:rPr>
                <w:b/>
                <w:color w:val="B42318"/>
                <w:sz w:val="17"/>
              </w:rPr>
              <w:t>MUST</w:t>
            </w:r>
          </w:p>
        </w:tc>
      </w:tr>
      <w:tr>
        <w:tc>
          <w:tcPr>
            <w:tcW w:type="dxa" w:w="2578"/>
            <w:tcMar>
              <w:top w:w="90" w:type="dxa"/>
              <w:start w:w="100" w:type="dxa"/>
              <w:bottom w:w="90" w:type="dxa"/>
              <w:end w:w="100" w:type="dxa"/>
            </w:tcMar>
          </w:tcPr>
          <w:p>
            <w:pPr>
              <w:spacing w:after="0"/>
            </w:pPr>
            <w:r>
              <w:rPr>
                <w:b/>
                <w:color w:val="146EF5"/>
                <w:sz w:val="17"/>
              </w:rPr>
              <w:t>F-011</w:t>
            </w:r>
          </w:p>
        </w:tc>
        <w:tc>
          <w:tcPr>
            <w:tcW w:type="dxa" w:w="2578"/>
            <w:tcMar>
              <w:top w:w="90" w:type="dxa"/>
              <w:start w:w="100" w:type="dxa"/>
              <w:bottom w:w="90" w:type="dxa"/>
              <w:end w:w="100" w:type="dxa"/>
            </w:tcMar>
          </w:tcPr>
          <w:p>
            <w:pPr>
              <w:spacing w:after="0"/>
            </w:pPr>
            <w:r>
              <w:rPr>
                <w:color w:val="344054"/>
                <w:sz w:val="17"/>
              </w:rPr>
              <w:t>Activités internes</w:t>
            </w:r>
          </w:p>
        </w:tc>
        <w:tc>
          <w:tcPr>
            <w:tcW w:type="dxa" w:w="2578"/>
            <w:tcMar>
              <w:top w:w="90" w:type="dxa"/>
              <w:start w:w="100" w:type="dxa"/>
              <w:bottom w:w="90" w:type="dxa"/>
              <w:end w:w="100" w:type="dxa"/>
            </w:tcMar>
          </w:tcPr>
          <w:p>
            <w:pPr>
              <w:spacing w:after="0"/>
            </w:pPr>
            <w:r>
              <w:rPr>
                <w:color w:val="344054"/>
                <w:sz w:val="17"/>
              </w:rPr>
              <w:t>Permettre la saisie de réunions internes, veille, avant-vente, administration et autres activités non clientes.</w:t>
            </w:r>
          </w:p>
        </w:tc>
        <w:tc>
          <w:tcPr>
            <w:tcW w:type="dxa" w:w="2578"/>
            <w:tcMar>
              <w:top w:w="90" w:type="dxa"/>
              <w:start w:w="100" w:type="dxa"/>
              <w:bottom w:w="90" w:type="dxa"/>
              <w:end w:w="100" w:type="dxa"/>
            </w:tcMar>
          </w:tcPr>
          <w:p>
            <w:pPr>
              <w:spacing w:after="0"/>
              <w:jc w:val="center"/>
            </w:pPr>
            <w:r>
              <w:rPr>
                <w:b/>
                <w:color w:val="B42318"/>
                <w:sz w:val="17"/>
              </w:rPr>
              <w:t>MUST</w:t>
            </w:r>
          </w:p>
        </w:tc>
      </w:tr>
      <w:tr>
        <w:tc>
          <w:tcPr>
            <w:tcW w:type="dxa" w:w="2578"/>
            <w:tcMar>
              <w:top w:w="90" w:type="dxa"/>
              <w:start w:w="100" w:type="dxa"/>
              <w:bottom w:w="90" w:type="dxa"/>
              <w:end w:w="100" w:type="dxa"/>
            </w:tcMar>
            <w:shd w:fill="FAFBFC"/>
          </w:tcPr>
          <w:p>
            <w:pPr>
              <w:spacing w:after="0"/>
            </w:pPr>
            <w:r>
              <w:rPr>
                <w:b/>
                <w:color w:val="146EF5"/>
                <w:sz w:val="17"/>
              </w:rPr>
              <w:t>F-012</w:t>
            </w:r>
          </w:p>
        </w:tc>
        <w:tc>
          <w:tcPr>
            <w:tcW w:type="dxa" w:w="2578"/>
            <w:tcMar>
              <w:top w:w="90" w:type="dxa"/>
              <w:start w:w="100" w:type="dxa"/>
              <w:bottom w:w="90" w:type="dxa"/>
              <w:end w:w="100" w:type="dxa"/>
            </w:tcMar>
            <w:shd w:fill="FAFBFC"/>
          </w:tcPr>
          <w:p>
            <w:pPr>
              <w:spacing w:after="0"/>
            </w:pPr>
            <w:r>
              <w:rPr>
                <w:color w:val="344054"/>
                <w:sz w:val="17"/>
              </w:rPr>
              <w:t>Commentaires</w:t>
            </w:r>
          </w:p>
        </w:tc>
        <w:tc>
          <w:tcPr>
            <w:tcW w:type="dxa" w:w="2578"/>
            <w:tcMar>
              <w:top w:w="90" w:type="dxa"/>
              <w:start w:w="100" w:type="dxa"/>
              <w:bottom w:w="90" w:type="dxa"/>
              <w:end w:w="100" w:type="dxa"/>
            </w:tcMar>
            <w:shd w:fill="FAFBFC"/>
          </w:tcPr>
          <w:p>
            <w:pPr>
              <w:spacing w:after="0"/>
            </w:pPr>
            <w:r>
              <w:rPr>
                <w:color w:val="344054"/>
                <w:sz w:val="17"/>
              </w:rPr>
              <w:t>Ajouter un commentaire ou une description sur une ligne ou une journée.</w:t>
            </w:r>
          </w:p>
        </w:tc>
        <w:tc>
          <w:tcPr>
            <w:tcW w:type="dxa" w:w="2578"/>
            <w:tcMar>
              <w:top w:w="90" w:type="dxa"/>
              <w:start w:w="100" w:type="dxa"/>
              <w:bottom w:w="90" w:type="dxa"/>
              <w:end w:w="100" w:type="dxa"/>
            </w:tcMar>
            <w:shd w:fill="FAFBFC"/>
          </w:tcPr>
          <w:p>
            <w:pPr>
              <w:spacing w:after="0"/>
              <w:jc w:val="center"/>
            </w:pPr>
            <w:r>
              <w:rPr>
                <w:b/>
                <w:color w:val="B54708"/>
                <w:sz w:val="17"/>
              </w:rPr>
              <w:t>SHOULD</w:t>
            </w:r>
          </w:p>
        </w:tc>
      </w:tr>
      <w:tr>
        <w:tc>
          <w:tcPr>
            <w:tcW w:type="dxa" w:w="2578"/>
            <w:tcMar>
              <w:top w:w="90" w:type="dxa"/>
              <w:start w:w="100" w:type="dxa"/>
              <w:bottom w:w="90" w:type="dxa"/>
              <w:end w:w="100" w:type="dxa"/>
            </w:tcMar>
          </w:tcPr>
          <w:p>
            <w:pPr>
              <w:spacing w:after="0"/>
            </w:pPr>
            <w:r>
              <w:rPr>
                <w:b/>
                <w:color w:val="146EF5"/>
                <w:sz w:val="17"/>
              </w:rPr>
              <w:t>F-013</w:t>
            </w:r>
          </w:p>
        </w:tc>
        <w:tc>
          <w:tcPr>
            <w:tcW w:type="dxa" w:w="2578"/>
            <w:tcMar>
              <w:top w:w="90" w:type="dxa"/>
              <w:start w:w="100" w:type="dxa"/>
              <w:bottom w:w="90" w:type="dxa"/>
              <w:end w:w="100" w:type="dxa"/>
            </w:tcMar>
          </w:tcPr>
          <w:p>
            <w:pPr>
              <w:spacing w:after="0"/>
            </w:pPr>
            <w:r>
              <w:rPr>
                <w:color w:val="344054"/>
                <w:sz w:val="17"/>
              </w:rPr>
              <w:t>Copie semaine</w:t>
            </w:r>
          </w:p>
        </w:tc>
        <w:tc>
          <w:tcPr>
            <w:tcW w:type="dxa" w:w="2578"/>
            <w:tcMar>
              <w:top w:w="90" w:type="dxa"/>
              <w:start w:w="100" w:type="dxa"/>
              <w:bottom w:w="90" w:type="dxa"/>
              <w:end w:w="100" w:type="dxa"/>
            </w:tcMar>
          </w:tcPr>
          <w:p>
            <w:pPr>
              <w:spacing w:after="0"/>
            </w:pPr>
            <w:r>
              <w:rPr>
                <w:color w:val="344054"/>
                <w:sz w:val="17"/>
              </w:rPr>
              <w:t>Dupliquer les activités d’une semaine précédente sans recopier automatiquement les heures.</w:t>
            </w:r>
          </w:p>
        </w:tc>
        <w:tc>
          <w:tcPr>
            <w:tcW w:type="dxa" w:w="2578"/>
            <w:tcMar>
              <w:top w:w="90" w:type="dxa"/>
              <w:start w:w="100" w:type="dxa"/>
              <w:bottom w:w="90" w:type="dxa"/>
              <w:end w:w="100" w:type="dxa"/>
            </w:tcMar>
          </w:tcPr>
          <w:p>
            <w:pPr>
              <w:spacing w:after="0"/>
              <w:jc w:val="center"/>
            </w:pPr>
            <w:r>
              <w:rPr>
                <w:b/>
                <w:color w:val="B54708"/>
                <w:sz w:val="17"/>
              </w:rPr>
              <w:t>SHOULD</w:t>
            </w:r>
          </w:p>
        </w:tc>
      </w:tr>
      <w:tr>
        <w:tc>
          <w:tcPr>
            <w:tcW w:type="dxa" w:w="2578"/>
            <w:tcMar>
              <w:top w:w="90" w:type="dxa"/>
              <w:start w:w="100" w:type="dxa"/>
              <w:bottom w:w="90" w:type="dxa"/>
              <w:end w:w="100" w:type="dxa"/>
            </w:tcMar>
            <w:shd w:fill="FAFBFC"/>
          </w:tcPr>
          <w:p>
            <w:pPr>
              <w:spacing w:after="0"/>
            </w:pPr>
            <w:r>
              <w:rPr>
                <w:b/>
                <w:color w:val="146EF5"/>
                <w:sz w:val="17"/>
              </w:rPr>
              <w:t>F-014</w:t>
            </w:r>
          </w:p>
        </w:tc>
        <w:tc>
          <w:tcPr>
            <w:tcW w:type="dxa" w:w="2578"/>
            <w:tcMar>
              <w:top w:w="90" w:type="dxa"/>
              <w:start w:w="100" w:type="dxa"/>
              <w:bottom w:w="90" w:type="dxa"/>
              <w:end w:w="100" w:type="dxa"/>
            </w:tcMar>
            <w:shd w:fill="FAFBFC"/>
          </w:tcPr>
          <w:p>
            <w:pPr>
              <w:spacing w:after="0"/>
            </w:pPr>
            <w:r>
              <w:rPr>
                <w:color w:val="344054"/>
                <w:sz w:val="17"/>
              </w:rPr>
              <w:t>Rappels</w:t>
            </w:r>
          </w:p>
        </w:tc>
        <w:tc>
          <w:tcPr>
            <w:tcW w:type="dxa" w:w="2578"/>
            <w:tcMar>
              <w:top w:w="90" w:type="dxa"/>
              <w:start w:w="100" w:type="dxa"/>
              <w:bottom w:w="90" w:type="dxa"/>
              <w:end w:w="100" w:type="dxa"/>
            </w:tcMar>
            <w:shd w:fill="FAFBFC"/>
          </w:tcPr>
          <w:p>
            <w:pPr>
              <w:spacing w:after="0"/>
            </w:pPr>
            <w:r>
              <w:rPr>
                <w:color w:val="344054"/>
                <w:sz w:val="17"/>
              </w:rPr>
              <w:t>Signaler les feuilles non saisies ou non soumises avant l’échéance.</w:t>
            </w:r>
          </w:p>
        </w:tc>
        <w:tc>
          <w:tcPr>
            <w:tcW w:type="dxa" w:w="2578"/>
            <w:tcMar>
              <w:top w:w="90" w:type="dxa"/>
              <w:start w:w="100" w:type="dxa"/>
              <w:bottom w:w="90" w:type="dxa"/>
              <w:end w:w="100" w:type="dxa"/>
            </w:tcMar>
            <w:shd w:fill="FAFBFC"/>
          </w:tcPr>
          <w:p>
            <w:pPr>
              <w:spacing w:after="0"/>
              <w:jc w:val="center"/>
            </w:pPr>
            <w:r>
              <w:rPr>
                <w:b/>
                <w:color w:val="B54708"/>
                <w:sz w:val="17"/>
              </w:rPr>
              <w:t>SHOULD</w:t>
            </w:r>
          </w:p>
        </w:tc>
      </w:tr>
      <w:tr>
        <w:tc>
          <w:tcPr>
            <w:tcW w:type="dxa" w:w="2578"/>
            <w:tcMar>
              <w:top w:w="90" w:type="dxa"/>
              <w:start w:w="100" w:type="dxa"/>
              <w:bottom w:w="90" w:type="dxa"/>
              <w:end w:w="100" w:type="dxa"/>
            </w:tcMar>
          </w:tcPr>
          <w:p>
            <w:pPr>
              <w:spacing w:after="0"/>
            </w:pPr>
            <w:r>
              <w:rPr>
                <w:b/>
                <w:color w:val="146EF5"/>
                <w:sz w:val="17"/>
              </w:rPr>
              <w:t>F-015</w:t>
            </w:r>
          </w:p>
        </w:tc>
        <w:tc>
          <w:tcPr>
            <w:tcW w:type="dxa" w:w="2578"/>
            <w:tcMar>
              <w:top w:w="90" w:type="dxa"/>
              <w:start w:w="100" w:type="dxa"/>
              <w:bottom w:w="90" w:type="dxa"/>
              <w:end w:w="100" w:type="dxa"/>
            </w:tcMar>
          </w:tcPr>
          <w:p>
            <w:pPr>
              <w:spacing w:after="0"/>
            </w:pPr>
            <w:r>
              <w:rPr>
                <w:color w:val="344054"/>
                <w:sz w:val="17"/>
              </w:rPr>
              <w:t>Export</w:t>
            </w:r>
          </w:p>
        </w:tc>
        <w:tc>
          <w:tcPr>
            <w:tcW w:type="dxa" w:w="2578"/>
            <w:tcMar>
              <w:top w:w="90" w:type="dxa"/>
              <w:start w:w="100" w:type="dxa"/>
              <w:bottom w:w="90" w:type="dxa"/>
              <w:end w:w="100" w:type="dxa"/>
            </w:tcMar>
          </w:tcPr>
          <w:p>
            <w:pPr>
              <w:spacing w:after="0"/>
            </w:pPr>
            <w:r>
              <w:rPr>
                <w:color w:val="344054"/>
                <w:sz w:val="17"/>
              </w:rPr>
              <w:t>Exporter les données filtrées en Excel/CSV et, si besoin, une feuille individuelle en PDF.</w:t>
            </w:r>
          </w:p>
        </w:tc>
        <w:tc>
          <w:tcPr>
            <w:tcW w:type="dxa" w:w="2578"/>
            <w:tcMar>
              <w:top w:w="90" w:type="dxa"/>
              <w:start w:w="100" w:type="dxa"/>
              <w:bottom w:w="90" w:type="dxa"/>
              <w:end w:w="100" w:type="dxa"/>
            </w:tcMar>
          </w:tcPr>
          <w:p>
            <w:pPr>
              <w:spacing w:after="0"/>
              <w:jc w:val="center"/>
            </w:pPr>
            <w:r>
              <w:rPr>
                <w:b/>
                <w:color w:val="B54708"/>
                <w:sz w:val="17"/>
              </w:rPr>
              <w:t>SHOULD</w:t>
            </w:r>
          </w:p>
        </w:tc>
      </w:tr>
      <w:tr>
        <w:tc>
          <w:tcPr>
            <w:tcW w:type="dxa" w:w="2578"/>
            <w:tcMar>
              <w:top w:w="90" w:type="dxa"/>
              <w:start w:w="100" w:type="dxa"/>
              <w:bottom w:w="90" w:type="dxa"/>
              <w:end w:w="100" w:type="dxa"/>
            </w:tcMar>
            <w:shd w:fill="FAFBFC"/>
          </w:tcPr>
          <w:p>
            <w:pPr>
              <w:spacing w:after="0"/>
            </w:pPr>
            <w:r>
              <w:rPr>
                <w:b/>
                <w:color w:val="146EF5"/>
                <w:sz w:val="17"/>
              </w:rPr>
              <w:t>F-016</w:t>
            </w:r>
          </w:p>
        </w:tc>
        <w:tc>
          <w:tcPr>
            <w:tcW w:type="dxa" w:w="2578"/>
            <w:tcMar>
              <w:top w:w="90" w:type="dxa"/>
              <w:start w:w="100" w:type="dxa"/>
              <w:bottom w:w="90" w:type="dxa"/>
              <w:end w:w="100" w:type="dxa"/>
            </w:tcMar>
            <w:shd w:fill="FAFBFC"/>
          </w:tcPr>
          <w:p>
            <w:pPr>
              <w:spacing w:after="0"/>
            </w:pPr>
            <w:r>
              <w:rPr>
                <w:color w:val="344054"/>
                <w:sz w:val="17"/>
              </w:rPr>
              <w:t>Historique</w:t>
            </w:r>
          </w:p>
        </w:tc>
        <w:tc>
          <w:tcPr>
            <w:tcW w:type="dxa" w:w="2578"/>
            <w:tcMar>
              <w:top w:w="90" w:type="dxa"/>
              <w:start w:w="100" w:type="dxa"/>
              <w:bottom w:w="90" w:type="dxa"/>
              <w:end w:w="100" w:type="dxa"/>
            </w:tcMar>
            <w:shd w:fill="FAFBFC"/>
          </w:tcPr>
          <w:p>
            <w:pPr>
              <w:spacing w:after="0"/>
            </w:pPr>
            <w:r>
              <w:rPr>
                <w:color w:val="344054"/>
                <w:sz w:val="17"/>
              </w:rPr>
              <w:t>Tracer les changements de statut, validations, rejets et réouvertures.</w:t>
            </w:r>
          </w:p>
        </w:tc>
        <w:tc>
          <w:tcPr>
            <w:tcW w:type="dxa" w:w="2578"/>
            <w:tcMar>
              <w:top w:w="90" w:type="dxa"/>
              <w:start w:w="100" w:type="dxa"/>
              <w:bottom w:w="90" w:type="dxa"/>
              <w:end w:w="100" w:type="dxa"/>
            </w:tcMar>
            <w:shd w:fill="FAFBFC"/>
          </w:tcPr>
          <w:p>
            <w:pPr>
              <w:spacing w:after="0"/>
              <w:jc w:val="center"/>
            </w:pPr>
            <w:r>
              <w:rPr>
                <w:b/>
                <w:color w:val="B42318"/>
                <w:sz w:val="17"/>
              </w:rPr>
              <w:t>MUST</w:t>
            </w:r>
          </w:p>
        </w:tc>
      </w:tr>
      <w:tr>
        <w:tc>
          <w:tcPr>
            <w:tcW w:type="dxa" w:w="2578"/>
            <w:tcMar>
              <w:top w:w="90" w:type="dxa"/>
              <w:start w:w="100" w:type="dxa"/>
              <w:bottom w:w="90" w:type="dxa"/>
              <w:end w:w="100" w:type="dxa"/>
            </w:tcMar>
          </w:tcPr>
          <w:p>
            <w:pPr>
              <w:spacing w:after="0"/>
            </w:pPr>
            <w:r>
              <w:rPr>
                <w:b/>
                <w:color w:val="146EF5"/>
                <w:sz w:val="17"/>
              </w:rPr>
              <w:t>F-017</w:t>
            </w:r>
          </w:p>
        </w:tc>
        <w:tc>
          <w:tcPr>
            <w:tcW w:type="dxa" w:w="2578"/>
            <w:tcMar>
              <w:top w:w="90" w:type="dxa"/>
              <w:start w:w="100" w:type="dxa"/>
              <w:bottom w:w="90" w:type="dxa"/>
              <w:end w:w="100" w:type="dxa"/>
            </w:tcMar>
          </w:tcPr>
          <w:p>
            <w:pPr>
              <w:spacing w:after="0"/>
            </w:pPr>
            <w:r>
              <w:rPr>
                <w:color w:val="344054"/>
                <w:sz w:val="17"/>
              </w:rPr>
              <w:t>Multi-entité</w:t>
            </w:r>
          </w:p>
        </w:tc>
        <w:tc>
          <w:tcPr>
            <w:tcW w:type="dxa" w:w="2578"/>
            <w:tcMar>
              <w:top w:w="90" w:type="dxa"/>
              <w:start w:w="100" w:type="dxa"/>
              <w:bottom w:w="90" w:type="dxa"/>
              <w:end w:w="100" w:type="dxa"/>
            </w:tcMar>
          </w:tcPr>
          <w:p>
            <w:pPr>
              <w:spacing w:after="0"/>
            </w:pPr>
            <w:r>
              <w:rPr>
                <w:color w:val="344054"/>
                <w:sz w:val="17"/>
              </w:rPr>
              <w:t>Prévoir la capacité future de distinguer plusieurs sociétés, équipes ou business units.</w:t>
            </w:r>
          </w:p>
        </w:tc>
        <w:tc>
          <w:tcPr>
            <w:tcW w:type="dxa" w:w="2578"/>
            <w:tcMar>
              <w:top w:w="90" w:type="dxa"/>
              <w:start w:w="100" w:type="dxa"/>
              <w:bottom w:w="90" w:type="dxa"/>
              <w:end w:w="100" w:type="dxa"/>
            </w:tcMar>
          </w:tcPr>
          <w:p>
            <w:pPr>
              <w:spacing w:after="0"/>
              <w:jc w:val="center"/>
            </w:pPr>
            <w:r>
              <w:rPr>
                <w:b/>
                <w:color w:val="344054"/>
                <w:sz w:val="17"/>
              </w:rPr>
              <w:t>COULD</w:t>
            </w:r>
          </w:p>
        </w:tc>
      </w:tr>
    </w:tbl>
    <w:p>
      <w:pPr>
        <w:spacing w:after="0"/>
      </w:pPr>
    </w:p>
    <w:p>
      <w:pPr>
        <w:pStyle w:val="Heading1"/>
        <w:spacing w:before="200" w:after="120"/>
        <w:pBdr>
          <w:bottom w:val="single" w:sz="8" w:space="1" w:color="146EF5"/>
        </w:pBdr>
      </w:pPr>
      <w:r>
        <w:t>6. Règles de gestion</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0E1B3D"/>
            <w:tcMar>
              <w:top w:w="80" w:type="dxa"/>
              <w:start w:w="100" w:type="dxa"/>
              <w:bottom w:w="80" w:type="dxa"/>
              <w:end w:w="100" w:type="dxa"/>
            </w:tcMar>
          </w:tcPr>
          <w:p>
            <w:r>
              <w:rPr>
                <w:b/>
                <w:color w:val="FFFFFF"/>
                <w:sz w:val="18"/>
              </w:rPr>
              <w:t>Règle</w:t>
            </w:r>
          </w:p>
        </w:tc>
        <w:tc>
          <w:tcPr>
            <w:tcW w:type="dxa" w:w="5156"/>
            <w:shd w:fill="0E1B3D"/>
            <w:tcMar>
              <w:top w:w="80" w:type="dxa"/>
              <w:start w:w="100" w:type="dxa"/>
              <w:bottom w:w="80" w:type="dxa"/>
              <w:end w:w="100" w:type="dxa"/>
            </w:tcMar>
          </w:tcPr>
          <w:p>
            <w:r>
              <w:rPr>
                <w:b/>
                <w:color w:val="FFFFFF"/>
                <w:sz w:val="18"/>
              </w:rPr>
              <w:t>Description</w:t>
            </w:r>
          </w:p>
        </w:tc>
      </w:tr>
      <w:tr>
        <w:tc>
          <w:tcPr>
            <w:tcW w:type="dxa" w:w="5156"/>
            <w:tcMar>
              <w:top w:w="80" w:type="dxa"/>
              <w:start w:w="100" w:type="dxa"/>
              <w:bottom w:w="80" w:type="dxa"/>
              <w:end w:w="100" w:type="dxa"/>
            </w:tcMar>
          </w:tcPr>
          <w:p>
            <w:r>
              <w:rPr>
                <w:b/>
                <w:color w:val="146EF5"/>
              </w:rPr>
              <w:t>RG-01</w:t>
            </w:r>
          </w:p>
        </w:tc>
        <w:tc>
          <w:tcPr>
            <w:tcW w:type="dxa" w:w="5156"/>
            <w:tcMar>
              <w:top w:w="80" w:type="dxa"/>
              <w:start w:w="100" w:type="dxa"/>
              <w:bottom w:w="80" w:type="dxa"/>
              <w:end w:w="100" w:type="dxa"/>
            </w:tcMar>
          </w:tcPr>
          <w:p>
            <w:r>
              <w:t>Une ligne de temps est rattachée à un projet Azure DevOps ou à une activité interne autorisée.</w:t>
            </w:r>
          </w:p>
        </w:tc>
      </w:tr>
      <w:tr>
        <w:tc>
          <w:tcPr>
            <w:tcW w:type="dxa" w:w="5156"/>
            <w:tcMar>
              <w:top w:w="80" w:type="dxa"/>
              <w:start w:w="100" w:type="dxa"/>
              <w:bottom w:w="80" w:type="dxa"/>
              <w:end w:w="100" w:type="dxa"/>
            </w:tcMar>
          </w:tcPr>
          <w:p>
            <w:r>
              <w:rPr>
                <w:b/>
                <w:color w:val="146EF5"/>
              </w:rPr>
              <w:t>RG-02</w:t>
            </w:r>
          </w:p>
        </w:tc>
        <w:tc>
          <w:tcPr>
            <w:tcW w:type="dxa" w:w="5156"/>
            <w:tcMar>
              <w:top w:w="80" w:type="dxa"/>
              <w:start w:w="100" w:type="dxa"/>
              <w:bottom w:w="80" w:type="dxa"/>
              <w:end w:w="100" w:type="dxa"/>
            </w:tcMar>
          </w:tcPr>
          <w:p>
            <w:r>
              <w:t>La durée quotidienne est contrôlée par rapport au temps théorique du collaborateur, sans empêcher les cas autorisés d’heures supplémentaires.</w:t>
            </w:r>
          </w:p>
        </w:tc>
      </w:tr>
      <w:tr>
        <w:tc>
          <w:tcPr>
            <w:tcW w:type="dxa" w:w="5156"/>
            <w:tcMar>
              <w:top w:w="80" w:type="dxa"/>
              <w:start w:w="100" w:type="dxa"/>
              <w:bottom w:w="80" w:type="dxa"/>
              <w:end w:w="100" w:type="dxa"/>
            </w:tcMar>
          </w:tcPr>
          <w:p>
            <w:r>
              <w:rPr>
                <w:b/>
                <w:color w:val="146EF5"/>
              </w:rPr>
              <w:t>RG-03</w:t>
            </w:r>
          </w:p>
        </w:tc>
        <w:tc>
          <w:tcPr>
            <w:tcW w:type="dxa" w:w="5156"/>
            <w:tcMar>
              <w:top w:w="80" w:type="dxa"/>
              <w:start w:w="100" w:type="dxa"/>
              <w:bottom w:w="80" w:type="dxa"/>
              <w:end w:w="100" w:type="dxa"/>
            </w:tcMar>
          </w:tcPr>
          <w:p>
            <w:r>
              <w:t>Une feuille soumise n’est plus modifiable par le collaborateur tant qu’elle n’est pas rejetée ou réouverte.</w:t>
            </w:r>
          </w:p>
        </w:tc>
      </w:tr>
      <w:tr>
        <w:tc>
          <w:tcPr>
            <w:tcW w:type="dxa" w:w="5156"/>
            <w:tcMar>
              <w:top w:w="80" w:type="dxa"/>
              <w:start w:w="100" w:type="dxa"/>
              <w:bottom w:w="80" w:type="dxa"/>
              <w:end w:w="100" w:type="dxa"/>
            </w:tcMar>
          </w:tcPr>
          <w:p>
            <w:r>
              <w:rPr>
                <w:b/>
                <w:color w:val="146EF5"/>
              </w:rPr>
              <w:t>RG-04</w:t>
            </w:r>
          </w:p>
        </w:tc>
        <w:tc>
          <w:tcPr>
            <w:tcW w:type="dxa" w:w="5156"/>
            <w:tcMar>
              <w:top w:w="80" w:type="dxa"/>
              <w:start w:w="100" w:type="dxa"/>
              <w:bottom w:w="80" w:type="dxa"/>
              <w:end w:w="100" w:type="dxa"/>
            </w:tcMar>
          </w:tcPr>
          <w:p>
            <w:r>
              <w:t>Une feuille validée peut être verrouillée automatiquement à la clôture de la période.</w:t>
            </w:r>
          </w:p>
        </w:tc>
      </w:tr>
      <w:tr>
        <w:tc>
          <w:tcPr>
            <w:tcW w:type="dxa" w:w="5156"/>
            <w:tcMar>
              <w:top w:w="80" w:type="dxa"/>
              <w:start w:w="100" w:type="dxa"/>
              <w:bottom w:w="80" w:type="dxa"/>
              <w:end w:w="100" w:type="dxa"/>
            </w:tcMar>
          </w:tcPr>
          <w:p>
            <w:r>
              <w:rPr>
                <w:b/>
                <w:color w:val="146EF5"/>
              </w:rPr>
              <w:t>RG-05</w:t>
            </w:r>
          </w:p>
        </w:tc>
        <w:tc>
          <w:tcPr>
            <w:tcW w:type="dxa" w:w="5156"/>
            <w:tcMar>
              <w:top w:w="80" w:type="dxa"/>
              <w:start w:w="100" w:type="dxa"/>
              <w:bottom w:w="80" w:type="dxa"/>
              <w:end w:w="100" w:type="dxa"/>
            </w:tcMar>
          </w:tcPr>
          <w:p>
            <w:r>
              <w:t>Le rejet nécessite un motif visible par le collaborateur.</w:t>
            </w:r>
          </w:p>
        </w:tc>
      </w:tr>
      <w:tr>
        <w:tc>
          <w:tcPr>
            <w:tcW w:type="dxa" w:w="5156"/>
            <w:tcMar>
              <w:top w:w="80" w:type="dxa"/>
              <w:start w:w="100" w:type="dxa"/>
              <w:bottom w:w="80" w:type="dxa"/>
              <w:end w:w="100" w:type="dxa"/>
            </w:tcMar>
          </w:tcPr>
          <w:p>
            <w:r>
              <w:rPr>
                <w:b/>
                <w:color w:val="146EF5"/>
              </w:rPr>
              <w:t>RG-06</w:t>
            </w:r>
          </w:p>
        </w:tc>
        <w:tc>
          <w:tcPr>
            <w:tcW w:type="dxa" w:w="5156"/>
            <w:tcMar>
              <w:top w:w="80" w:type="dxa"/>
              <w:start w:w="100" w:type="dxa"/>
              <w:bottom w:w="80" w:type="dxa"/>
              <w:end w:w="100" w:type="dxa"/>
            </w:tcMar>
          </w:tcPr>
          <w:p>
            <w:r>
              <w:t>Le statut facturable doit pouvoir être défini au niveau projet/activité et surchargé par un utilisateur habilité.</w:t>
            </w:r>
          </w:p>
        </w:tc>
      </w:tr>
      <w:tr>
        <w:tc>
          <w:tcPr>
            <w:tcW w:type="dxa" w:w="5156"/>
            <w:tcMar>
              <w:top w:w="80" w:type="dxa"/>
              <w:start w:w="100" w:type="dxa"/>
              <w:bottom w:w="80" w:type="dxa"/>
              <w:end w:w="100" w:type="dxa"/>
            </w:tcMar>
          </w:tcPr>
          <w:p>
            <w:r>
              <w:rPr>
                <w:b/>
                <w:color w:val="146EF5"/>
              </w:rPr>
              <w:t>RG-07</w:t>
            </w:r>
          </w:p>
        </w:tc>
        <w:tc>
          <w:tcPr>
            <w:tcW w:type="dxa" w:w="5156"/>
            <w:tcMar>
              <w:top w:w="80" w:type="dxa"/>
              <w:start w:w="100" w:type="dxa"/>
              <w:bottom w:w="80" w:type="dxa"/>
              <w:end w:w="100" w:type="dxa"/>
            </w:tcMar>
          </w:tcPr>
          <w:p>
            <w:r>
              <w:t>La désactivation d’un projet Azure DevOps n’altère jamais l’historique des temps déjà saisis.</w:t>
            </w:r>
          </w:p>
        </w:tc>
      </w:tr>
      <w:tr>
        <w:tc>
          <w:tcPr>
            <w:tcW w:type="dxa" w:w="5156"/>
            <w:tcMar>
              <w:top w:w="80" w:type="dxa"/>
              <w:start w:w="100" w:type="dxa"/>
              <w:bottom w:w="80" w:type="dxa"/>
              <w:end w:w="100" w:type="dxa"/>
            </w:tcMar>
          </w:tcPr>
          <w:p>
            <w:r>
              <w:rPr>
                <w:b/>
                <w:color w:val="146EF5"/>
              </w:rPr>
              <w:t>RG-08</w:t>
            </w:r>
          </w:p>
        </w:tc>
        <w:tc>
          <w:tcPr>
            <w:tcW w:type="dxa" w:w="5156"/>
            <w:tcMar>
              <w:top w:w="80" w:type="dxa"/>
              <w:start w:w="100" w:type="dxa"/>
              <w:bottom w:w="80" w:type="dxa"/>
              <w:end w:w="100" w:type="dxa"/>
            </w:tcMar>
          </w:tcPr>
          <w:p>
            <w:r>
              <w:t>Les corrections après validation doivent être historisées.</w:t>
            </w:r>
          </w:p>
        </w:tc>
      </w:tr>
      <w:tr>
        <w:tc>
          <w:tcPr>
            <w:tcW w:type="dxa" w:w="5156"/>
            <w:tcMar>
              <w:top w:w="80" w:type="dxa"/>
              <w:start w:w="100" w:type="dxa"/>
              <w:bottom w:w="80" w:type="dxa"/>
              <w:end w:w="100" w:type="dxa"/>
            </w:tcMar>
          </w:tcPr>
          <w:p>
            <w:r>
              <w:rPr>
                <w:b/>
                <w:color w:val="146EF5"/>
              </w:rPr>
              <w:t>RG-09</w:t>
            </w:r>
          </w:p>
        </w:tc>
        <w:tc>
          <w:tcPr>
            <w:tcW w:type="dxa" w:w="5156"/>
            <w:tcMar>
              <w:top w:w="80" w:type="dxa"/>
              <w:start w:w="100" w:type="dxa"/>
              <w:bottom w:w="80" w:type="dxa"/>
              <w:end w:w="100" w:type="dxa"/>
            </w:tcMar>
          </w:tcPr>
          <w:p>
            <w:r>
              <w:t>Les jours fériés, congés et absences pourront être intégrés dans une phase ultérieure ou via un référentiel externe.</w:t>
            </w:r>
          </w:p>
        </w:tc>
      </w:tr>
    </w:tbl>
    <w:p>
      <w:pPr>
        <w:pStyle w:val="Heading1"/>
        <w:spacing w:before="200" w:after="120"/>
        <w:pBdr>
          <w:bottom w:val="single" w:sz="8" w:space="1" w:color="146EF5"/>
        </w:pBdr>
      </w:pPr>
      <w:r>
        <w:t>7. Pilotage et tableaux de bord</w:t>
      </w:r>
    </w:p>
    <w:p>
      <w:pPr>
        <w:pStyle w:val="ListBullet"/>
        <w:spacing w:after="40"/>
      </w:pPr>
      <w:r>
        <w:rPr>
          <w:sz w:val="19"/>
        </w:rPr>
        <w:t>Heures saisies vs temps théorique.</w:t>
      </w:r>
    </w:p>
    <w:p>
      <w:pPr>
        <w:pStyle w:val="ListBullet"/>
        <w:spacing w:after="40"/>
      </w:pPr>
      <w:r>
        <w:rPr>
          <w:sz w:val="19"/>
        </w:rPr>
        <w:t>Heures facturables / non facturables / internes.</w:t>
      </w:r>
    </w:p>
    <w:p>
      <w:pPr>
        <w:pStyle w:val="ListBullet"/>
        <w:spacing w:after="40"/>
      </w:pPr>
      <w:r>
        <w:rPr>
          <w:sz w:val="19"/>
        </w:rPr>
        <w:t>Taux d’occupation par collaborateur, équipe et période.</w:t>
      </w:r>
    </w:p>
    <w:p>
      <w:pPr>
        <w:pStyle w:val="ListBullet"/>
        <w:spacing w:after="40"/>
      </w:pPr>
      <w:r>
        <w:rPr>
          <w:sz w:val="19"/>
        </w:rPr>
        <w:t>Temps consommé par client, mission et projet.</w:t>
      </w:r>
    </w:p>
    <w:p>
      <w:pPr>
        <w:pStyle w:val="ListBullet"/>
        <w:spacing w:after="40"/>
      </w:pPr>
      <w:r>
        <w:rPr>
          <w:sz w:val="19"/>
        </w:rPr>
        <w:t>Répartition du temps par type d’activité : développement, support, formation, interne, etc.</w:t>
      </w:r>
    </w:p>
    <w:p>
      <w:pPr>
        <w:pStyle w:val="ListBullet"/>
        <w:spacing w:after="40"/>
      </w:pPr>
      <w:r>
        <w:rPr>
          <w:sz w:val="19"/>
        </w:rPr>
        <w:t>Feuilles en retard, à valider, rejetées ou incomplètes.</w:t>
      </w:r>
    </w:p>
    <w:p>
      <w:pPr>
        <w:pStyle w:val="ListBullet"/>
        <w:spacing w:after="40"/>
      </w:pPr>
      <w:r>
        <w:rPr>
          <w:sz w:val="19"/>
        </w:rPr>
        <w:t>Alertes sur dépassement du budget temps ou du forfait lorsqu’un budget est renseigné.</w:t>
      </w:r>
    </w:p>
    <w:p>
      <w:pPr>
        <w:pStyle w:val="ListBullet"/>
        <w:spacing w:after="40"/>
      </w:pPr>
      <w:r>
        <w:rPr>
          <w:sz w:val="19"/>
        </w:rPr>
        <w:t>Préparation à la facturation : période, client, projet, temps validé et montant théorique si un taux/jour est paramétré.</w:t>
      </w:r>
    </w:p>
    <w:tbl>
      <w:tblPr>
        <w:tblW w:type="auto" w:w="0"/>
        <w:jc w:val="center"/>
        <w:tblLayout w:type="autofit"/>
        <w:tblLook w:firstColumn="1" w:firstRow="1" w:lastColumn="0" w:lastRow="0" w:noHBand="0" w:noVBand="1" w:val="04A0"/>
      </w:tblPr>
      <w:tblGrid>
        <w:gridCol w:w="10312"/>
      </w:tblGrid>
      <w:tr>
        <w:tc>
          <w:tcPr>
            <w:tcW w:type="dxa" w:w="10312"/>
            <w:shd w:fill="ECFDF3"/>
            <w:tcBorders>
              <w:top w:val="nil"/>
              <w:left w:val="single" w:sz="24" w:color="12B76A"/>
              <w:bottom w:val="nil"/>
              <w:right w:val="nil"/>
            </w:tcBorders>
            <w:tcMar>
              <w:top w:w="140" w:type="dxa"/>
              <w:start w:w="180" w:type="dxa"/>
              <w:bottom w:w="140" w:type="dxa"/>
              <w:end w:w="180" w:type="dxa"/>
            </w:tcMar>
          </w:tcPr>
          <w:p>
            <w:pPr>
              <w:spacing w:after="60"/>
            </w:pPr>
            <w:r>
              <w:rPr>
                <w:b/>
                <w:color w:val="0E1B3D"/>
                <w:sz w:val="21"/>
              </w:rPr>
              <w:t>Évolution recommandée</w:t>
            </w:r>
          </w:p>
          <w:p>
            <w:pPr>
              <w:spacing w:after="0"/>
            </w:pPr>
            <w:r>
              <w:rPr>
                <w:color w:val="344054"/>
                <w:sz w:val="19"/>
              </w:rPr>
              <w:t>Après la V1 CRA, la combinaison temps validés + budget projet + taux journalier permet d’ajouter progressivement un véritable pilotage de marge et de rentabilité par mission.</w:t>
            </w:r>
          </w:p>
        </w:tc>
      </w:tr>
    </w:tbl>
    <w:p>
      <w:pPr>
        <w:spacing w:after="0"/>
      </w:pPr>
    </w:p>
    <w:p>
      <w:pPr>
        <w:pStyle w:val="Heading1"/>
        <w:spacing w:before="200" w:after="120"/>
        <w:pBdr>
          <w:bottom w:val="single" w:sz="8" w:space="1" w:color="146EF5"/>
        </w:pBdr>
      </w:pPr>
      <w:r>
        <w:t>8. Exigences UX / UI</w:t>
      </w:r>
    </w:p>
    <w:p>
      <w:pPr>
        <w:pStyle w:val="ListBullet"/>
        <w:spacing w:after="40"/>
      </w:pPr>
      <w:r>
        <w:rPr>
          <w:sz w:val="19"/>
        </w:rPr>
        <w:t>Interface mobile-first mais optimisée en priorité pour la saisie sur ordinateur.</w:t>
      </w:r>
    </w:p>
    <w:p>
      <w:pPr>
        <w:pStyle w:val="ListBullet"/>
        <w:spacing w:after="40"/>
      </w:pPr>
      <w:r>
        <w:rPr>
          <w:sz w:val="19"/>
        </w:rPr>
        <w:t>Saisie hebdomadaire visible sans multiplier les écrans.</w:t>
      </w:r>
    </w:p>
    <w:p>
      <w:pPr>
        <w:pStyle w:val="ListBullet"/>
        <w:spacing w:after="40"/>
      </w:pPr>
      <w:r>
        <w:rPr>
          <w:sz w:val="19"/>
        </w:rPr>
        <w:t>Ajout d’une activité en quelques clics avec recherche instantanée.</w:t>
      </w:r>
    </w:p>
    <w:p>
      <w:pPr>
        <w:pStyle w:val="ListBullet"/>
        <w:spacing w:after="40"/>
      </w:pPr>
      <w:r>
        <w:rPr>
          <w:sz w:val="19"/>
        </w:rPr>
        <w:t>Affichage clair des statuts, erreurs et actions principales.</w:t>
      </w:r>
    </w:p>
    <w:p>
      <w:pPr>
        <w:pStyle w:val="ListBullet"/>
        <w:spacing w:after="40"/>
      </w:pPr>
      <w:r>
        <w:rPr>
          <w:sz w:val="19"/>
        </w:rPr>
        <w:t>Indicateurs synthétiques en tête de page : heures saisies, facturables, feuilles en validation et taux d’occupation.</w:t>
      </w:r>
    </w:p>
    <w:p>
      <w:pPr>
        <w:pStyle w:val="ListBullet"/>
        <w:spacing w:after="40"/>
      </w:pPr>
      <w:r>
        <w:rPr>
          <w:sz w:val="19"/>
        </w:rPr>
        <w:t>Design moderne de type SaaS B2B : espaces généreux, cartes sobres, couleurs d’état cohérentes, raccourcis et interactions rapides.</w:t>
      </w:r>
    </w:p>
    <w:p>
      <w:pPr>
        <w:pStyle w:val="ListBullet"/>
        <w:spacing w:after="40"/>
      </w:pPr>
      <w:r>
        <w:rPr>
          <w:sz w:val="19"/>
        </w:rPr>
        <w:t>Limiter la densité du menu : l’utilisateur doit immédiatement comprendre où saisir son temps et où soumettre son CRA.</w:t>
      </w:r>
    </w:p>
    <w:p>
      <w:pPr>
        <w:pStyle w:val="Heading1"/>
        <w:spacing w:before="200" w:after="120"/>
        <w:pBdr>
          <w:bottom w:val="single" w:sz="8" w:space="1" w:color="146EF5"/>
        </w:pBdr>
      </w:pPr>
      <w:r>
        <w:t>9. Captures et références visuelles</w:t>
      </w:r>
    </w:p>
    <w:p>
      <w:r>
        <w:t>Les captures suivantes servent de référence de cadrage. La première montre l’inspiration générale Pilot ; les suivantes illustrent une proposition adaptée au métier ESN / développement / formation, puis une version intégrant explicitement Azure DevOps.</w:t>
      </w:r>
    </w:p>
    <w:p>
      <w:pPr>
        <w:spacing w:after="0"/>
        <w:jc w:val="center"/>
      </w:pPr>
      <w:r>
        <w:drawing>
          <wp:inline xmlns:a="http://schemas.openxmlformats.org/drawingml/2006/main" xmlns:pic="http://schemas.openxmlformats.org/drawingml/2006/picture">
            <wp:extent cx="6172200" cy="3443019"/>
            <wp:docPr id="1" name="Picture 1"/>
            <wp:cNvGraphicFramePr>
              <a:graphicFrameLocks noChangeAspect="1"/>
            </wp:cNvGraphicFramePr>
            <a:graphic>
              <a:graphicData uri="http://schemas.openxmlformats.org/drawingml/2006/picture">
                <pic:pic>
                  <pic:nvPicPr>
                    <pic:cNvPr id="0" name="image(20260930-131916).png"/>
                    <pic:cNvPicPr/>
                  </pic:nvPicPr>
                  <pic:blipFill>
                    <a:blip r:embed="rId10"/>
                    <a:stretch>
                      <a:fillRect/>
                    </a:stretch>
                  </pic:blipFill>
                  <pic:spPr>
                    <a:xfrm>
                      <a:off x="0" y="0"/>
                      <a:ext cx="6172200" cy="3443019"/>
                    </a:xfrm>
                    <a:prstGeom prst="rect"/>
                  </pic:spPr>
                </pic:pic>
              </a:graphicData>
            </a:graphic>
          </wp:inline>
        </w:drawing>
      </w:r>
    </w:p>
    <w:p>
      <w:pPr>
        <w:spacing w:before="60" w:after="160"/>
        <w:jc w:val="center"/>
      </w:pPr>
      <w:r>
        <w:rPr>
          <w:i/>
          <w:color w:val="667085"/>
          <w:sz w:val="17"/>
        </w:rPr>
        <w:t>Figure 1 — Pilot : inspiration UX de pilotage collaboratif (référence, non reproduction fonctionnelle).</w:t>
      </w:r>
    </w:p>
    <w:p>
      <w:pPr>
        <w:spacing w:after="0"/>
        <w:jc w:val="center"/>
      </w:pPr>
      <w:r>
        <w:drawing>
          <wp:inline xmlns:a="http://schemas.openxmlformats.org/drawingml/2006/main" xmlns:pic="http://schemas.openxmlformats.org/drawingml/2006/picture">
            <wp:extent cx="6172200" cy="3473708"/>
            <wp:docPr id="2" name="Picture 2"/>
            <wp:cNvGraphicFramePr>
              <a:graphicFrameLocks noChangeAspect="1"/>
            </wp:cNvGraphicFramePr>
            <a:graphic>
              <a:graphicData uri="http://schemas.openxmlformats.org/drawingml/2006/picture">
                <pic:pic>
                  <pic:nvPicPr>
                    <pic:cNvPr id="0" name="wide_clean_high_resolution_ui_mockup_hero_style_1.png"/>
                    <pic:cNvPicPr/>
                  </pic:nvPicPr>
                  <pic:blipFill>
                    <a:blip r:embed="rId11"/>
                    <a:stretch>
                      <a:fillRect/>
                    </a:stretch>
                  </pic:blipFill>
                  <pic:spPr>
                    <a:xfrm>
                      <a:off x="0" y="0"/>
                      <a:ext cx="6172200" cy="3473708"/>
                    </a:xfrm>
                    <a:prstGeom prst="rect"/>
                  </pic:spPr>
                </pic:pic>
              </a:graphicData>
            </a:graphic>
          </wp:inline>
        </w:drawing>
      </w:r>
    </w:p>
    <w:p>
      <w:pPr>
        <w:spacing w:before="60" w:after="160"/>
        <w:jc w:val="center"/>
      </w:pPr>
      <w:r>
        <w:rPr>
          <w:i/>
          <w:color w:val="667085"/>
          <w:sz w:val="17"/>
        </w:rPr>
        <w:t>Figure 2 — Première proposition de feuille de temps hebdomadaire pour prestations logicielles et formations.</w:t>
      </w:r>
    </w:p>
    <w:p>
      <w:r>
        <w:br w:type="page"/>
      </w:r>
    </w:p>
    <w:p>
      <w:pPr>
        <w:spacing w:after="0"/>
        <w:jc w:val="center"/>
      </w:pPr>
      <w:r>
        <w:drawing>
          <wp:inline xmlns:a="http://schemas.openxmlformats.org/drawingml/2006/main" xmlns:pic="http://schemas.openxmlformats.org/drawingml/2006/picture">
            <wp:extent cx="6172200" cy="3473708"/>
            <wp:docPr id="3" name="Picture 3"/>
            <wp:cNvGraphicFramePr>
              <a:graphicFrameLocks noChangeAspect="1"/>
            </wp:cNvGraphicFramePr>
            <a:graphic>
              <a:graphicData uri="http://schemas.openxmlformats.org/drawingml/2006/picture">
                <pic:pic>
                  <pic:nvPicPr>
                    <pic:cNvPr id="0" name="wide_modern_clean_saas_ui_mockup_in_a_bright_so_1.png"/>
                    <pic:cNvPicPr/>
                  </pic:nvPicPr>
                  <pic:blipFill>
                    <a:blip r:embed="rId12"/>
                    <a:stretch>
                      <a:fillRect/>
                    </a:stretch>
                  </pic:blipFill>
                  <pic:spPr>
                    <a:xfrm>
                      <a:off x="0" y="0"/>
                      <a:ext cx="6172200" cy="3473708"/>
                    </a:xfrm>
                    <a:prstGeom prst="rect"/>
                  </pic:spPr>
                </pic:pic>
              </a:graphicData>
            </a:graphic>
          </wp:inline>
        </w:drawing>
      </w:r>
    </w:p>
    <w:p>
      <w:pPr>
        <w:spacing w:before="60" w:after="160"/>
        <w:jc w:val="center"/>
      </w:pPr>
      <w:r>
        <w:rPr>
          <w:i/>
          <w:color w:val="667085"/>
          <w:sz w:val="17"/>
        </w:rPr>
        <w:t>Figure 3 — Proposition moderne avec synchronisation des projets depuis Azure DevOps.</w:t>
      </w:r>
    </w:p>
    <w:p>
      <w:pPr>
        <w:pStyle w:val="Heading1"/>
        <w:spacing w:before="200" w:after="120"/>
        <w:pBdr>
          <w:bottom w:val="single" w:sz="8" w:space="1" w:color="146EF5"/>
        </w:pBdr>
      </w:pPr>
      <w:r>
        <w:t>10. Écran cible : comportement attendu</w:t>
      </w:r>
    </w:p>
    <w:p>
      <w:pPr>
        <w:pStyle w:val="ListBullet"/>
        <w:spacing w:after="40"/>
      </w:pPr>
      <w:r>
        <w:rPr>
          <w:sz w:val="19"/>
        </w:rPr>
        <w:t>La zone “Azure DevOps” indique l’état de la synchronisation et la date/heure de la dernière mise à jour.</w:t>
      </w:r>
    </w:p>
    <w:p>
      <w:pPr>
        <w:pStyle w:val="ListBullet"/>
        <w:spacing w:after="40"/>
      </w:pPr>
      <w:r>
        <w:rPr>
          <w:sz w:val="19"/>
        </w:rPr>
        <w:t>“Ajouter une activité” ouvre un sélecteur avec recherche projet, catégories d’activité et activités récentes.</w:t>
      </w:r>
    </w:p>
    <w:p>
      <w:pPr>
        <w:pStyle w:val="ListBullet"/>
        <w:spacing w:after="40"/>
      </w:pPr>
      <w:r>
        <w:rPr>
          <w:sz w:val="19"/>
        </w:rPr>
        <w:t>Les lignes restent compactes et éditables directement dans la grille.</w:t>
      </w:r>
    </w:p>
    <w:p>
      <w:pPr>
        <w:pStyle w:val="ListBullet"/>
        <w:spacing w:after="40"/>
      </w:pPr>
      <w:r>
        <w:rPr>
          <w:sz w:val="19"/>
        </w:rPr>
        <w:t>Le bouton “Enregistrer” conserve le brouillon ; “Soumettre” déclenche les contrôles de complétude puis le workflow de validation.</w:t>
      </w:r>
    </w:p>
    <w:p>
      <w:pPr>
        <w:pStyle w:val="ListBullet"/>
        <w:spacing w:after="40"/>
      </w:pPr>
      <w:r>
        <w:rPr>
          <w:sz w:val="19"/>
        </w:rPr>
        <w:t>Les projets provenant d’Azure DevOps sont identifiés par un badge/source afin de distinguer les activités internes.</w:t>
      </w:r>
    </w:p>
    <w:p>
      <w:pPr>
        <w:pStyle w:val="ListBullet"/>
        <w:spacing w:after="40"/>
      </w:pPr>
      <w:r>
        <w:rPr>
          <w:sz w:val="19"/>
        </w:rPr>
        <w:t>Les KPI affichés en haut sont recalculés à partir de la période affichée.</w:t>
      </w:r>
    </w:p>
    <w:p>
      <w:pPr>
        <w:pStyle w:val="Heading1"/>
        <w:spacing w:before="200" w:after="120"/>
        <w:pBdr>
          <w:bottom w:val="single" w:sz="8" w:space="1" w:color="146EF5"/>
        </w:pBdr>
      </w:pPr>
      <w:r>
        <w:t>11. Exigences non fonctionnelles</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trPr>
        <w:tc>
          <w:tcPr>
            <w:tcW w:type="dxa" w:w="1247"/>
            <w:shd w:fill="0E1B3D"/>
            <w:tcBorders>
              <w:top w:val="single" w:sz="6" w:color="0E1B3D"/>
              <w:left w:val="single" w:sz="6" w:color="0E1B3D"/>
              <w:bottom w:val="single" w:sz="6" w:color="0E1B3D"/>
              <w:right w:val="single" w:sz="6" w:color="0E1B3D"/>
            </w:tcBorders>
            <w:tcMar>
              <w:top w:w="100" w:type="dxa"/>
              <w:start w:w="100" w:type="dxa"/>
              <w:bottom w:w="100" w:type="dxa"/>
              <w:end w:w="100" w:type="dxa"/>
            </w:tcMar>
          </w:tcPr>
          <w:p>
            <w:pPr>
              <w:jc w:val="center"/>
            </w:pPr>
            <w:r>
              <w:rPr>
                <w:b/>
                <w:color w:val="FFFFFF"/>
                <w:sz w:val="18"/>
              </w:rPr>
              <w:t>ID</w:t>
            </w:r>
          </w:p>
        </w:tc>
        <w:tc>
          <w:tcPr>
            <w:tcW w:type="dxa" w:w="2381"/>
            <w:shd w:fill="0E1B3D"/>
            <w:tcBorders>
              <w:top w:val="single" w:sz="6" w:color="0E1B3D"/>
              <w:left w:val="single" w:sz="6" w:color="0E1B3D"/>
              <w:bottom w:val="single" w:sz="6" w:color="0E1B3D"/>
              <w:right w:val="single" w:sz="6" w:color="0E1B3D"/>
            </w:tcBorders>
            <w:tcMar>
              <w:top w:w="100" w:type="dxa"/>
              <w:start w:w="100" w:type="dxa"/>
              <w:bottom w:w="100" w:type="dxa"/>
              <w:end w:w="100" w:type="dxa"/>
            </w:tcMar>
          </w:tcPr>
          <w:p>
            <w:pPr>
              <w:jc w:val="center"/>
            </w:pPr>
            <w:r>
              <w:rPr>
                <w:b/>
                <w:color w:val="FFFFFF"/>
                <w:sz w:val="18"/>
              </w:rPr>
              <w:t>Besoin</w:t>
            </w:r>
          </w:p>
        </w:tc>
        <w:tc>
          <w:tcPr>
            <w:tcW w:type="dxa" w:w="4535"/>
            <w:shd w:fill="0E1B3D"/>
            <w:tcBorders>
              <w:top w:val="single" w:sz="6" w:color="0E1B3D"/>
              <w:left w:val="single" w:sz="6" w:color="0E1B3D"/>
              <w:bottom w:val="single" w:sz="6" w:color="0E1B3D"/>
              <w:right w:val="single" w:sz="6" w:color="0E1B3D"/>
            </w:tcBorders>
            <w:tcMar>
              <w:top w:w="100" w:type="dxa"/>
              <w:start w:w="100" w:type="dxa"/>
              <w:bottom w:w="100" w:type="dxa"/>
              <w:end w:w="100" w:type="dxa"/>
            </w:tcMar>
          </w:tcPr>
          <w:p>
            <w:pPr>
              <w:jc w:val="center"/>
            </w:pPr>
            <w:r>
              <w:rPr>
                <w:b/>
                <w:color w:val="FFFFFF"/>
                <w:sz w:val="18"/>
              </w:rPr>
              <w:t>Description attendue</w:t>
            </w:r>
          </w:p>
        </w:tc>
        <w:tc>
          <w:tcPr>
            <w:tcW w:type="dxa" w:w="1247"/>
            <w:shd w:fill="0E1B3D"/>
            <w:tcBorders>
              <w:top w:val="single" w:sz="6" w:color="0E1B3D"/>
              <w:left w:val="single" w:sz="6" w:color="0E1B3D"/>
              <w:bottom w:val="single" w:sz="6" w:color="0E1B3D"/>
              <w:right w:val="single" w:sz="6" w:color="0E1B3D"/>
            </w:tcBorders>
            <w:tcMar>
              <w:top w:w="100" w:type="dxa"/>
              <w:start w:w="100" w:type="dxa"/>
              <w:bottom w:w="100" w:type="dxa"/>
              <w:end w:w="100" w:type="dxa"/>
            </w:tcMar>
          </w:tcPr>
          <w:p>
            <w:pPr>
              <w:jc w:val="center"/>
            </w:pPr>
            <w:r>
              <w:rPr>
                <w:b/>
                <w:color w:val="FFFFFF"/>
                <w:sz w:val="18"/>
              </w:rPr>
              <w:t>Priorité</w:t>
            </w:r>
          </w:p>
        </w:tc>
      </w:tr>
      <w:tr>
        <w:tc>
          <w:tcPr>
            <w:tcW w:type="dxa" w:w="2578"/>
            <w:tcMar>
              <w:top w:w="90" w:type="dxa"/>
              <w:start w:w="100" w:type="dxa"/>
              <w:bottom w:w="90" w:type="dxa"/>
              <w:end w:w="100" w:type="dxa"/>
            </w:tcMar>
          </w:tcPr>
          <w:p>
            <w:pPr>
              <w:spacing w:after="0"/>
            </w:pPr>
            <w:r>
              <w:rPr>
                <w:b/>
                <w:color w:val="146EF5"/>
                <w:sz w:val="17"/>
              </w:rPr>
              <w:t>NF-01</w:t>
            </w:r>
          </w:p>
        </w:tc>
        <w:tc>
          <w:tcPr>
            <w:tcW w:type="dxa" w:w="2578"/>
            <w:tcMar>
              <w:top w:w="90" w:type="dxa"/>
              <w:start w:w="100" w:type="dxa"/>
              <w:bottom w:w="90" w:type="dxa"/>
              <w:end w:w="100" w:type="dxa"/>
            </w:tcMar>
          </w:tcPr>
          <w:p>
            <w:pPr>
              <w:spacing w:after="0"/>
            </w:pPr>
            <w:r>
              <w:rPr>
                <w:color w:val="344054"/>
                <w:sz w:val="17"/>
              </w:rPr>
              <w:t>Sécurité</w:t>
            </w:r>
          </w:p>
        </w:tc>
        <w:tc>
          <w:tcPr>
            <w:tcW w:type="dxa" w:w="2578"/>
            <w:tcMar>
              <w:top w:w="90" w:type="dxa"/>
              <w:start w:w="100" w:type="dxa"/>
              <w:bottom w:w="90" w:type="dxa"/>
              <w:end w:w="100" w:type="dxa"/>
            </w:tcMar>
          </w:tcPr>
          <w:p>
            <w:pPr>
              <w:spacing w:after="0"/>
            </w:pPr>
            <w:r>
              <w:rPr>
                <w:color w:val="344054"/>
                <w:sz w:val="17"/>
              </w:rPr>
              <w:t>RBAC, HTTPS, secrets chiffrés, logs sans secrets, principe du moindre privilège.</w:t>
            </w:r>
          </w:p>
        </w:tc>
        <w:tc>
          <w:tcPr>
            <w:tcW w:type="dxa" w:w="2578"/>
            <w:tcMar>
              <w:top w:w="90" w:type="dxa"/>
              <w:start w:w="100" w:type="dxa"/>
              <w:bottom w:w="90" w:type="dxa"/>
              <w:end w:w="100" w:type="dxa"/>
            </w:tcMar>
          </w:tcPr>
          <w:p>
            <w:pPr>
              <w:spacing w:after="0"/>
              <w:jc w:val="center"/>
            </w:pPr>
            <w:r>
              <w:rPr>
                <w:b/>
                <w:color w:val="B42318"/>
                <w:sz w:val="17"/>
              </w:rPr>
              <w:t>MUST</w:t>
            </w:r>
          </w:p>
        </w:tc>
      </w:tr>
      <w:tr>
        <w:tc>
          <w:tcPr>
            <w:tcW w:type="dxa" w:w="2578"/>
            <w:tcMar>
              <w:top w:w="90" w:type="dxa"/>
              <w:start w:w="100" w:type="dxa"/>
              <w:bottom w:w="90" w:type="dxa"/>
              <w:end w:w="100" w:type="dxa"/>
            </w:tcMar>
            <w:shd w:fill="FAFBFC"/>
          </w:tcPr>
          <w:p>
            <w:pPr>
              <w:spacing w:after="0"/>
            </w:pPr>
            <w:r>
              <w:rPr>
                <w:b/>
                <w:color w:val="146EF5"/>
                <w:sz w:val="17"/>
              </w:rPr>
              <w:t>NF-02</w:t>
            </w:r>
          </w:p>
        </w:tc>
        <w:tc>
          <w:tcPr>
            <w:tcW w:type="dxa" w:w="2578"/>
            <w:tcMar>
              <w:top w:w="90" w:type="dxa"/>
              <w:start w:w="100" w:type="dxa"/>
              <w:bottom w:w="90" w:type="dxa"/>
              <w:end w:w="100" w:type="dxa"/>
            </w:tcMar>
            <w:shd w:fill="FAFBFC"/>
          </w:tcPr>
          <w:p>
            <w:pPr>
              <w:spacing w:after="0"/>
            </w:pPr>
            <w:r>
              <w:rPr>
                <w:color w:val="344054"/>
                <w:sz w:val="17"/>
              </w:rPr>
              <w:t>Performance</w:t>
            </w:r>
          </w:p>
        </w:tc>
        <w:tc>
          <w:tcPr>
            <w:tcW w:type="dxa" w:w="2578"/>
            <w:tcMar>
              <w:top w:w="90" w:type="dxa"/>
              <w:start w:w="100" w:type="dxa"/>
              <w:bottom w:w="90" w:type="dxa"/>
              <w:end w:w="100" w:type="dxa"/>
            </w:tcMar>
            <w:shd w:fill="FAFBFC"/>
          </w:tcPr>
          <w:p>
            <w:pPr>
              <w:spacing w:after="0"/>
            </w:pPr>
            <w:r>
              <w:rPr>
                <w:color w:val="344054"/>
                <w:sz w:val="17"/>
              </w:rPr>
              <w:t>Chargement des écrans usuels en quelques secondes ; recherche projet quasi instantanée sur le référentiel local synchronisé.</w:t>
            </w:r>
          </w:p>
        </w:tc>
        <w:tc>
          <w:tcPr>
            <w:tcW w:type="dxa" w:w="2578"/>
            <w:tcMar>
              <w:top w:w="90" w:type="dxa"/>
              <w:start w:w="100" w:type="dxa"/>
              <w:bottom w:w="90" w:type="dxa"/>
              <w:end w:w="100" w:type="dxa"/>
            </w:tcMar>
            <w:shd w:fill="FAFBFC"/>
          </w:tcPr>
          <w:p>
            <w:pPr>
              <w:spacing w:after="0"/>
              <w:jc w:val="center"/>
            </w:pPr>
            <w:r>
              <w:rPr>
                <w:b/>
                <w:color w:val="B42318"/>
                <w:sz w:val="17"/>
              </w:rPr>
              <w:t>MUST</w:t>
            </w:r>
          </w:p>
        </w:tc>
      </w:tr>
      <w:tr>
        <w:tc>
          <w:tcPr>
            <w:tcW w:type="dxa" w:w="2578"/>
            <w:tcMar>
              <w:top w:w="90" w:type="dxa"/>
              <w:start w:w="100" w:type="dxa"/>
              <w:bottom w:w="90" w:type="dxa"/>
              <w:end w:w="100" w:type="dxa"/>
            </w:tcMar>
          </w:tcPr>
          <w:p>
            <w:pPr>
              <w:spacing w:after="0"/>
            </w:pPr>
            <w:r>
              <w:rPr>
                <w:b/>
                <w:color w:val="146EF5"/>
                <w:sz w:val="17"/>
              </w:rPr>
              <w:t>NF-03</w:t>
            </w:r>
          </w:p>
        </w:tc>
        <w:tc>
          <w:tcPr>
            <w:tcW w:type="dxa" w:w="2578"/>
            <w:tcMar>
              <w:top w:w="90" w:type="dxa"/>
              <w:start w:w="100" w:type="dxa"/>
              <w:bottom w:w="90" w:type="dxa"/>
              <w:end w:w="100" w:type="dxa"/>
            </w:tcMar>
          </w:tcPr>
          <w:p>
            <w:pPr>
              <w:spacing w:after="0"/>
            </w:pPr>
            <w:r>
              <w:rPr>
                <w:color w:val="344054"/>
                <w:sz w:val="17"/>
              </w:rPr>
              <w:t>Disponibilité</w:t>
            </w:r>
          </w:p>
        </w:tc>
        <w:tc>
          <w:tcPr>
            <w:tcW w:type="dxa" w:w="2578"/>
            <w:tcMar>
              <w:top w:w="90" w:type="dxa"/>
              <w:start w:w="100" w:type="dxa"/>
              <w:bottom w:w="90" w:type="dxa"/>
              <w:end w:w="100" w:type="dxa"/>
            </w:tcMar>
          </w:tcPr>
          <w:p>
            <w:pPr>
              <w:spacing w:after="0"/>
            </w:pPr>
            <w:r>
              <w:rPr>
                <w:color w:val="344054"/>
                <w:sz w:val="17"/>
              </w:rPr>
              <w:t>Application disponible pendant les heures ouvrées avec mécanismes de sauvegarde et restauration adaptés.</w:t>
            </w:r>
          </w:p>
        </w:tc>
        <w:tc>
          <w:tcPr>
            <w:tcW w:type="dxa" w:w="2578"/>
            <w:tcMar>
              <w:top w:w="90" w:type="dxa"/>
              <w:start w:w="100" w:type="dxa"/>
              <w:bottom w:w="90" w:type="dxa"/>
              <w:end w:w="100" w:type="dxa"/>
            </w:tcMar>
          </w:tcPr>
          <w:p>
            <w:pPr>
              <w:spacing w:after="0"/>
              <w:jc w:val="center"/>
            </w:pPr>
            <w:r>
              <w:rPr>
                <w:b/>
                <w:color w:val="B54708"/>
                <w:sz w:val="17"/>
              </w:rPr>
              <w:t>SHOULD</w:t>
            </w:r>
          </w:p>
        </w:tc>
      </w:tr>
      <w:tr>
        <w:tc>
          <w:tcPr>
            <w:tcW w:type="dxa" w:w="2578"/>
            <w:tcMar>
              <w:top w:w="90" w:type="dxa"/>
              <w:start w:w="100" w:type="dxa"/>
              <w:bottom w:w="90" w:type="dxa"/>
              <w:end w:w="100" w:type="dxa"/>
            </w:tcMar>
            <w:shd w:fill="FAFBFC"/>
          </w:tcPr>
          <w:p>
            <w:pPr>
              <w:spacing w:after="0"/>
            </w:pPr>
            <w:r>
              <w:rPr>
                <w:b/>
                <w:color w:val="146EF5"/>
                <w:sz w:val="17"/>
              </w:rPr>
              <w:t>NF-04</w:t>
            </w:r>
          </w:p>
        </w:tc>
        <w:tc>
          <w:tcPr>
            <w:tcW w:type="dxa" w:w="2578"/>
            <w:tcMar>
              <w:top w:w="90" w:type="dxa"/>
              <w:start w:w="100" w:type="dxa"/>
              <w:bottom w:w="90" w:type="dxa"/>
              <w:end w:w="100" w:type="dxa"/>
            </w:tcMar>
            <w:shd w:fill="FAFBFC"/>
          </w:tcPr>
          <w:p>
            <w:pPr>
              <w:spacing w:after="0"/>
            </w:pPr>
            <w:r>
              <w:rPr>
                <w:color w:val="344054"/>
                <w:sz w:val="17"/>
              </w:rPr>
              <w:t>Audit</w:t>
            </w:r>
          </w:p>
        </w:tc>
        <w:tc>
          <w:tcPr>
            <w:tcW w:type="dxa" w:w="2578"/>
            <w:tcMar>
              <w:top w:w="90" w:type="dxa"/>
              <w:start w:w="100" w:type="dxa"/>
              <w:bottom w:w="90" w:type="dxa"/>
              <w:end w:w="100" w:type="dxa"/>
            </w:tcMar>
            <w:shd w:fill="FAFBFC"/>
          </w:tcPr>
          <w:p>
            <w:pPr>
              <w:spacing w:after="0"/>
            </w:pPr>
            <w:r>
              <w:rPr>
                <w:color w:val="344054"/>
                <w:sz w:val="17"/>
              </w:rPr>
              <w:t>Conserver les événements sensibles : soumission, validation, rejet, réouverture, modification post-validation et synchronisations.</w:t>
            </w:r>
          </w:p>
        </w:tc>
        <w:tc>
          <w:tcPr>
            <w:tcW w:type="dxa" w:w="2578"/>
            <w:tcMar>
              <w:top w:w="90" w:type="dxa"/>
              <w:start w:w="100" w:type="dxa"/>
              <w:bottom w:w="90" w:type="dxa"/>
              <w:end w:w="100" w:type="dxa"/>
            </w:tcMar>
            <w:shd w:fill="FAFBFC"/>
          </w:tcPr>
          <w:p>
            <w:pPr>
              <w:spacing w:after="0"/>
              <w:jc w:val="center"/>
            </w:pPr>
            <w:r>
              <w:rPr>
                <w:b/>
                <w:color w:val="B42318"/>
                <w:sz w:val="17"/>
              </w:rPr>
              <w:t>MUST</w:t>
            </w:r>
          </w:p>
        </w:tc>
      </w:tr>
      <w:tr>
        <w:tc>
          <w:tcPr>
            <w:tcW w:type="dxa" w:w="2578"/>
            <w:tcMar>
              <w:top w:w="90" w:type="dxa"/>
              <w:start w:w="100" w:type="dxa"/>
              <w:bottom w:w="90" w:type="dxa"/>
              <w:end w:w="100" w:type="dxa"/>
            </w:tcMar>
          </w:tcPr>
          <w:p>
            <w:pPr>
              <w:spacing w:after="0"/>
            </w:pPr>
            <w:r>
              <w:rPr>
                <w:b/>
                <w:color w:val="146EF5"/>
                <w:sz w:val="17"/>
              </w:rPr>
              <w:t>NF-05</w:t>
            </w:r>
          </w:p>
        </w:tc>
        <w:tc>
          <w:tcPr>
            <w:tcW w:type="dxa" w:w="2578"/>
            <w:tcMar>
              <w:top w:w="90" w:type="dxa"/>
              <w:start w:w="100" w:type="dxa"/>
              <w:bottom w:w="90" w:type="dxa"/>
              <w:end w:w="100" w:type="dxa"/>
            </w:tcMar>
          </w:tcPr>
          <w:p>
            <w:pPr>
              <w:spacing w:after="0"/>
            </w:pPr>
            <w:r>
              <w:rPr>
                <w:color w:val="344054"/>
                <w:sz w:val="17"/>
              </w:rPr>
              <w:t>Responsive</w:t>
            </w:r>
          </w:p>
        </w:tc>
        <w:tc>
          <w:tcPr>
            <w:tcW w:type="dxa" w:w="2578"/>
            <w:tcMar>
              <w:top w:w="90" w:type="dxa"/>
              <w:start w:w="100" w:type="dxa"/>
              <w:bottom w:w="90" w:type="dxa"/>
              <w:end w:w="100" w:type="dxa"/>
            </w:tcMar>
          </w:tcPr>
          <w:p>
            <w:pPr>
              <w:spacing w:after="0"/>
            </w:pPr>
            <w:r>
              <w:rPr>
                <w:color w:val="344054"/>
                <w:sz w:val="17"/>
              </w:rPr>
              <w:t>Utilisable sur desktop, tablette et mobile ; expérience de saisie prioritaire sur desktop.</w:t>
            </w:r>
          </w:p>
        </w:tc>
        <w:tc>
          <w:tcPr>
            <w:tcW w:type="dxa" w:w="2578"/>
            <w:tcMar>
              <w:top w:w="90" w:type="dxa"/>
              <w:start w:w="100" w:type="dxa"/>
              <w:bottom w:w="90" w:type="dxa"/>
              <w:end w:w="100" w:type="dxa"/>
            </w:tcMar>
          </w:tcPr>
          <w:p>
            <w:pPr>
              <w:spacing w:after="0"/>
              <w:jc w:val="center"/>
            </w:pPr>
            <w:r>
              <w:rPr>
                <w:b/>
                <w:color w:val="B54708"/>
                <w:sz w:val="17"/>
              </w:rPr>
              <w:t>SHOULD</w:t>
            </w:r>
          </w:p>
        </w:tc>
      </w:tr>
      <w:tr>
        <w:tc>
          <w:tcPr>
            <w:tcW w:type="dxa" w:w="2578"/>
            <w:tcMar>
              <w:top w:w="90" w:type="dxa"/>
              <w:start w:w="100" w:type="dxa"/>
              <w:bottom w:w="90" w:type="dxa"/>
              <w:end w:w="100" w:type="dxa"/>
            </w:tcMar>
            <w:shd w:fill="FAFBFC"/>
          </w:tcPr>
          <w:p>
            <w:pPr>
              <w:spacing w:after="0"/>
            </w:pPr>
            <w:r>
              <w:rPr>
                <w:b/>
                <w:color w:val="146EF5"/>
                <w:sz w:val="17"/>
              </w:rPr>
              <w:t>NF-06</w:t>
            </w:r>
          </w:p>
        </w:tc>
        <w:tc>
          <w:tcPr>
            <w:tcW w:type="dxa" w:w="2578"/>
            <w:tcMar>
              <w:top w:w="90" w:type="dxa"/>
              <w:start w:w="100" w:type="dxa"/>
              <w:bottom w:w="90" w:type="dxa"/>
              <w:end w:w="100" w:type="dxa"/>
            </w:tcMar>
            <w:shd w:fill="FAFBFC"/>
          </w:tcPr>
          <w:p>
            <w:pPr>
              <w:spacing w:after="0"/>
            </w:pPr>
            <w:r>
              <w:rPr>
                <w:color w:val="344054"/>
                <w:sz w:val="17"/>
              </w:rPr>
              <w:t>Internationalisation</w:t>
            </w:r>
          </w:p>
        </w:tc>
        <w:tc>
          <w:tcPr>
            <w:tcW w:type="dxa" w:w="2578"/>
            <w:tcMar>
              <w:top w:w="90" w:type="dxa"/>
              <w:start w:w="100" w:type="dxa"/>
              <w:bottom w:w="90" w:type="dxa"/>
              <w:end w:w="100" w:type="dxa"/>
            </w:tcMar>
            <w:shd w:fill="FAFBFC"/>
          </w:tcPr>
          <w:p>
            <w:pPr>
              <w:spacing w:after="0"/>
            </w:pPr>
            <w:r>
              <w:rPr>
                <w:color w:val="344054"/>
                <w:sz w:val="17"/>
              </w:rPr>
              <w:t>Prévoir FR/EN dans la conception, même si la V1 peut démarrer en français.</w:t>
            </w:r>
          </w:p>
        </w:tc>
        <w:tc>
          <w:tcPr>
            <w:tcW w:type="dxa" w:w="2578"/>
            <w:tcMar>
              <w:top w:w="90" w:type="dxa"/>
              <w:start w:w="100" w:type="dxa"/>
              <w:bottom w:w="90" w:type="dxa"/>
              <w:end w:w="100" w:type="dxa"/>
            </w:tcMar>
            <w:shd w:fill="FAFBFC"/>
          </w:tcPr>
          <w:p>
            <w:pPr>
              <w:spacing w:after="0"/>
              <w:jc w:val="center"/>
            </w:pPr>
            <w:r>
              <w:rPr>
                <w:b/>
                <w:color w:val="B54708"/>
                <w:sz w:val="17"/>
              </w:rPr>
              <w:t>SHOULD</w:t>
            </w:r>
          </w:p>
        </w:tc>
      </w:tr>
      <w:tr>
        <w:tc>
          <w:tcPr>
            <w:tcW w:type="dxa" w:w="2578"/>
            <w:tcMar>
              <w:top w:w="90" w:type="dxa"/>
              <w:start w:w="100" w:type="dxa"/>
              <w:bottom w:w="90" w:type="dxa"/>
              <w:end w:w="100" w:type="dxa"/>
            </w:tcMar>
          </w:tcPr>
          <w:p>
            <w:pPr>
              <w:spacing w:after="0"/>
            </w:pPr>
            <w:r>
              <w:rPr>
                <w:b/>
                <w:color w:val="146EF5"/>
                <w:sz w:val="17"/>
              </w:rPr>
              <w:t>NF-07</w:t>
            </w:r>
          </w:p>
        </w:tc>
        <w:tc>
          <w:tcPr>
            <w:tcW w:type="dxa" w:w="2578"/>
            <w:tcMar>
              <w:top w:w="90" w:type="dxa"/>
              <w:start w:w="100" w:type="dxa"/>
              <w:bottom w:w="90" w:type="dxa"/>
              <w:end w:w="100" w:type="dxa"/>
            </w:tcMar>
          </w:tcPr>
          <w:p>
            <w:pPr>
              <w:spacing w:after="0"/>
            </w:pPr>
            <w:r>
              <w:rPr>
                <w:color w:val="344054"/>
                <w:sz w:val="17"/>
              </w:rPr>
              <w:t>API</w:t>
            </w:r>
          </w:p>
        </w:tc>
        <w:tc>
          <w:tcPr>
            <w:tcW w:type="dxa" w:w="2578"/>
            <w:tcMar>
              <w:top w:w="90" w:type="dxa"/>
              <w:start w:w="100" w:type="dxa"/>
              <w:bottom w:w="90" w:type="dxa"/>
              <w:end w:w="100" w:type="dxa"/>
            </w:tcMar>
          </w:tcPr>
          <w:p>
            <w:pPr>
              <w:spacing w:after="0"/>
            </w:pPr>
            <w:r>
              <w:rPr>
                <w:color w:val="344054"/>
                <w:sz w:val="17"/>
              </w:rPr>
              <w:t>Architecture permettant l’exposition d’API pour intégration ultérieure avec ERP, paie, facturation ou BI.</w:t>
            </w:r>
          </w:p>
        </w:tc>
        <w:tc>
          <w:tcPr>
            <w:tcW w:type="dxa" w:w="2578"/>
            <w:tcMar>
              <w:top w:w="90" w:type="dxa"/>
              <w:start w:w="100" w:type="dxa"/>
              <w:bottom w:w="90" w:type="dxa"/>
              <w:end w:w="100" w:type="dxa"/>
            </w:tcMar>
          </w:tcPr>
          <w:p>
            <w:pPr>
              <w:spacing w:after="0"/>
              <w:jc w:val="center"/>
            </w:pPr>
            <w:r>
              <w:rPr>
                <w:b/>
                <w:color w:val="B54708"/>
                <w:sz w:val="17"/>
              </w:rPr>
              <w:t>SHOULD</w:t>
            </w:r>
          </w:p>
        </w:tc>
      </w:tr>
    </w:tbl>
    <w:p>
      <w:pPr>
        <w:spacing w:after="0"/>
      </w:pPr>
    </w:p>
    <w:p>
      <w:pPr>
        <w:pStyle w:val="Heading1"/>
        <w:spacing w:before="200" w:after="120"/>
        <w:pBdr>
          <w:bottom w:val="single" w:sz="8" w:space="1" w:color="146EF5"/>
        </w:pBdr>
      </w:pPr>
      <w:r>
        <w:t>12. Données principales</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0E1B3D"/>
            <w:tcMar>
              <w:top w:w="80" w:type="dxa"/>
              <w:start w:w="100" w:type="dxa"/>
              <w:bottom w:w="80" w:type="dxa"/>
              <w:end w:w="100" w:type="dxa"/>
            </w:tcMar>
          </w:tcPr>
          <w:p>
            <w:r>
              <w:rPr>
                <w:b/>
                <w:color w:val="FFFFFF"/>
                <w:sz w:val="18"/>
              </w:rPr>
              <w:t>Entité</w:t>
            </w:r>
          </w:p>
        </w:tc>
        <w:tc>
          <w:tcPr>
            <w:tcW w:type="dxa" w:w="5156"/>
            <w:shd w:fill="0E1B3D"/>
            <w:tcMar>
              <w:top w:w="80" w:type="dxa"/>
              <w:start w:w="100" w:type="dxa"/>
              <w:bottom w:w="80" w:type="dxa"/>
              <w:end w:w="100" w:type="dxa"/>
            </w:tcMar>
          </w:tcPr>
          <w:p>
            <w:r>
              <w:rPr>
                <w:b/>
                <w:color w:val="FFFFFF"/>
                <w:sz w:val="18"/>
              </w:rPr>
              <w:t>Données principales</w:t>
            </w:r>
          </w:p>
        </w:tc>
      </w:tr>
      <w:tr>
        <w:tc>
          <w:tcPr>
            <w:tcW w:type="dxa" w:w="5156"/>
            <w:tcMar>
              <w:top w:w="80" w:type="dxa"/>
              <w:start w:w="100" w:type="dxa"/>
              <w:bottom w:w="80" w:type="dxa"/>
              <w:end w:w="100" w:type="dxa"/>
            </w:tcMar>
          </w:tcPr>
          <w:p>
            <w:r>
              <w:rPr>
                <w:b/>
              </w:rPr>
              <w:t>Utilisateur</w:t>
            </w:r>
          </w:p>
        </w:tc>
        <w:tc>
          <w:tcPr>
            <w:tcW w:type="dxa" w:w="5156"/>
            <w:tcMar>
              <w:top w:w="80" w:type="dxa"/>
              <w:start w:w="100" w:type="dxa"/>
              <w:bottom w:w="80" w:type="dxa"/>
              <w:end w:w="100" w:type="dxa"/>
            </w:tcMar>
          </w:tcPr>
          <w:p>
            <w:r>
              <w:t>Identité, rôle, manager, équipe, temps théorique, statut.</w:t>
            </w:r>
          </w:p>
        </w:tc>
      </w:tr>
      <w:tr>
        <w:tc>
          <w:tcPr>
            <w:tcW w:type="dxa" w:w="5156"/>
            <w:tcMar>
              <w:top w:w="80" w:type="dxa"/>
              <w:start w:w="100" w:type="dxa"/>
              <w:bottom w:w="80" w:type="dxa"/>
              <w:end w:w="100" w:type="dxa"/>
            </w:tcMar>
          </w:tcPr>
          <w:p>
            <w:r>
              <w:rPr>
                <w:b/>
              </w:rPr>
              <w:t>Projet</w:t>
            </w:r>
          </w:p>
        </w:tc>
        <w:tc>
          <w:tcPr>
            <w:tcW w:type="dxa" w:w="5156"/>
            <w:tcMar>
              <w:top w:w="80" w:type="dxa"/>
              <w:start w:w="100" w:type="dxa"/>
              <w:bottom w:w="80" w:type="dxa"/>
              <w:end w:w="100" w:type="dxa"/>
            </w:tcMar>
          </w:tcPr>
          <w:p>
            <w:r>
              <w:t>ID Azure DevOps, nom, organisation, état, client, facturable par défaut.</w:t>
            </w:r>
          </w:p>
        </w:tc>
      </w:tr>
      <w:tr>
        <w:tc>
          <w:tcPr>
            <w:tcW w:type="dxa" w:w="5156"/>
            <w:tcMar>
              <w:top w:w="80" w:type="dxa"/>
              <w:start w:w="100" w:type="dxa"/>
              <w:bottom w:w="80" w:type="dxa"/>
              <w:end w:w="100" w:type="dxa"/>
            </w:tcMar>
          </w:tcPr>
          <w:p>
            <w:r>
              <w:rPr>
                <w:b/>
              </w:rPr>
              <w:t>Activité</w:t>
            </w:r>
          </w:p>
        </w:tc>
        <w:tc>
          <w:tcPr>
            <w:tcW w:type="dxa" w:w="5156"/>
            <w:tcMar>
              <w:top w:w="80" w:type="dxa"/>
              <w:start w:w="100" w:type="dxa"/>
              <w:bottom w:w="80" w:type="dxa"/>
              <w:end w:w="100" w:type="dxa"/>
            </w:tcMar>
          </w:tcPr>
          <w:p>
            <w:r>
              <w:t>Type, libellé, projet ou interne, règle de facturation.</w:t>
            </w:r>
          </w:p>
        </w:tc>
      </w:tr>
      <w:tr>
        <w:tc>
          <w:tcPr>
            <w:tcW w:type="dxa" w:w="5156"/>
            <w:tcMar>
              <w:top w:w="80" w:type="dxa"/>
              <w:start w:w="100" w:type="dxa"/>
              <w:bottom w:w="80" w:type="dxa"/>
              <w:end w:w="100" w:type="dxa"/>
            </w:tcMar>
          </w:tcPr>
          <w:p>
            <w:r>
              <w:rPr>
                <w:b/>
              </w:rPr>
              <w:t>Feuille de temps</w:t>
            </w:r>
          </w:p>
        </w:tc>
        <w:tc>
          <w:tcPr>
            <w:tcW w:type="dxa" w:w="5156"/>
            <w:tcMar>
              <w:top w:w="80" w:type="dxa"/>
              <w:start w:w="100" w:type="dxa"/>
              <w:bottom w:w="80" w:type="dxa"/>
              <w:end w:w="100" w:type="dxa"/>
            </w:tcMar>
          </w:tcPr>
          <w:p>
            <w:r>
              <w:t>Utilisateur, semaine/période, statut, dates de soumission/validation.</w:t>
            </w:r>
          </w:p>
        </w:tc>
      </w:tr>
      <w:tr>
        <w:tc>
          <w:tcPr>
            <w:tcW w:type="dxa" w:w="5156"/>
            <w:tcMar>
              <w:top w:w="80" w:type="dxa"/>
              <w:start w:w="100" w:type="dxa"/>
              <w:bottom w:w="80" w:type="dxa"/>
              <w:end w:w="100" w:type="dxa"/>
            </w:tcMar>
          </w:tcPr>
          <w:p>
            <w:r>
              <w:rPr>
                <w:b/>
              </w:rPr>
              <w:t>Ligne de temps</w:t>
            </w:r>
          </w:p>
        </w:tc>
        <w:tc>
          <w:tcPr>
            <w:tcW w:type="dxa" w:w="5156"/>
            <w:tcMar>
              <w:top w:w="80" w:type="dxa"/>
              <w:start w:w="100" w:type="dxa"/>
              <w:bottom w:w="80" w:type="dxa"/>
              <w:end w:w="100" w:type="dxa"/>
            </w:tcMar>
          </w:tcPr>
          <w:p>
            <w:r>
              <w:t>Projet/activité, date, durée, commentaire, facturable, source.</w:t>
            </w:r>
          </w:p>
        </w:tc>
      </w:tr>
      <w:tr>
        <w:tc>
          <w:tcPr>
            <w:tcW w:type="dxa" w:w="5156"/>
            <w:tcMar>
              <w:top w:w="80" w:type="dxa"/>
              <w:start w:w="100" w:type="dxa"/>
              <w:bottom w:w="80" w:type="dxa"/>
              <w:end w:w="100" w:type="dxa"/>
            </w:tcMar>
          </w:tcPr>
          <w:p>
            <w:r>
              <w:rPr>
                <w:b/>
              </w:rPr>
              <w:t>Validation</w:t>
            </w:r>
          </w:p>
        </w:tc>
        <w:tc>
          <w:tcPr>
            <w:tcW w:type="dxa" w:w="5156"/>
            <w:tcMar>
              <w:top w:w="80" w:type="dxa"/>
              <w:start w:w="100" w:type="dxa"/>
              <w:bottom w:w="80" w:type="dxa"/>
              <w:end w:w="100" w:type="dxa"/>
            </w:tcMar>
          </w:tcPr>
          <w:p>
            <w:r>
              <w:t>Valideur, décision, commentaire, date, historique.</w:t>
            </w:r>
          </w:p>
        </w:tc>
      </w:tr>
      <w:tr>
        <w:tc>
          <w:tcPr>
            <w:tcW w:type="dxa" w:w="5156"/>
            <w:tcMar>
              <w:top w:w="80" w:type="dxa"/>
              <w:start w:w="100" w:type="dxa"/>
              <w:bottom w:w="80" w:type="dxa"/>
              <w:end w:w="100" w:type="dxa"/>
            </w:tcMar>
          </w:tcPr>
          <w:p>
            <w:r>
              <w:rPr>
                <w:b/>
              </w:rPr>
              <w:t>Synchronisation</w:t>
            </w:r>
          </w:p>
        </w:tc>
        <w:tc>
          <w:tcPr>
            <w:tcW w:type="dxa" w:w="5156"/>
            <w:tcMar>
              <w:top w:w="80" w:type="dxa"/>
              <w:start w:w="100" w:type="dxa"/>
              <w:bottom w:w="80" w:type="dxa"/>
              <w:end w:w="100" w:type="dxa"/>
            </w:tcMar>
          </w:tcPr>
          <w:p>
            <w:r>
              <w:t>Source Azure DevOps, date, statut, détails/erreurs.</w:t>
            </w:r>
          </w:p>
        </w:tc>
      </w:tr>
    </w:tbl>
    <w:p>
      <w:r>
        <w:br w:type="page"/>
      </w:r>
    </w:p>
    <w:p>
      <w:pPr>
        <w:pStyle w:val="Heading1"/>
        <w:spacing w:before="200" w:after="120"/>
        <w:pBdr>
          <w:bottom w:val="single" w:sz="8" w:space="1" w:color="146EF5"/>
        </w:pBdr>
      </w:pPr>
      <w:r>
        <w:t>13. Hors périmètre initial</w:t>
      </w:r>
    </w:p>
    <w:p>
      <w:pPr>
        <w:pStyle w:val="ListBullet"/>
        <w:spacing w:after="40"/>
      </w:pPr>
      <w:r>
        <w:rPr>
          <w:sz w:val="19"/>
        </w:rPr>
        <w:t>Gestion complète de la paie et calcul des bulletins.</w:t>
      </w:r>
    </w:p>
    <w:p>
      <w:pPr>
        <w:pStyle w:val="ListBullet"/>
        <w:spacing w:after="40"/>
      </w:pPr>
      <w:r>
        <w:rPr>
          <w:sz w:val="19"/>
        </w:rPr>
        <w:t>Comptabilité générale et facturation comptable complète.</w:t>
      </w:r>
    </w:p>
    <w:p>
      <w:pPr>
        <w:pStyle w:val="ListBullet"/>
        <w:spacing w:after="40"/>
      </w:pPr>
      <w:r>
        <w:rPr>
          <w:sz w:val="19"/>
        </w:rPr>
        <w:t>Gestion détaillée des congés/absences si elle est déjà couverte par un autre outil.</w:t>
      </w:r>
    </w:p>
    <w:p>
      <w:pPr>
        <w:pStyle w:val="ListBullet"/>
        <w:spacing w:after="40"/>
      </w:pPr>
      <w:r>
        <w:rPr>
          <w:sz w:val="19"/>
        </w:rPr>
        <w:t>Remplacement d’Azure DevOps pour la gestion des tâches et du backlog.</w:t>
      </w:r>
    </w:p>
    <w:p>
      <w:pPr>
        <w:pStyle w:val="ListBullet"/>
        <w:spacing w:after="40"/>
      </w:pPr>
      <w:r>
        <w:rPr>
          <w:sz w:val="19"/>
        </w:rPr>
        <w:t>Planification projet avancée de type Gantt/PERT dans la V1.</w:t>
      </w:r>
    </w:p>
    <w:p>
      <w:pPr>
        <w:pStyle w:val="ListBullet"/>
        <w:spacing w:after="40"/>
      </w:pPr>
      <w:r>
        <w:rPr>
          <w:sz w:val="19"/>
        </w:rPr>
        <w:t>Saisie automatique du temps depuis l’activité ordinateur ou surveillance utilisateur.</w:t>
      </w:r>
    </w:p>
    <w:p>
      <w:pPr>
        <w:pStyle w:val="Heading1"/>
        <w:spacing w:before="200" w:after="120"/>
        <w:pBdr>
          <w:bottom w:val="single" w:sz="8" w:space="1" w:color="146EF5"/>
        </w:pBdr>
      </w:pPr>
      <w:r>
        <w:t>14. Critères d’acceptation de la V1</w:t>
      </w:r>
    </w:p>
    <w:p>
      <w:pPr>
        <w:spacing w:after="60"/>
        <w:ind w:left="113"/>
      </w:pPr>
      <w:r>
        <w:rPr>
          <w:b/>
          <w:color w:val="12B76A"/>
        </w:rPr>
        <w:t xml:space="preserve">✓ CA-01  </w:t>
      </w:r>
      <w:r>
        <w:t>Un collaborateur peut trouver un projet Azure DevOps synchronisé et l’ajouter à sa feuille de temps.</w:t>
      </w:r>
    </w:p>
    <w:p>
      <w:pPr>
        <w:spacing w:after="60"/>
        <w:ind w:left="113"/>
      </w:pPr>
      <w:r>
        <w:rPr>
          <w:b/>
          <w:color w:val="12B76A"/>
        </w:rPr>
        <w:t xml:space="preserve">✓ CA-02  </w:t>
      </w:r>
      <w:r>
        <w:t>Il peut saisir ses heures sur une semaine, enregistrer un brouillon puis soumettre la feuille.</w:t>
      </w:r>
    </w:p>
    <w:p>
      <w:pPr>
        <w:spacing w:after="60"/>
        <w:ind w:left="113"/>
      </w:pPr>
      <w:r>
        <w:rPr>
          <w:b/>
          <w:color w:val="12B76A"/>
        </w:rPr>
        <w:t xml:space="preserve">✓ CA-03  </w:t>
      </w:r>
      <w:r>
        <w:t>Le manager reçoit/voit la feuille à valider et peut la valider ou la rejeter avec commentaire.</w:t>
      </w:r>
    </w:p>
    <w:p>
      <w:pPr>
        <w:spacing w:after="60"/>
        <w:ind w:left="113"/>
      </w:pPr>
      <w:r>
        <w:rPr>
          <w:b/>
          <w:color w:val="12B76A"/>
        </w:rPr>
        <w:t xml:space="preserve">✓ CA-04  </w:t>
      </w:r>
      <w:r>
        <w:t>Après validation, les temps apparaissent dans les tableaux de bord du projet et de la direction.</w:t>
      </w:r>
    </w:p>
    <w:p>
      <w:pPr>
        <w:spacing w:after="60"/>
        <w:ind w:left="113"/>
      </w:pPr>
      <w:r>
        <w:rPr>
          <w:b/>
          <w:color w:val="12B76A"/>
        </w:rPr>
        <w:t xml:space="preserve">✓ CA-05  </w:t>
      </w:r>
      <w:r>
        <w:t>Les temps facturables et internes sont clairement distingués.</w:t>
      </w:r>
    </w:p>
    <w:p>
      <w:pPr>
        <w:spacing w:after="60"/>
        <w:ind w:left="113"/>
      </w:pPr>
      <w:r>
        <w:rPr>
          <w:b/>
          <w:color w:val="12B76A"/>
        </w:rPr>
        <w:t xml:space="preserve">✓ CA-06  </w:t>
      </w:r>
      <w:r>
        <w:t>Une activité de formation peut être saisie et différenciée entre préparation, animation et accompagnement.</w:t>
      </w:r>
    </w:p>
    <w:p>
      <w:pPr>
        <w:spacing w:after="60"/>
        <w:ind w:left="113"/>
      </w:pPr>
      <w:r>
        <w:rPr>
          <w:b/>
          <w:color w:val="12B76A"/>
        </w:rPr>
        <w:t xml:space="preserve">✓ CA-07  </w:t>
      </w:r>
      <w:r>
        <w:t>Une synchronisation Azure DevOps échouée est visible par l’administrateur sans bloquer la consultation de la dernière liste synchronisée.</w:t>
      </w:r>
    </w:p>
    <w:p>
      <w:pPr>
        <w:spacing w:after="60"/>
        <w:ind w:left="113"/>
      </w:pPr>
      <w:r>
        <w:rPr>
          <w:b/>
          <w:color w:val="12B76A"/>
        </w:rPr>
        <w:t xml:space="preserve">✓ CA-08  </w:t>
      </w:r>
      <w:r>
        <w:t>Toutes les actions de workflow importantes sont historisées.</w:t>
      </w:r>
    </w:p>
    <w:p>
      <w:pPr>
        <w:pStyle w:val="Heading1"/>
        <w:spacing w:before="200" w:after="120"/>
        <w:pBdr>
          <w:bottom w:val="single" w:sz="8" w:space="1" w:color="146EF5"/>
        </w:pBdr>
      </w:pPr>
      <w:r>
        <w:t>15. Décisions à valider avant conception détaillée</w:t>
      </w:r>
    </w:p>
    <w:p>
      <w:pPr>
        <w:pStyle w:val="ListBullet"/>
        <w:spacing w:after="40"/>
      </w:pPr>
      <w:r>
        <w:rPr>
          <w:sz w:val="19"/>
        </w:rPr>
        <w:t>Une ou plusieurs organisations Azure DevOps à connecter ?</w:t>
      </w:r>
    </w:p>
    <w:p>
      <w:pPr>
        <w:pStyle w:val="ListBullet"/>
        <w:spacing w:after="40"/>
      </w:pPr>
      <w:r>
        <w:rPr>
          <w:sz w:val="19"/>
        </w:rPr>
        <w:t>Saisie au niveau “Projet” uniquement en V1, ou aussi au niveau Work Item ?</w:t>
      </w:r>
    </w:p>
    <w:p>
      <w:pPr>
        <w:pStyle w:val="ListBullet"/>
        <w:spacing w:after="40"/>
      </w:pPr>
      <w:r>
        <w:rPr>
          <w:sz w:val="19"/>
        </w:rPr>
        <w:t>Nombre d’heures théoriques par jour/semaine et règles particulières par collaborateur.</w:t>
      </w:r>
    </w:p>
    <w:p>
      <w:pPr>
        <w:pStyle w:val="ListBullet"/>
        <w:spacing w:after="40"/>
      </w:pPr>
      <w:r>
        <w:rPr>
          <w:sz w:val="19"/>
        </w:rPr>
        <w:t>Qui valide : manager hiérarchique, chef de projet, ou double validation ?</w:t>
      </w:r>
    </w:p>
    <w:p>
      <w:pPr>
        <w:pStyle w:val="ListBullet"/>
        <w:spacing w:after="40"/>
      </w:pPr>
      <w:r>
        <w:rPr>
          <w:sz w:val="19"/>
        </w:rPr>
        <w:t>Périodicité : hebdomadaire uniquement ou mensuelle également ?</w:t>
      </w:r>
    </w:p>
    <w:p>
      <w:pPr>
        <w:pStyle w:val="ListBullet"/>
        <w:spacing w:after="40"/>
      </w:pPr>
      <w:r>
        <w:rPr>
          <w:sz w:val="19"/>
        </w:rPr>
        <w:t>Règles exactes de facturabilité et besoin de taux journalier / budget temps dès la V1.</w:t>
      </w:r>
    </w:p>
    <w:p>
      <w:pPr>
        <w:pStyle w:val="ListBullet"/>
        <w:spacing w:after="40"/>
      </w:pPr>
      <w:r>
        <w:rPr>
          <w:sz w:val="19"/>
        </w:rPr>
        <w:t>Intégration ultérieure souhaitée avec Sage, ERP, outil de paie, Power BI ou système de facturation.</w:t>
      </w:r>
    </w:p>
    <w:tbl>
      <w:tblPr>
        <w:tblW w:type="auto" w:w="0"/>
        <w:jc w:val="center"/>
        <w:tblLayout w:type="autofit"/>
        <w:tblLook w:firstColumn="1" w:firstRow="1" w:lastColumn="0" w:lastRow="0" w:noHBand="0" w:noVBand="1" w:val="04A0"/>
      </w:tblPr>
      <w:tblGrid>
        <w:gridCol w:w="10312"/>
      </w:tblGrid>
      <w:tr>
        <w:tc>
          <w:tcPr>
            <w:tcW w:type="dxa" w:w="10312"/>
            <w:shd w:fill="EAF3FF"/>
            <w:tcBorders>
              <w:top w:val="nil"/>
              <w:left w:val="single" w:sz="24" w:color="146EF5"/>
              <w:bottom w:val="nil"/>
              <w:right w:val="nil"/>
            </w:tcBorders>
            <w:tcMar>
              <w:top w:w="140" w:type="dxa"/>
              <w:start w:w="180" w:type="dxa"/>
              <w:bottom w:w="140" w:type="dxa"/>
              <w:end w:w="180" w:type="dxa"/>
            </w:tcMar>
          </w:tcPr>
          <w:p>
            <w:pPr>
              <w:spacing w:after="60"/>
            </w:pPr>
            <w:r>
              <w:rPr>
                <w:b/>
                <w:color w:val="0E1B3D"/>
                <w:sz w:val="21"/>
              </w:rPr>
              <w:t>Recommandation de découpage</w:t>
            </w:r>
          </w:p>
          <w:p>
            <w:pPr>
              <w:spacing w:after="0"/>
            </w:pPr>
            <w:r>
              <w:rPr>
                <w:color w:val="344054"/>
                <w:sz w:val="19"/>
              </w:rPr>
              <w:t>V1 : synchronisation projets Azure DevOps + saisie hebdomadaire + workflow de validation + reporting de base. V1.1 : Work Items, rappels, exports enrichis, budgets temps. V2 : rentabilité, préfacturation, capacités/charge et intégrations ERP/BI.</w:t>
            </w:r>
          </w:p>
        </w:tc>
      </w:tr>
    </w:tbl>
    <w:p>
      <w:pPr>
        <w:spacing w:after="0"/>
      </w:pPr>
    </w:p>
    <w:p>
      <w:pPr>
        <w:spacing w:before="240"/>
      </w:pPr>
      <w:r>
        <w:rPr>
          <w:b/>
          <w:color w:val="0E1B3D"/>
          <w:sz w:val="20"/>
        </w:rPr>
        <w:t>FIN DU DOCUMENT</w:t>
      </w:r>
    </w:p>
    <w:sectPr w:rsidR="00FC693F" w:rsidRPr="0006063C" w:rsidSect="00034616">
      <w:footerReference w:type="default" r:id="rId9"/>
      <w:headerReference w:type="default" r:id="rId13"/>
      <w:pgSz w:w="12240" w:h="15840"/>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98A2B3"/>
        <w:sz w:val="16"/>
      </w:rPr>
      <w:t xml:space="preserve">INDYLI Services  •  Expression de besoin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8A2B3"/>
        <w:sz w:val="16"/>
      </w:rPr>
      <w:t>Expression de besoin — Feuille de temps &amp; Azure DevOps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34405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E1B3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6EF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46EF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 Title"/>
    <w:rPr>
      <w:rFonts w:ascii="Aptos Display" w:hAnsi="Aptos Display"/>
      <w:b/>
      <w:color w:val="0E1B3D"/>
      <w:sz w:val="56"/>
    </w:rPr>
  </w:style>
  <w:style w:type="paragraph" w:customStyle="1" w:styleId="CoverSub">
    <w:name w:val="Cover Sub"/>
    <w:rPr>
      <w:rFonts w:ascii="Aptos" w:hAnsi="Aptos"/>
      <w:color w:val="146EF5"/>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