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Formiva 2.0 Proof of Concept Plan</w:t>
      </w:r>
    </w:p>
    <w:p>
      <w:pPr>
        <w:jc w:val="center"/>
      </w:pPr>
      <w:r>
        <w:rPr>
          <w:color w:val="2F5597"/>
          <w:sz w:val="26"/>
        </w:rPr>
        <w:t>Eight-Week Synthetic Validation Program</w:t>
      </w:r>
    </w:p>
    <w:p/>
    <w:p/>
    <w:p>
      <w:pPr>
        <w:jc w:val="center"/>
      </w:pPr>
      <w:r>
        <w:rPr>
          <w:color w:val="646464"/>
          <w:sz w:val="20"/>
        </w:rPr>
        <w:t>Prepared by Manus AI | September 2026</w:t>
      </w:r>
    </w:p>
    <w:p>
      <w:pPr>
        <w:jc w:val="center"/>
      </w:pPr>
      <w:r>
        <w:rPr>
          <w:i/>
          <w:sz w:val="18"/>
        </w:rPr>
        <w:t>Confidential internal planning document</w:t>
      </w:r>
    </w:p>
    <w:p>
      <w:r>
        <w:br w:type="page"/>
      </w:r>
    </w:p>
    <w:p>
      <w:pPr>
        <w:pStyle w:val="Heading1"/>
      </w:pPr>
      <w:r>
        <w:t>Table of Contents</w:t>
      </w:r>
    </w:p>
    <w:p>
      <w:fldSimple w:instr="TOC \o &quot;1-3&quot; \h \z \u"/>
    </w:p>
    <w:p>
      <w:pPr>
        <w:spacing w:after="80"/>
      </w:pPr>
      <w:r>
        <w:t>The table of contents is a clickable Word field. If page numbers do not appear immediately, open the document in Microsoft Word, select the table, and choose Update Field.</w:t>
      </w:r>
    </w:p>
    <w:p>
      <w:pPr>
        <w:spacing w:after="80"/>
      </w:pPr>
      <w:r>
        <w:rPr>
          <w:b/>
        </w:rPr>
        <w:t>Version 2.1 patch note (20 September 2026): this document was updated to match the twelve architecture decision records in the Formiva 2.0 Plan Review and Change Register. Main changes: PostgreSQL and backups run on VM1 and VM2 is AI-only; PostgreSQL dispatches jobs; REST with OpenAPI; Pay-As-You-Go infrastructure; visual editor and extra adapters are gated behind three paid pilots.</w:t>
      </w:r>
    </w:p>
    <w:p>
      <w:pPr>
        <w:spacing w:after="100" w:line="259" w:lineRule="auto"/>
      </w:pPr>
      <w:r>
        <w:rPr>
          <w:b/>
          <w:sz w:val="19"/>
        </w:rPr>
        <w:t>Purpose:</w:t>
      </w:r>
      <w:r>
        <w:rPr>
          <w:sz w:val="19"/>
        </w:rPr>
        <w:t xml:space="preserve"> Validate the riskiest technical and operational assumptions before the full Formiva 2.0 twelve-phase (Phase 0 to Phase 11) build.  </w:t>
      </w:r>
    </w:p>
    <w:p>
      <w:pPr>
        <w:spacing w:after="100" w:line="259" w:lineRule="auto"/>
      </w:pPr>
      <w:r>
        <w:rPr>
          <w:b/>
          <w:sz w:val="19"/>
        </w:rPr>
        <w:t>Audience:</w:t>
      </w:r>
      <w:r>
        <w:rPr>
          <w:sz w:val="19"/>
        </w:rPr>
        <w:t xml:space="preserve"> Non-developer founder, implementation partner, and technical reviewer.  </w:t>
      </w:r>
    </w:p>
    <w:p>
      <w:pPr>
        <w:spacing w:after="100" w:line="259" w:lineRule="auto"/>
      </w:pPr>
      <w:r>
        <w:rPr>
          <w:b/>
          <w:sz w:val="19"/>
        </w:rPr>
        <w:t>POC scope:</w:t>
      </w:r>
      <w:r>
        <w:rPr>
          <w:sz w:val="19"/>
        </w:rPr>
        <w:t xml:space="preserve"> One synthetic employee-onboarding case loop from intake to one authorized downstream action.  </w:t>
      </w:r>
    </w:p>
    <w:p>
      <w:pPr>
        <w:spacing w:after="100" w:line="259" w:lineRule="auto"/>
      </w:pPr>
      <w:r>
        <w:rPr>
          <w:b/>
          <w:sz w:val="19"/>
        </w:rPr>
        <w:t>Time box:</w:t>
      </w:r>
      <w:r>
        <w:rPr>
          <w:sz w:val="19"/>
        </w:rPr>
        <w:t xml:space="preserve"> Eight weeks, aligned to the Phase 0–7 pace described in the approved roadmap.  </w:t>
      </w:r>
    </w:p>
    <w:p>
      <w:pPr>
        <w:spacing w:after="100" w:line="259" w:lineRule="auto"/>
      </w:pPr>
      <w:r>
        <w:rPr>
          <w:b/>
          <w:sz w:val="19"/>
        </w:rPr>
        <w:t>Status:</w:t>
      </w:r>
      <w:r>
        <w:rPr>
          <w:sz w:val="19"/>
        </w:rPr>
        <w:t xml:space="preserve"> Planning draft only; no implementation or deployment is implied.</w:t>
      </w:r>
    </w:p>
    <w:p>
      <w:pPr>
        <w:pStyle w:val="Heading1"/>
      </w:pPr>
      <w:r>
        <w:t>1. Objective and decision to be made</w:t>
      </w:r>
    </w:p>
    <w:p>
      <w:pPr>
        <w:spacing w:after="100" w:line="259" w:lineRule="auto"/>
      </w:pPr>
      <w:r>
        <w:rPr>
          <w:sz w:val="19"/>
        </w:rPr>
        <w:t xml:space="preserve">The POC must establish whether Formiva can safely run one bounded, document-aware onboarding workflow on the approved baseline before the codeless editor, broad integrations, billing, and scale work begin. The test is not whether Formiva can demonstrate a polished product. The test is whether a durable case can move through intake, AI classification, deterministic routing, human review or automatic progression, approval, one authorized downstream action, and immutable audit evidence without silent loss, cross-tenant access, unsafe automation, or unbounded CPU/RAM behavior. </w:t>
      </w:r>
      <w:r>
        <w:rPr>
          <w:color w:val="1F4E79"/>
          <w:sz w:val="19"/>
        </w:rPr>
        <w:t>[1]</w:t>
      </w:r>
      <w:r>
        <w:rPr>
          <w:sz w:val="19"/>
        </w:rPr>
        <w:t xml:space="preserve"> </w:t>
      </w:r>
      <w:r>
        <w:rPr>
          <w:color w:val="1F4E79"/>
          <w:sz w:val="19"/>
        </w:rPr>
        <w:t>[2]</w:t>
      </w:r>
      <w:r>
        <w:rPr>
          <w:sz w:val="19"/>
        </w:rPr>
        <w:t xml:space="preserve"> </w:t>
      </w:r>
      <w:r>
        <w:rPr>
          <w:color w:val="1F4E79"/>
          <w:sz w:val="19"/>
        </w:rPr>
        <w:t>[3]</w:t>
      </w:r>
      <w:r>
        <w:rPr>
          <w:sz w:val="19"/>
        </w:rPr>
        <w:t xml:space="preserve"> </w:t>
      </w:r>
      <w:r>
        <w:rPr>
          <w:color w:val="1F4E79"/>
          <w:sz w:val="19"/>
        </w:rPr>
        <w:t>[4]</w:t>
      </w:r>
    </w:p>
    <w:p>
      <w:pPr>
        <w:spacing w:after="100" w:line="259" w:lineRule="auto"/>
      </w:pPr>
      <w:r>
        <w:rPr>
          <w:sz w:val="19"/>
        </w:rPr>
        <w:t>At the end of the POC, the founder makes one of three decisions:</w:t>
      </w:r>
    </w:p>
    <w:p>
      <w:pPr>
        <w:pStyle w:val="ListNumber"/>
        <w:spacing w:after="40"/>
      </w:pPr>
      <w:r>
        <w:rPr>
          <w:b/>
          <w:sz w:val="18"/>
        </w:rPr>
        <w:t>Proceed:</w:t>
      </w:r>
      <w:r>
        <w:rPr>
          <w:sz w:val="18"/>
        </w:rPr>
        <w:t xml:space="preserve"> The minimal slice passes every mandatory gate and the remaining risks are appropriate for the full Phase 0–11 build.</w:t>
      </w:r>
    </w:p>
    <w:p>
      <w:pPr>
        <w:pStyle w:val="ListNumber"/>
        <w:spacing w:after="40"/>
      </w:pPr>
      <w:r>
        <w:rPr>
          <w:b/>
          <w:sz w:val="18"/>
        </w:rPr>
        <w:t>Change approach:</w:t>
      </w:r>
      <w:r>
        <w:rPr>
          <w:sz w:val="18"/>
        </w:rPr>
        <w:t xml:space="preserve"> The core objective is credible, but a model, resource boundary, routing rule, or operating assumption must change before continuing.</w:t>
      </w:r>
    </w:p>
    <w:p>
      <w:pPr>
        <w:pStyle w:val="ListNumber"/>
        <w:spacing w:after="40"/>
      </w:pPr>
      <w:r>
        <w:rPr>
          <w:b/>
          <w:sz w:val="18"/>
        </w:rPr>
        <w:t>Not sensitive-pilot ready:</w:t>
      </w:r>
      <w:r>
        <w:rPr>
          <w:sz w:val="18"/>
        </w:rPr>
        <w:t xml:space="preserve"> The loop may be useful for further synthetic testing, but any real sensitive-data pilot is prohibited because a mandatory security, data-loss, audit, routing, restore, or human-control gate failed or lacks evidence.</w:t>
      </w:r>
    </w:p>
    <w:p>
      <w:pPr>
        <w:spacing w:after="100" w:line="259" w:lineRule="auto"/>
      </w:pPr>
      <w:r>
        <w:rPr>
          <w:sz w:val="19"/>
        </w:rPr>
        <w:t>The POC does not authorize real customer data or a sensitive pilot. It produces evidence for a later decision; it does not replace the Phase 8–10 controls or the sensitive-pilot gate.</w:t>
      </w:r>
    </w:p>
    <w:p>
      <w:pPr>
        <w:pStyle w:val="Heading1"/>
      </w:pPr>
      <w:r>
        <w:t>2. Approved POC environment</w:t>
      </w:r>
    </w:p>
    <w:p>
      <w:pPr>
        <w:spacing w:after="100" w:line="259" w:lineRule="auto"/>
      </w:pPr>
      <w:r>
        <w:rPr>
          <w:sz w:val="19"/>
        </w:rPr>
        <w:t>The POC uses exactly the following environment and no additional infrastructure or provider dependency: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b/>
                <w:color w:val="FFFFFF"/>
              </w:rPr>
            </w:r>
            <w:r>
              <w:rPr>
                <w:b/>
                <w:color w:val="FFFFFF"/>
                <w:sz w:val="16"/>
              </w:rPr>
              <w:t>Boundary</w:t>
            </w:r>
          </w:p>
        </w:tc>
        <w:tc>
          <w:tcPr>
            <w:tcW w:type="dxa" w:w="5083"/>
            <w:shd w:fill="1F4E79"/>
            <w:vAlign w:val="center"/>
          </w:tcPr>
          <w:p>
            <w:pPr>
              <w:spacing w:after="0"/>
            </w:pPr>
            <w:r>
              <w:rPr>
                <w:b/>
                <w:color w:val="FFFFFF"/>
              </w:rPr>
            </w:r>
            <w:r>
              <w:rPr>
                <w:b/>
                <w:color w:val="FFFFFF"/>
                <w:sz w:val="16"/>
              </w:rPr>
              <w:t>POC use</w:t>
            </w:r>
          </w:p>
        </w:tc>
      </w:tr>
      <w:tr>
        <w:tc>
          <w:tcPr>
            <w:tcW w:type="dxa" w:w="5083"/>
            <w:vAlign w:val="center"/>
          </w:tcPr>
          <w:p>
            <w:pPr>
              <w:spacing w:after="0"/>
            </w:pPr>
            <w:r/>
            <w:r>
              <w:rPr>
                <w:sz w:val="16"/>
              </w:rPr>
              <w:t>OCI VM1</w:t>
            </w:r>
          </w:p>
        </w:tc>
        <w:tc>
          <w:tcPr>
            <w:tcW w:type="dxa" w:w="5083"/>
            <w:vAlign w:val="center"/>
          </w:tcPr>
          <w:p>
            <w:pPr>
              <w:spacing w:after="0"/>
            </w:pPr>
            <w:r/>
            <w:r>
              <w:rPr>
                <w:sz w:val="16"/>
              </w:rPr>
              <w:t>Node.js/TypeScript API, workflow worker, scheduler, and the single integration-worker path. Also hosts PostgreSQL (source of truth), the backup job, ClamAV, and optional Valkey (ADR-01).</w:t>
            </w:r>
          </w:p>
        </w:tc>
      </w:tr>
      <w:tr>
        <w:tc>
          <w:tcPr>
            <w:tcW w:type="dxa" w:w="5083"/>
            <w:shd w:fill="EAF2F8"/>
            <w:vAlign w:val="center"/>
          </w:tcPr>
          <w:p>
            <w:pPr>
              <w:spacing w:after="0"/>
            </w:pPr>
            <w:r/>
            <w:r>
              <w:rPr>
                <w:sz w:val="16"/>
              </w:rPr>
              <w:t>OCI VM2</w:t>
            </w:r>
          </w:p>
        </w:tc>
        <w:tc>
          <w:tcPr>
            <w:tcW w:type="dxa" w:w="5083"/>
            <w:shd w:fill="EAF2F8"/>
            <w:vAlign w:val="center"/>
          </w:tcPr>
          <w:p>
            <w:pPr>
              <w:spacing w:after="0"/>
            </w:pPr>
            <w:r/>
            <w:r>
              <w:rPr>
                <w:sz w:val="16"/>
              </w:rPr>
              <w:t>Python FastAPI CPU-only AI Engine, OCR, model files, and temporary processing only (dedicated to AI, ADR-01). No internet access and no cloud credentials (ADR-12).</w:t>
            </w:r>
          </w:p>
        </w:tc>
      </w:tr>
      <w:tr>
        <w:tc>
          <w:tcPr>
            <w:tcW w:type="dxa" w:w="5083"/>
            <w:vAlign w:val="center"/>
          </w:tcPr>
          <w:p>
            <w:pPr>
              <w:spacing w:after="0"/>
            </w:pPr>
            <w:r/>
            <w:r>
              <w:rPr>
                <w:sz w:val="16"/>
              </w:rPr>
              <w:t>Vercel</w:t>
            </w:r>
          </w:p>
        </w:tc>
        <w:tc>
          <w:tcPr>
            <w:tcW w:type="dxa" w:w="5083"/>
            <w:vAlign w:val="center"/>
          </w:tcPr>
          <w:p>
            <w:pPr>
              <w:spacing w:after="0"/>
            </w:pPr>
            <w:r/>
            <w:r>
              <w:rPr>
                <w:sz w:val="16"/>
              </w:rPr>
              <w:t>Next.js/React frontend and public form renderer.</w:t>
            </w:r>
          </w:p>
        </w:tc>
      </w:tr>
      <w:tr>
        <w:tc>
          <w:tcPr>
            <w:tcW w:type="dxa" w:w="5083"/>
            <w:shd w:fill="EAF2F8"/>
            <w:vAlign w:val="center"/>
          </w:tcPr>
          <w:p>
            <w:pPr>
              <w:spacing w:after="0"/>
            </w:pPr>
            <w:r/>
            <w:r>
              <w:rPr>
                <w:sz w:val="16"/>
              </w:rPr>
              <w:t>Clerk</w:t>
            </w:r>
          </w:p>
        </w:tc>
        <w:tc>
          <w:tcPr>
            <w:tcW w:type="dxa" w:w="5083"/>
            <w:shd w:fill="EAF2F8"/>
            <w:vAlign w:val="center"/>
          </w:tcPr>
          <w:p>
            <w:pPr>
              <w:spacing w:after="0"/>
            </w:pPr>
            <w:r/>
            <w:r>
              <w:rPr>
                <w:sz w:val="16"/>
              </w:rPr>
              <w:t>Authentication and session identity for the authenticated operator path. Backend authorization still checks workspace membership and role.</w:t>
            </w:r>
          </w:p>
        </w:tc>
      </w:tr>
      <w:tr>
        <w:tc>
          <w:tcPr>
            <w:tcW w:type="dxa" w:w="5083"/>
            <w:vAlign w:val="center"/>
          </w:tcPr>
          <w:p>
            <w:pPr>
              <w:spacing w:after="0"/>
            </w:pPr>
            <w:r/>
            <w:r>
              <w:rPr>
                <w:sz w:val="16"/>
              </w:rPr>
              <w:t>Cloudflare R2</w:t>
            </w:r>
          </w:p>
        </w:tc>
        <w:tc>
          <w:tcPr>
            <w:tcW w:type="dxa" w:w="5083"/>
            <w:vAlign w:val="center"/>
          </w:tcPr>
          <w:p>
            <w:pPr>
              <w:spacing w:after="0"/>
            </w:pPr>
            <w:r/>
            <w:r>
              <w:rPr>
                <w:sz w:val="16"/>
              </w:rPr>
              <w:t>Synthetic or redacted uploaded objects and object metadata boundary. PostgreSQL stores hashes, metadata, evidence references, and retention state rather than ordinary large binaries.</w:t>
            </w:r>
          </w:p>
        </w:tc>
      </w:tr>
      <w:tr>
        <w:tc>
          <w:tcPr>
            <w:tcW w:type="dxa" w:w="5083"/>
            <w:shd w:fill="EAF2F8"/>
            <w:vAlign w:val="center"/>
          </w:tcPr>
          <w:p>
            <w:pPr>
              <w:spacing w:after="0"/>
            </w:pPr>
            <w:r/>
            <w:r>
              <w:rPr>
                <w:sz w:val="16"/>
              </w:rPr>
              <w:t>Resend</w:t>
            </w:r>
          </w:p>
        </w:tc>
        <w:tc>
          <w:tcPr>
            <w:tcW w:type="dxa" w:w="5083"/>
            <w:shd w:fill="EAF2F8"/>
            <w:vAlign w:val="center"/>
          </w:tcPr>
          <w:p>
            <w:pPr>
              <w:spacing w:after="0"/>
            </w:pPr>
            <w:r/>
            <w:r>
              <w:rPr>
                <w:sz w:val="16"/>
              </w:rPr>
              <w:t>The single authorized downstream action: one approved synthetic notification. Delivery status is recorded separately from business-action success.</w:t>
            </w:r>
          </w:p>
        </w:tc>
      </w:tr>
    </w:tbl>
    <w:p>
      <w:pPr>
        <w:spacing w:after="0"/>
      </w:pPr>
    </w:p>
    <w:p>
      <w:pPr>
        <w:spacing w:after="100" w:line="259" w:lineRule="auto"/>
      </w:pPr>
      <w:r>
        <w:rPr>
          <w:sz w:val="19"/>
        </w:rPr>
        <w:t xml:space="preserve">The POC does not add a third VM, a managed AI service, a managed database, a separate queue provider, a payment provider, a codeless-editor service, or a second workflow. PostgreSQL (on VM1) remains the source of truth and dispatches jobs with leases; Valkey is optional and never the only queue record. Database and AI services remain private to the approved deployment boundary. </w:t>
      </w:r>
      <w:r>
        <w:rPr>
          <w:color w:val="1F4E79"/>
          <w:sz w:val="19"/>
        </w:rPr>
        <w:t>[1]</w:t>
      </w:r>
      <w:r>
        <w:rPr>
          <w:sz w:val="19"/>
        </w:rPr>
        <w:t xml:space="preserve"> </w:t>
      </w:r>
      <w:r>
        <w:rPr>
          <w:color w:val="1F4E79"/>
          <w:sz w:val="19"/>
        </w:rPr>
        <w:t>[2]</w:t>
      </w:r>
      <w:r>
        <w:rPr>
          <w:sz w:val="19"/>
        </w:rPr>
        <w:t xml:space="preserve"> </w:t>
      </w:r>
      <w:r>
        <w:rPr>
          <w:color w:val="1F4E79"/>
          <w:sz w:val="19"/>
        </w:rPr>
        <w:t>[3]</w:t>
      </w:r>
    </w:p>
    <w:p>
      <w:pPr>
        <w:pStyle w:val="Heading2"/>
      </w:pPr>
      <w:r>
        <w:t>2.1 POC operating constraints</w:t>
      </w:r>
    </w:p>
    <w:p>
      <w:pPr>
        <w:spacing w:after="100" w:line="259" w:lineRule="auto"/>
      </w:pPr>
      <w:r>
        <w:rPr>
          <w:sz w:val="19"/>
        </w:rPr>
        <w:t xml:space="preserve">The POC uses one launch workflow: employee onboarding and document collection. It uses synthetic or redacted data only. The AI Engine is CPU-only. It uses one quantized multilingual local model and one supported OCR path, with bounded file size, page count, pixels, timeout, temporary storage, and concurrency. The backend recomputes the final route from AI evidence and deterministic rules; it does not treat free-form model output as a command. </w:t>
      </w:r>
      <w:r>
        <w:rPr>
          <w:color w:val="1F4E79"/>
          <w:sz w:val="19"/>
        </w:rPr>
        <w:t>[1]</w:t>
      </w:r>
      <w:r>
        <w:rPr>
          <w:sz w:val="19"/>
        </w:rPr>
        <w:t xml:space="preserve"> </w:t>
      </w:r>
      <w:r>
        <w:rPr>
          <w:color w:val="1F4E79"/>
          <w:sz w:val="19"/>
        </w:rPr>
        <w:t>[2]</w:t>
      </w:r>
    </w:p>
    <w:p>
      <w:pPr>
        <w:spacing w:after="100" w:line="259" w:lineRule="auto"/>
      </w:pPr>
      <w:r>
        <w:rPr>
          <w:sz w:val="19"/>
        </w:rPr>
        <w:t>The API contract uses documented REST with an OpenAPI 3.1 contract (ADR-02, confirmed in v2.1) and must be recorded before Phase 2 work. The POC supports a minimal workspace boundary test but does not attempt multi-tenant scale.</w:t>
      </w:r>
    </w:p>
    <w:p>
      <w:pPr>
        <w:pStyle w:val="Heading1"/>
      </w:pPr>
      <w:r>
        <w:t>3. Explicitly out of scope</w:t>
      </w:r>
    </w:p>
    <w:p>
      <w:pPr>
        <w:spacing w:after="100" w:line="259" w:lineRule="auto"/>
      </w:pPr>
      <w:r>
        <w:rPr>
          <w:sz w:val="19"/>
        </w:rPr>
        <w:t>The following are out of scope for this POC and must not be used to expand its success claim:</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b/>
                <w:color w:val="FFFFFF"/>
              </w:rPr>
            </w:r>
            <w:r>
              <w:rPr>
                <w:b/>
                <w:color w:val="FFFFFF"/>
                <w:sz w:val="16"/>
              </w:rPr>
              <w:t>Out-of-scope item</w:t>
            </w:r>
          </w:p>
        </w:tc>
        <w:tc>
          <w:tcPr>
            <w:tcW w:type="dxa" w:w="5083"/>
            <w:shd w:fill="1F4E79"/>
            <w:vAlign w:val="center"/>
          </w:tcPr>
          <w:p>
            <w:pPr>
              <w:spacing w:after="0"/>
            </w:pPr>
            <w:r>
              <w:rPr>
                <w:b/>
                <w:color w:val="FFFFFF"/>
              </w:rPr>
            </w:r>
            <w:r>
              <w:rPr>
                <w:b/>
                <w:color w:val="FFFFFF"/>
                <w:sz w:val="16"/>
              </w:rPr>
              <w:t>Boundary</w:t>
            </w:r>
          </w:p>
        </w:tc>
      </w:tr>
      <w:tr>
        <w:tc>
          <w:tcPr>
            <w:tcW w:type="dxa" w:w="5083"/>
            <w:vAlign w:val="center"/>
          </w:tcPr>
          <w:p>
            <w:pPr>
              <w:spacing w:after="0"/>
            </w:pPr>
            <w:r/>
            <w:r>
              <w:rPr>
                <w:sz w:val="16"/>
              </w:rPr>
              <w:t>Billing</w:t>
            </w:r>
          </w:p>
        </w:tc>
        <w:tc>
          <w:tcPr>
            <w:tcW w:type="dxa" w:w="5083"/>
            <w:vAlign w:val="center"/>
          </w:tcPr>
          <w:p>
            <w:pPr>
              <w:spacing w:after="0"/>
            </w:pPr>
            <w:r/>
            <w:r>
              <w:rPr>
                <w:sz w:val="16"/>
              </w:rPr>
              <w:t>No Razorpay billing, payment reconciliation, subscriptions, or billing-driven entitlements.</w:t>
            </w:r>
          </w:p>
        </w:tc>
      </w:tr>
      <w:tr>
        <w:tc>
          <w:tcPr>
            <w:tcW w:type="dxa" w:w="5083"/>
            <w:shd w:fill="EAF2F8"/>
            <w:vAlign w:val="center"/>
          </w:tcPr>
          <w:p>
            <w:pPr>
              <w:spacing w:after="0"/>
            </w:pPr>
            <w:r/>
            <w:r>
              <w:rPr>
                <w:sz w:val="16"/>
              </w:rPr>
              <w:t>Codeless workflow editor</w:t>
            </w:r>
          </w:p>
        </w:tc>
        <w:tc>
          <w:tcPr>
            <w:tcW w:type="dxa" w:w="5083"/>
            <w:shd w:fill="EAF2F8"/>
            <w:vAlign w:val="center"/>
          </w:tcPr>
          <w:p>
            <w:pPr>
              <w:spacing w:after="0"/>
            </w:pPr>
            <w:r/>
            <w:r>
              <w:rPr>
                <w:sz w:val="16"/>
              </w:rPr>
              <w:t>No visual graph builder, graph linting UI, draft/publish UI, dry-run editor, or workflow marketplace. The POC uses one fixed, versioned workflow definition.</w:t>
            </w:r>
          </w:p>
        </w:tc>
      </w:tr>
      <w:tr>
        <w:tc>
          <w:tcPr>
            <w:tcW w:type="dxa" w:w="5083"/>
            <w:vAlign w:val="center"/>
          </w:tcPr>
          <w:p>
            <w:pPr>
              <w:spacing w:after="0"/>
            </w:pPr>
            <w:r/>
            <w:r>
              <w:rPr>
                <w:sz w:val="16"/>
              </w:rPr>
              <w:t>Multi-tenant scale</w:t>
            </w:r>
          </w:p>
        </w:tc>
        <w:tc>
          <w:tcPr>
            <w:tcW w:type="dxa" w:w="5083"/>
            <w:vAlign w:val="center"/>
          </w:tcPr>
          <w:p>
            <w:pPr>
              <w:spacing w:after="0"/>
            </w:pPr>
            <w:r/>
            <w:r>
              <w:rPr>
                <w:sz w:val="16"/>
              </w:rPr>
              <w:t>No throughput or capacity claim for many workspaces. A small negative authorization test may use two synthetic workspaces only to prove boundary enforcement.</w:t>
            </w:r>
          </w:p>
        </w:tc>
      </w:tr>
      <w:tr>
        <w:tc>
          <w:tcPr>
            <w:tcW w:type="dxa" w:w="5083"/>
            <w:shd w:fill="EAF2F8"/>
            <w:vAlign w:val="center"/>
          </w:tcPr>
          <w:p>
            <w:pPr>
              <w:spacing w:after="0"/>
            </w:pPr>
            <w:r/>
            <w:r>
              <w:rPr>
                <w:sz w:val="16"/>
              </w:rPr>
              <w:t>Real customer data</w:t>
            </w:r>
          </w:p>
        </w:tc>
        <w:tc>
          <w:tcPr>
            <w:tcW w:type="dxa" w:w="5083"/>
            <w:shd w:fill="EAF2F8"/>
            <w:vAlign w:val="center"/>
          </w:tcPr>
          <w:p>
            <w:pPr>
              <w:spacing w:after="0"/>
            </w:pPr>
            <w:r/>
            <w:r>
              <w:rPr>
                <w:sz w:val="16"/>
              </w:rPr>
              <w:t>No production documents, live employment records, government IDs, bank data, or customer secrets.</w:t>
            </w:r>
          </w:p>
        </w:tc>
      </w:tr>
      <w:tr>
        <w:tc>
          <w:tcPr>
            <w:tcW w:type="dxa" w:w="5083"/>
            <w:vAlign w:val="center"/>
          </w:tcPr>
          <w:p>
            <w:pPr>
              <w:spacing w:after="0"/>
            </w:pPr>
            <w:r/>
            <w:r>
              <w:rPr>
                <w:sz w:val="16"/>
              </w:rPr>
              <w:t>Second workflow</w:t>
            </w:r>
          </w:p>
        </w:tc>
        <w:tc>
          <w:tcPr>
            <w:tcW w:type="dxa" w:w="5083"/>
            <w:vAlign w:val="center"/>
          </w:tcPr>
          <w:p>
            <w:pPr>
              <w:spacing w:after="0"/>
            </w:pPr>
            <w:r/>
            <w:r>
              <w:rPr>
                <w:sz w:val="16"/>
              </w:rPr>
              <w:t>No leave, expense, IT request, manufacturing, admissions, procurement, or other workflow.</w:t>
            </w:r>
          </w:p>
        </w:tc>
      </w:tr>
      <w:tr>
        <w:tc>
          <w:tcPr>
            <w:tcW w:type="dxa" w:w="5083"/>
            <w:shd w:fill="EAF2F8"/>
            <w:vAlign w:val="center"/>
          </w:tcPr>
          <w:p>
            <w:pPr>
              <w:spacing w:after="0"/>
            </w:pPr>
            <w:r/>
            <w:r>
              <w:rPr>
                <w:sz w:val="16"/>
              </w:rPr>
              <w:t>Broad provider surface</w:t>
            </w:r>
          </w:p>
        </w:tc>
        <w:tc>
          <w:tcPr>
            <w:tcW w:type="dxa" w:w="5083"/>
            <w:shd w:fill="EAF2F8"/>
            <w:vAlign w:val="center"/>
          </w:tcPr>
          <w:p>
            <w:pPr>
              <w:spacing w:after="0"/>
            </w:pPr>
            <w:r/>
            <w:r>
              <w:rPr>
                <w:sz w:val="16"/>
              </w:rPr>
              <w:t>No Google Workspace/Sheets, signed external webhooks, or payment integrations. Resend is the one authorized downstream action.</w:t>
            </w:r>
          </w:p>
        </w:tc>
      </w:tr>
      <w:tr>
        <w:tc>
          <w:tcPr>
            <w:tcW w:type="dxa" w:w="5083"/>
            <w:vAlign w:val="center"/>
          </w:tcPr>
          <w:p>
            <w:pPr>
              <w:spacing w:after="0"/>
            </w:pPr>
            <w:r/>
            <w:r>
              <w:rPr>
                <w:sz w:val="16"/>
              </w:rPr>
              <w:t>Autonomous or irreversible action</w:t>
            </w:r>
          </w:p>
        </w:tc>
        <w:tc>
          <w:tcPr>
            <w:tcW w:type="dxa" w:w="5083"/>
            <w:vAlign w:val="center"/>
          </w:tcPr>
          <w:p>
            <w:pPr>
              <w:spacing w:after="0"/>
            </w:pPr>
            <w:r/>
            <w:r>
              <w:rPr>
                <w:sz w:val="16"/>
              </w:rPr>
              <w:t>No payroll, bank, employment-record, healthcare, government, fraud, or other sensitive irreversible action.</w:t>
            </w:r>
          </w:p>
        </w:tc>
      </w:tr>
      <w:tr>
        <w:tc>
          <w:tcPr>
            <w:tcW w:type="dxa" w:w="5083"/>
            <w:shd w:fill="EAF2F8"/>
            <w:vAlign w:val="center"/>
          </w:tcPr>
          <w:p>
            <w:pPr>
              <w:spacing w:after="0"/>
            </w:pPr>
            <w:r/>
            <w:r>
              <w:rPr>
                <w:sz w:val="16"/>
              </w:rPr>
              <w:t>Commercial promise</w:t>
            </w:r>
          </w:p>
        </w:tc>
        <w:tc>
          <w:tcPr>
            <w:tcW w:type="dxa" w:w="5083"/>
            <w:shd w:fill="EAF2F8"/>
            <w:vAlign w:val="center"/>
          </w:tcPr>
          <w:p>
            <w:pPr>
              <w:spacing w:after="0"/>
            </w:pPr>
            <w:r/>
            <w:r>
              <w:rPr>
                <w:sz w:val="16"/>
              </w:rPr>
              <w:t>No claim about uptime, SLA, scale, accuracy, compliance, cost, retention, or customer readiness beyond the recorded POC evidence.</w:t>
            </w:r>
          </w:p>
        </w:tc>
      </w:tr>
    </w:tbl>
    <w:p>
      <w:pPr>
        <w:spacing w:after="0"/>
      </w:pPr>
    </w:p>
    <w:p>
      <w:pPr>
        <w:pStyle w:val="Heading1"/>
      </w:pPr>
      <w:r>
        <w:t>4. Minimal end-to-end slice</w:t>
      </w:r>
    </w:p>
    <w:p>
      <w:pPr>
        <w:spacing w:after="100" w:line="259" w:lineRule="auto"/>
      </w:pPr>
      <w:r>
        <w:rPr>
          <w:sz w:val="19"/>
        </w:rPr>
        <w:t>The POC must run one complete synthetic loop. The expected path is:</w:t>
      </w:r>
    </w:p>
    <w:p>
      <w:pPr>
        <w:ind w:left="360"/>
      </w:pPr>
      <w:r>
        <w:rPr>
          <w:i/>
          <w:color w:val="1F4E79"/>
          <w:sz w:val="19"/>
        </w:rPr>
        <w:t>**Intake → durable case and job → file safety and OCR/text extraction → AI classification with confidence components → deterministic routing → human review or auto-proceed → approval → one authorized Resend notification → record update and confirmation → append-only audit.**</w:t>
      </w:r>
    </w:p>
    <w:p>
      <w:pPr>
        <w:spacing w:after="100" w:line="259" w:lineRule="auto"/>
      </w:pPr>
      <w:r>
        <w:rPr>
          <w:sz w:val="19"/>
        </w:rPr>
        <w:t xml:space="preserve">The loop must preserve original evidence and every state transition. The AI response must contain document class, extracted fields, detected language, confidence components, source evidence references, sensitivity, routing recommendation, model/version metadata, OCR/runtime metadata, and trace ID. The backend validates the response and recomputes routing. </w:t>
      </w:r>
      <w:r>
        <w:rPr>
          <w:color w:val="1F4E79"/>
          <w:sz w:val="19"/>
        </w:rPr>
        <w:t>[2]</w:t>
      </w:r>
      <w:r>
        <w:rPr>
          <w:sz w:val="19"/>
        </w:rPr>
        <w:t xml:space="preserve"> </w:t>
      </w:r>
      <w:r>
        <w:rPr>
          <w:color w:val="1F4E79"/>
          <w:sz w:val="19"/>
        </w:rPr>
        <w:t>[3]</w:t>
      </w:r>
      <w:r>
        <w:rPr>
          <w:sz w:val="19"/>
        </w:rPr>
        <w:t xml:space="preserve"> </w:t>
      </w:r>
      <w:r>
        <w:rPr>
          <w:color w:val="1F4E79"/>
          <w:sz w:val="19"/>
        </w:rPr>
        <w:t>[4]</w:t>
      </w:r>
    </w:p>
    <w:p>
      <w:pPr>
        <w:pStyle w:val="Heading2"/>
      </w:pPr>
      <w:r>
        <w:t>4.1 POC routing matrix</w:t>
      </w:r>
    </w:p>
    <w:p>
      <w:pPr>
        <w:spacing w:after="100" w:line="259" w:lineRule="auto"/>
      </w:pPr>
      <w:r>
        <w:rPr>
          <w:sz w:val="19"/>
        </w:rPr>
        <w:t>The matrix is part of the test fixture and must be executed, not merely documented. The exact threshold values are new POC assumptions and must be set before the benchmark; they are not customer promises.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Scenario</w:t>
            </w:r>
          </w:p>
        </w:tc>
        <w:tc>
          <w:tcPr>
            <w:tcW w:type="dxa" w:w="2541"/>
            <w:shd w:fill="1F4E79"/>
            <w:vAlign w:val="center"/>
          </w:tcPr>
          <w:p>
            <w:pPr>
              <w:spacing w:after="0"/>
            </w:pPr>
            <w:r>
              <w:rPr>
                <w:b/>
                <w:color w:val="FFFFFF"/>
              </w:rPr>
            </w:r>
            <w:r>
              <w:rPr>
                <w:b/>
                <w:color w:val="FFFFFF"/>
                <w:sz w:val="16"/>
              </w:rPr>
              <w:t>AI and deterministic result</w:t>
            </w:r>
          </w:p>
        </w:tc>
        <w:tc>
          <w:tcPr>
            <w:tcW w:type="dxa" w:w="2541"/>
            <w:shd w:fill="1F4E79"/>
            <w:vAlign w:val="center"/>
          </w:tcPr>
          <w:p>
            <w:pPr>
              <w:spacing w:after="0"/>
            </w:pPr>
            <w:r>
              <w:rPr>
                <w:b/>
                <w:color w:val="FFFFFF"/>
              </w:rPr>
            </w:r>
            <w:r>
              <w:rPr>
                <w:b/>
                <w:color w:val="FFFFFF"/>
                <w:sz w:val="16"/>
              </w:rPr>
              <w:t>Required route</w:t>
            </w:r>
          </w:p>
        </w:tc>
        <w:tc>
          <w:tcPr>
            <w:tcW w:type="dxa" w:w="2541"/>
            <w:shd w:fill="1F4E79"/>
            <w:vAlign w:val="center"/>
          </w:tcPr>
          <w:p>
            <w:pPr>
              <w:spacing w:after="0"/>
            </w:pPr>
            <w:r>
              <w:rPr>
                <w:b/>
                <w:color w:val="FFFFFF"/>
              </w:rPr>
            </w:r>
            <w:r>
              <w:rPr>
                <w:b/>
                <w:color w:val="FFFFFF"/>
                <w:sz w:val="16"/>
              </w:rPr>
              <w:t>POC pass evidence</w:t>
            </w:r>
          </w:p>
        </w:tc>
      </w:tr>
      <w:tr>
        <w:tc>
          <w:tcPr>
            <w:tcW w:type="dxa" w:w="2541"/>
            <w:vAlign w:val="center"/>
          </w:tcPr>
          <w:p>
            <w:pPr>
              <w:spacing w:after="0"/>
            </w:pPr>
            <w:r/>
            <w:r>
              <w:rPr>
                <w:sz w:val="16"/>
              </w:rPr>
              <w:t>High-confidence, complete, low-risk synthetic document; no conflict; allowed action; safe mode permits it; idempotency key present</w:t>
            </w:r>
          </w:p>
        </w:tc>
        <w:tc>
          <w:tcPr>
            <w:tcW w:type="dxa" w:w="2541"/>
            <w:vAlign w:val="center"/>
          </w:tcPr>
          <w:p>
            <w:pPr>
              <w:spacing w:after="0"/>
            </w:pPr>
            <w:r/>
            <w:r>
              <w:rPr>
                <w:sz w:val="16"/>
              </w:rPr>
              <w:t>Confidence is above the class threshold and all low-risk checks pass</w:t>
            </w:r>
          </w:p>
        </w:tc>
        <w:tc>
          <w:tcPr>
            <w:tcW w:type="dxa" w:w="2541"/>
            <w:vAlign w:val="center"/>
          </w:tcPr>
          <w:p>
            <w:pPr>
              <w:spacing w:after="0"/>
            </w:pPr>
            <w:r/>
            <w:r>
              <w:rPr>
                <w:sz w:val="16"/>
              </w:rPr>
              <w:t>Auto-proceed to approval, then authorized notification</w:t>
            </w:r>
          </w:p>
        </w:tc>
        <w:tc>
          <w:tcPr>
            <w:tcW w:type="dxa" w:w="2541"/>
            <w:vAlign w:val="center"/>
          </w:tcPr>
          <w:p>
            <w:pPr>
              <w:spacing w:after="0"/>
            </w:pPr>
            <w:r/>
            <w:r>
              <w:rPr>
                <w:sz w:val="16"/>
              </w:rPr>
              <w:t>Routing decision records threshold, rules, evidence, policy, and idempotency key.</w:t>
            </w:r>
          </w:p>
        </w:tc>
      </w:tr>
      <w:tr>
        <w:tc>
          <w:tcPr>
            <w:tcW w:type="dxa" w:w="2541"/>
            <w:shd w:fill="EAF2F8"/>
            <w:vAlign w:val="center"/>
          </w:tcPr>
          <w:p>
            <w:pPr>
              <w:spacing w:after="0"/>
            </w:pPr>
            <w:r/>
            <w:r>
              <w:rPr>
                <w:sz w:val="16"/>
              </w:rPr>
              <w:t>Low-confidence or poorly calibrated result</w:t>
            </w:r>
          </w:p>
        </w:tc>
        <w:tc>
          <w:tcPr>
            <w:tcW w:type="dxa" w:w="2541"/>
            <w:shd w:fill="EAF2F8"/>
            <w:vAlign w:val="center"/>
          </w:tcPr>
          <w:p>
            <w:pPr>
              <w:spacing w:after="0"/>
            </w:pPr>
            <w:r/>
            <w:r>
              <w:rPr>
                <w:sz w:val="16"/>
              </w:rPr>
              <w:t>Confidence is below the class threshold or calibration is unavailable</w:t>
            </w:r>
          </w:p>
        </w:tc>
        <w:tc>
          <w:tcPr>
            <w:tcW w:type="dxa" w:w="2541"/>
            <w:shd w:fill="EAF2F8"/>
            <w:vAlign w:val="center"/>
          </w:tcPr>
          <w:p>
            <w:pPr>
              <w:spacing w:after="0"/>
            </w:pPr>
            <w:r/>
            <w:r>
              <w:rPr>
                <w:sz w:val="16"/>
              </w:rPr>
              <w:t>Human review, then approval or correction</w:t>
            </w:r>
          </w:p>
        </w:tc>
        <w:tc>
          <w:tcPr>
            <w:tcW w:type="dxa" w:w="2541"/>
            <w:shd w:fill="EAF2F8"/>
            <w:vAlign w:val="center"/>
          </w:tcPr>
          <w:p>
            <w:pPr>
              <w:spacing w:after="0"/>
            </w:pPr>
            <w:r/>
            <w:r>
              <w:rPr>
                <w:sz w:val="16"/>
              </w:rPr>
              <w:t>Review task records reason, evidence, model/version, and reviewer decision.</w:t>
            </w:r>
          </w:p>
        </w:tc>
      </w:tr>
      <w:tr>
        <w:tc>
          <w:tcPr>
            <w:tcW w:type="dxa" w:w="2541"/>
            <w:vAlign w:val="center"/>
          </w:tcPr>
          <w:p>
            <w:pPr>
              <w:spacing w:after="0"/>
            </w:pPr>
            <w:r/>
            <w:r>
              <w:rPr>
                <w:sz w:val="16"/>
              </w:rPr>
              <w:t>Sensitive document or sensitive action fixture</w:t>
            </w:r>
          </w:p>
        </w:tc>
        <w:tc>
          <w:tcPr>
            <w:tcW w:type="dxa" w:w="2541"/>
            <w:vAlign w:val="center"/>
          </w:tcPr>
          <w:p>
            <w:pPr>
              <w:spacing w:after="0"/>
            </w:pPr>
            <w:r/>
            <w:r>
              <w:rPr>
                <w:sz w:val="16"/>
              </w:rPr>
              <w:t>Sensitivity or policy flag is present</w:t>
            </w:r>
          </w:p>
        </w:tc>
        <w:tc>
          <w:tcPr>
            <w:tcW w:type="dxa" w:w="2541"/>
            <w:vAlign w:val="center"/>
          </w:tcPr>
          <w:p>
            <w:pPr>
              <w:spacing w:after="0"/>
            </w:pPr>
            <w:r/>
            <w:r>
              <w:rPr>
                <w:sz w:val="16"/>
              </w:rPr>
              <w:t>Human review; no automatic sensitive action</w:t>
            </w:r>
          </w:p>
        </w:tc>
        <w:tc>
          <w:tcPr>
            <w:tcW w:type="dxa" w:w="2541"/>
            <w:vAlign w:val="center"/>
          </w:tcPr>
          <w:p>
            <w:pPr>
              <w:spacing w:after="0"/>
            </w:pPr>
            <w:r/>
            <w:r>
              <w:rPr>
                <w:sz w:val="16"/>
              </w:rPr>
              <w:t>No sensitive action executes; policy reason is audited.</w:t>
            </w:r>
          </w:p>
        </w:tc>
      </w:tr>
      <w:tr>
        <w:tc>
          <w:tcPr>
            <w:tcW w:type="dxa" w:w="2541"/>
            <w:shd w:fill="EAF2F8"/>
            <w:vAlign w:val="center"/>
          </w:tcPr>
          <w:p>
            <w:pPr>
              <w:spacing w:after="0"/>
            </w:pPr>
            <w:r/>
            <w:r>
              <w:rPr>
                <w:sz w:val="16"/>
              </w:rPr>
              <w:t>AI/rule conflict</w:t>
            </w:r>
          </w:p>
        </w:tc>
        <w:tc>
          <w:tcPr>
            <w:tcW w:type="dxa" w:w="2541"/>
            <w:shd w:fill="EAF2F8"/>
            <w:vAlign w:val="center"/>
          </w:tcPr>
          <w:p>
            <w:pPr>
              <w:spacing w:after="0"/>
            </w:pPr>
            <w:r/>
            <w:r>
              <w:rPr>
                <w:sz w:val="16"/>
              </w:rPr>
              <w:t>AI class, extracted value, or recommendation conflicts with deterministic validation</w:t>
            </w:r>
          </w:p>
        </w:tc>
        <w:tc>
          <w:tcPr>
            <w:tcW w:type="dxa" w:w="2541"/>
            <w:shd w:fill="EAF2F8"/>
            <w:vAlign w:val="center"/>
          </w:tcPr>
          <w:p>
            <w:pPr>
              <w:spacing w:after="0"/>
            </w:pPr>
            <w:r/>
            <w:r>
              <w:rPr>
                <w:sz w:val="16"/>
              </w:rPr>
              <w:t>Human review</w:t>
            </w:r>
          </w:p>
        </w:tc>
        <w:tc>
          <w:tcPr>
            <w:tcW w:type="dxa" w:w="2541"/>
            <w:shd w:fill="EAF2F8"/>
            <w:vAlign w:val="center"/>
          </w:tcPr>
          <w:p>
            <w:pPr>
              <w:spacing w:after="0"/>
            </w:pPr>
            <w:r/>
            <w:r>
              <w:rPr>
                <w:sz w:val="16"/>
              </w:rPr>
              <w:t>Conflict reason and both evidence sources are recorded.</w:t>
            </w:r>
          </w:p>
        </w:tc>
      </w:tr>
      <w:tr>
        <w:tc>
          <w:tcPr>
            <w:tcW w:type="dxa" w:w="2541"/>
            <w:vAlign w:val="center"/>
          </w:tcPr>
          <w:p>
            <w:pPr>
              <w:spacing w:after="0"/>
            </w:pPr>
            <w:r/>
            <w:r>
              <w:rPr>
                <w:sz w:val="16"/>
              </w:rPr>
              <w:t>Insufficient evidence or unsupported class</w:t>
            </w:r>
          </w:p>
        </w:tc>
        <w:tc>
          <w:tcPr>
            <w:tcW w:type="dxa" w:w="2541"/>
            <w:vAlign w:val="center"/>
          </w:tcPr>
          <w:p>
            <w:pPr>
              <w:spacing w:after="0"/>
            </w:pPr>
            <w:r/>
            <w:r>
              <w:rPr>
                <w:sz w:val="16"/>
              </w:rPr>
              <w:t>Evidence is missing, invalid, or class is unsupported</w:t>
            </w:r>
          </w:p>
        </w:tc>
        <w:tc>
          <w:tcPr>
            <w:tcW w:type="dxa" w:w="2541"/>
            <w:vAlign w:val="center"/>
          </w:tcPr>
          <w:p>
            <w:pPr>
              <w:spacing w:after="0"/>
            </w:pPr>
            <w:r/>
            <w:r>
              <w:rPr>
                <w:sz w:val="16"/>
              </w:rPr>
              <w:t>Human review or quarantine</w:t>
            </w:r>
          </w:p>
        </w:tc>
        <w:tc>
          <w:tcPr>
            <w:tcW w:type="dxa" w:w="2541"/>
            <w:vAlign w:val="center"/>
          </w:tcPr>
          <w:p>
            <w:pPr>
              <w:spacing w:after="0"/>
            </w:pPr>
            <w:r/>
            <w:r>
              <w:rPr>
                <w:sz w:val="16"/>
              </w:rPr>
              <w:t>No approval by timeout or missing evidence.</w:t>
            </w:r>
          </w:p>
        </w:tc>
      </w:tr>
      <w:tr>
        <w:tc>
          <w:tcPr>
            <w:tcW w:type="dxa" w:w="2541"/>
            <w:shd w:fill="EAF2F8"/>
            <w:vAlign w:val="center"/>
          </w:tcPr>
          <w:p>
            <w:pPr>
              <w:spacing w:after="0"/>
            </w:pPr>
            <w:r/>
            <w:r>
              <w:rPr>
                <w:sz w:val="16"/>
              </w:rPr>
              <w:t>File-safety failure</w:t>
            </w:r>
          </w:p>
        </w:tc>
        <w:tc>
          <w:tcPr>
            <w:tcW w:type="dxa" w:w="2541"/>
            <w:shd w:fill="EAF2F8"/>
            <w:vAlign w:val="center"/>
          </w:tcPr>
          <w:p>
            <w:pPr>
              <w:spacing w:after="0"/>
            </w:pPr>
            <w:r/>
            <w:r>
              <w:rPr>
                <w:sz w:val="16"/>
              </w:rPr>
              <w:t>File is rejected or quarantined by type, size, decompression, page, pixel, or safety check</w:t>
            </w:r>
          </w:p>
        </w:tc>
        <w:tc>
          <w:tcPr>
            <w:tcW w:type="dxa" w:w="2541"/>
            <w:shd w:fill="EAF2F8"/>
            <w:vAlign w:val="center"/>
          </w:tcPr>
          <w:p>
            <w:pPr>
              <w:spacing w:after="0"/>
            </w:pPr>
            <w:r/>
            <w:r>
              <w:rPr>
                <w:sz w:val="16"/>
              </w:rPr>
              <w:t>Quarantine/review; no progression</w:t>
            </w:r>
          </w:p>
        </w:tc>
        <w:tc>
          <w:tcPr>
            <w:tcW w:type="dxa" w:w="2541"/>
            <w:shd w:fill="EAF2F8"/>
            <w:vAlign w:val="center"/>
          </w:tcPr>
          <w:p>
            <w:pPr>
              <w:spacing w:after="0"/>
            </w:pPr>
            <w:r/>
            <w:r>
              <w:rPr>
                <w:sz w:val="16"/>
              </w:rPr>
              <w:t>Case does not reach action state; quarantine and audit evidence exist.</w:t>
            </w:r>
          </w:p>
        </w:tc>
      </w:tr>
      <w:tr>
        <w:tc>
          <w:tcPr>
            <w:tcW w:type="dxa" w:w="2541"/>
            <w:vAlign w:val="center"/>
          </w:tcPr>
          <w:p>
            <w:pPr>
              <w:spacing w:after="0"/>
            </w:pPr>
            <w:r/>
            <w:r>
              <w:rPr>
                <w:sz w:val="16"/>
              </w:rPr>
              <w:t>AI timeout, missing model, malformed output, or stale policy</w:t>
            </w:r>
          </w:p>
        </w:tc>
        <w:tc>
          <w:tcPr>
            <w:tcW w:type="dxa" w:w="2541"/>
            <w:vAlign w:val="center"/>
          </w:tcPr>
          <w:p>
            <w:pPr>
              <w:spacing w:after="0"/>
            </w:pPr>
            <w:r/>
            <w:r>
              <w:rPr>
                <w:sz w:val="16"/>
              </w:rPr>
              <w:t>Operational or validation failure</w:t>
            </w:r>
          </w:p>
        </w:tc>
        <w:tc>
          <w:tcPr>
            <w:tcW w:type="dxa" w:w="2541"/>
            <w:vAlign w:val="center"/>
          </w:tcPr>
          <w:p>
            <w:pPr>
              <w:spacing w:after="0"/>
            </w:pPr>
            <w:r/>
            <w:r>
              <w:rPr>
                <w:sz w:val="16"/>
              </w:rPr>
              <w:t>Retry within budget or human review/dead letter</w:t>
            </w:r>
          </w:p>
        </w:tc>
        <w:tc>
          <w:tcPr>
            <w:tcW w:type="dxa" w:w="2541"/>
            <w:vAlign w:val="center"/>
          </w:tcPr>
          <w:p>
            <w:pPr>
              <w:spacing w:after="0"/>
            </w:pPr>
            <w:r/>
            <w:r>
              <w:rPr>
                <w:sz w:val="16"/>
              </w:rPr>
              <w:t>Failure remains visible; it never becomes approval.</w:t>
            </w:r>
          </w:p>
        </w:tc>
      </w:tr>
      <w:tr>
        <w:tc>
          <w:tcPr>
            <w:tcW w:type="dxa" w:w="2541"/>
            <w:shd w:fill="EAF2F8"/>
            <w:vAlign w:val="center"/>
          </w:tcPr>
          <w:p>
            <w:pPr>
              <w:spacing w:after="0"/>
            </w:pPr>
            <w:r/>
            <w:r>
              <w:rPr>
                <w:sz w:val="16"/>
              </w:rPr>
              <w:t>Duplicate queue delivery</w:t>
            </w:r>
          </w:p>
        </w:tc>
        <w:tc>
          <w:tcPr>
            <w:tcW w:type="dxa" w:w="2541"/>
            <w:shd w:fill="EAF2F8"/>
            <w:vAlign w:val="center"/>
          </w:tcPr>
          <w:p>
            <w:pPr>
              <w:spacing w:after="0"/>
            </w:pPr>
            <w:r/>
            <w:r>
              <w:rPr>
                <w:sz w:val="16"/>
              </w:rPr>
              <w:t>Same business key is delivered more than once</w:t>
            </w:r>
          </w:p>
        </w:tc>
        <w:tc>
          <w:tcPr>
            <w:tcW w:type="dxa" w:w="2541"/>
            <w:shd w:fill="EAF2F8"/>
            <w:vAlign w:val="center"/>
          </w:tcPr>
          <w:p>
            <w:pPr>
              <w:spacing w:after="0"/>
            </w:pPr>
            <w:r/>
            <w:r>
              <w:rPr>
                <w:sz w:val="16"/>
              </w:rPr>
              <w:t>One business effect</w:t>
            </w:r>
          </w:p>
        </w:tc>
        <w:tc>
          <w:tcPr>
            <w:tcW w:type="dxa" w:w="2541"/>
            <w:shd w:fill="EAF2F8"/>
            <w:vAlign w:val="center"/>
          </w:tcPr>
          <w:p>
            <w:pPr>
              <w:spacing w:after="0"/>
            </w:pPr>
            <w:r/>
            <w:r>
              <w:rPr>
                <w:sz w:val="16"/>
              </w:rPr>
              <w:t>One authorized notification and linked duplicate-delivery evidence.</w:t>
            </w:r>
          </w:p>
        </w:tc>
      </w:tr>
      <w:tr>
        <w:tc>
          <w:tcPr>
            <w:tcW w:type="dxa" w:w="2541"/>
            <w:vAlign w:val="center"/>
          </w:tcPr>
          <w:p>
            <w:pPr>
              <w:spacing w:after="0"/>
            </w:pPr>
            <w:r/>
            <w:r>
              <w:rPr>
                <w:sz w:val="16"/>
              </w:rPr>
              <w:t>Unknown downstream result</w:t>
            </w:r>
          </w:p>
        </w:tc>
        <w:tc>
          <w:tcPr>
            <w:tcW w:type="dxa" w:w="2541"/>
            <w:vAlign w:val="center"/>
          </w:tcPr>
          <w:p>
            <w:pPr>
              <w:spacing w:after="0"/>
            </w:pPr>
            <w:r/>
            <w:r>
              <w:rPr>
                <w:sz w:val="16"/>
              </w:rPr>
              <w:t>Resend outcome cannot be established immediately</w:t>
            </w:r>
          </w:p>
        </w:tc>
        <w:tc>
          <w:tcPr>
            <w:tcW w:type="dxa" w:w="2541"/>
            <w:vAlign w:val="center"/>
          </w:tcPr>
          <w:p>
            <w:pPr>
              <w:spacing w:after="0"/>
            </w:pPr>
            <w:r/>
            <w:r>
              <w:rPr>
                <w:sz w:val="16"/>
              </w:rPr>
              <w:t>Status inspection or human review before replay</w:t>
            </w:r>
          </w:p>
        </w:tc>
        <w:tc>
          <w:tcPr>
            <w:tcW w:type="dxa" w:w="2541"/>
            <w:vAlign w:val="center"/>
          </w:tcPr>
          <w:p>
            <w:pPr>
              <w:spacing w:after="0"/>
            </w:pPr>
            <w:r/>
            <w:r>
              <w:rPr>
                <w:sz w:val="16"/>
              </w:rPr>
              <w:t>No blind duplicate notification; status/review decision is audited.</w:t>
            </w:r>
          </w:p>
        </w:tc>
      </w:tr>
    </w:tbl>
    <w:p>
      <w:pPr>
        <w:spacing w:after="0"/>
      </w:pPr>
    </w:p>
    <w:p>
      <w:pPr>
        <w:spacing w:after="100" w:line="259" w:lineRule="auto"/>
      </w:pPr>
      <w:r>
        <w:rPr>
          <w:sz w:val="19"/>
        </w:rPr>
        <w:t>The approval step is explicit for the POC. Auto-proceed means that the deterministic route permits the case to enter the approval step without human correction; it does not bypass the required approval record for the authorized action. A reviewed or corrected case also requires an approval record before the notification is attempted.</w:t>
      </w:r>
    </w:p>
    <w:p>
      <w:pPr>
        <w:pStyle w:val="Heading1"/>
      </w:pPr>
      <w:r>
        <w:t>5. Phase 0–7 execution plan</w:t>
      </w:r>
    </w:p>
    <w:p>
      <w:pPr>
        <w:spacing w:after="100" w:line="259" w:lineRule="auto"/>
      </w:pPr>
      <w:r>
        <w:rPr>
          <w:sz w:val="19"/>
        </w:rPr>
        <w:t xml:space="preserve">Each phase has a small deliverable, an exit test, a founder-facing check, and a failure response. A phase cannot pass by dropping a failed job, weakening a threshold without recording the change, turning a timeout into an approval, or adding an unapproved dependency. </w:t>
      </w:r>
      <w:r>
        <w:rPr>
          <w:color w:val="1F4E79"/>
          <w:sz w:val="19"/>
        </w:rPr>
        <w:t>[1]</w:t>
      </w:r>
      <w:r>
        <w:rPr>
          <w:sz w:val="19"/>
        </w:rPr>
        <w:t xml:space="preserve"> </w:t>
      </w:r>
      <w:r>
        <w:rPr>
          <w:color w:val="1F4E79"/>
          <w:sz w:val="19"/>
        </w:rPr>
        <w:t>[4]</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Phase</w:t>
            </w:r>
          </w:p>
        </w:tc>
        <w:tc>
          <w:tcPr>
            <w:tcW w:type="dxa" w:w="3389"/>
            <w:shd w:fill="1F4E79"/>
            <w:vAlign w:val="center"/>
          </w:tcPr>
          <w:p>
            <w:pPr>
              <w:spacing w:after="0"/>
            </w:pPr>
            <w:r>
              <w:rPr>
                <w:b/>
                <w:color w:val="FFFFFF"/>
              </w:rPr>
            </w:r>
            <w:r>
              <w:rPr>
                <w:b/>
                <w:color w:val="FFFFFF"/>
                <w:sz w:val="16"/>
              </w:rPr>
              <w:t>Minimal POC work</w:t>
            </w:r>
          </w:p>
        </w:tc>
        <w:tc>
          <w:tcPr>
            <w:tcW w:type="dxa" w:w="3389"/>
            <w:shd w:fill="1F4E79"/>
            <w:vAlign w:val="center"/>
          </w:tcPr>
          <w:p>
            <w:pPr>
              <w:spacing w:after="0"/>
            </w:pPr>
            <w:r>
              <w:rPr>
                <w:b/>
                <w:color w:val="FFFFFF"/>
              </w:rPr>
            </w:r>
            <w:r>
              <w:rPr>
                <w:b/>
                <w:color w:val="FFFFFF"/>
                <w:sz w:val="16"/>
              </w:rPr>
              <w:t>Exit test and evidence</w:t>
            </w:r>
          </w:p>
        </w:tc>
      </w:tr>
      <w:tr>
        <w:tc>
          <w:tcPr>
            <w:tcW w:type="dxa" w:w="3389"/>
            <w:vAlign w:val="center"/>
          </w:tcPr>
          <w:p>
            <w:pPr>
              <w:spacing w:after="0"/>
            </w:pPr>
            <w:r/>
            <w:r>
              <w:rPr>
                <w:sz w:val="16"/>
              </w:rPr>
              <w:t>0</w:t>
            </w:r>
          </w:p>
        </w:tc>
        <w:tc>
          <w:tcPr>
            <w:tcW w:type="dxa" w:w="3389"/>
            <w:vAlign w:val="center"/>
          </w:tcPr>
          <w:p>
            <w:pPr>
              <w:spacing w:after="0"/>
            </w:pPr>
            <w:r/>
            <w:r>
              <w:rPr>
                <w:sz w:val="16"/>
              </w:rPr>
              <w:t>Define the onboarding loop, synthetic/redacted fixture set, assumptions log, routing matrix, sensitive-action boundary, and decision owner.</w:t>
            </w:r>
          </w:p>
        </w:tc>
        <w:tc>
          <w:tcPr>
            <w:tcW w:type="dxa" w:w="3389"/>
            <w:vAlign w:val="center"/>
          </w:tcPr>
          <w:p>
            <w:pPr>
              <w:spacing w:after="0"/>
            </w:pPr>
            <w:r/>
            <w:r>
              <w:rPr>
                <w:sz w:val="16"/>
              </w:rPr>
              <w:t>The founder can explain every state from submission to audit and can identify which action is authorized and which actions are prohibited.</w:t>
            </w:r>
          </w:p>
        </w:tc>
      </w:tr>
      <w:tr>
        <w:tc>
          <w:tcPr>
            <w:tcW w:type="dxa" w:w="3389"/>
            <w:shd w:fill="EAF2F8"/>
            <w:vAlign w:val="center"/>
          </w:tcPr>
          <w:p>
            <w:pPr>
              <w:spacing w:after="0"/>
            </w:pPr>
            <w:r/>
            <w:r>
              <w:rPr>
                <w:sz w:val="16"/>
              </w:rPr>
              <w:t>1</w:t>
            </w:r>
          </w:p>
        </w:tc>
        <w:tc>
          <w:tcPr>
            <w:tcW w:type="dxa" w:w="3389"/>
            <w:shd w:fill="EAF2F8"/>
            <w:vAlign w:val="center"/>
          </w:tcPr>
          <w:p>
            <w:pPr>
              <w:spacing w:after="0"/>
            </w:pPr>
            <w:r/>
            <w:r>
              <w:rPr>
                <w:sz w:val="16"/>
              </w:rPr>
              <w:t>Establish Vercel, Clerk, two OCI VMs on a Pay-As-You-Go account, the VM1 application/data and VM2 AI-only split, private database and AI access, PostgreSQL, R2 buckets, Resend test path, and Compose baseline.</w:t>
            </w:r>
          </w:p>
        </w:tc>
        <w:tc>
          <w:tcPr>
            <w:tcW w:type="dxa" w:w="3389"/>
            <w:shd w:fill="EAF2F8"/>
            <w:vAlign w:val="center"/>
          </w:tcPr>
          <w:p>
            <w:pPr>
              <w:spacing w:after="0"/>
            </w:pPr>
            <w:r/>
            <w:r>
              <w:rPr>
                <w:sz w:val="16"/>
              </w:rPr>
              <w:t>Health checks pass; database and AI services are not public; the frontend reaches a protected API; no extra VM or provider exists.</w:t>
            </w:r>
          </w:p>
        </w:tc>
      </w:tr>
      <w:tr>
        <w:tc>
          <w:tcPr>
            <w:tcW w:type="dxa" w:w="3389"/>
            <w:vAlign w:val="center"/>
          </w:tcPr>
          <w:p>
            <w:pPr>
              <w:spacing w:after="0"/>
            </w:pPr>
            <w:r/>
            <w:r>
              <w:rPr>
                <w:sz w:val="16"/>
              </w:rPr>
              <w:t>2</w:t>
            </w:r>
          </w:p>
        </w:tc>
        <w:tc>
          <w:tcPr>
            <w:tcW w:type="dxa" w:w="3389"/>
            <w:vAlign w:val="center"/>
          </w:tcPr>
          <w:p>
            <w:pPr>
              <w:spacing w:after="0"/>
            </w:pPr>
            <w:r/>
            <w:r>
              <w:rPr>
                <w:sz w:val="16"/>
              </w:rPr>
              <w:t>Implement the minimum PostgreSQL schema and documented REST contract for workspace/member authorization, cases, documents, jobs, audit, and routing state.</w:t>
            </w:r>
          </w:p>
        </w:tc>
        <w:tc>
          <w:tcPr>
            <w:tcW w:type="dxa" w:w="3389"/>
            <w:vAlign w:val="center"/>
          </w:tcPr>
          <w:p>
            <w:pPr>
              <w:spacing w:after="0"/>
            </w:pPr>
            <w:r/>
            <w:r>
              <w:rPr>
                <w:sz w:val="16"/>
              </w:rPr>
              <w:t>Submission creates the case, document metadata, durable job, and audit event transactionally before queue publication. Two synthetic workspaces pass negative authorization tests.</w:t>
            </w:r>
          </w:p>
        </w:tc>
      </w:tr>
      <w:tr>
        <w:tc>
          <w:tcPr>
            <w:tcW w:type="dxa" w:w="3389"/>
            <w:shd w:fill="EAF2F8"/>
            <w:vAlign w:val="center"/>
          </w:tcPr>
          <w:p>
            <w:pPr>
              <w:spacing w:after="0"/>
            </w:pPr>
            <w:r/>
            <w:r>
              <w:rPr>
                <w:sz w:val="16"/>
              </w:rPr>
              <w:t>3</w:t>
            </w:r>
          </w:p>
        </w:tc>
        <w:tc>
          <w:tcPr>
            <w:tcW w:type="dxa" w:w="3389"/>
            <w:shd w:fill="EAF2F8"/>
            <w:vAlign w:val="center"/>
          </w:tcPr>
          <w:p>
            <w:pPr>
              <w:spacing w:after="0"/>
            </w:pPr>
            <w:r/>
            <w:r>
              <w:rPr>
                <w:sz w:val="16"/>
              </w:rPr>
              <w:t>Implement one versioned onboarding form, one public or authenticated test path, save/resume, synthetic upload, R2 metadata/object reference, and file-safety checks.</w:t>
            </w:r>
          </w:p>
        </w:tc>
        <w:tc>
          <w:tcPr>
            <w:tcW w:type="dxa" w:w="3389"/>
            <w:shd w:fill="EAF2F8"/>
            <w:vAlign w:val="center"/>
          </w:tcPr>
          <w:p>
            <w:pPr>
              <w:spacing w:after="0"/>
            </w:pPr>
            <w:r/>
            <w:r>
              <w:rPr>
                <w:sz w:val="16"/>
              </w:rPr>
              <w:t>A synthetic respondent completes the form; unsafe or over-limit files are rejected or quarantined; the valid document has a hash, metadata, retention state, and audit event.</w:t>
            </w:r>
          </w:p>
        </w:tc>
      </w:tr>
      <w:tr>
        <w:tc>
          <w:tcPr>
            <w:tcW w:type="dxa" w:w="3389"/>
            <w:vAlign w:val="center"/>
          </w:tcPr>
          <w:p>
            <w:pPr>
              <w:spacing w:after="0"/>
            </w:pPr>
            <w:r/>
            <w:r>
              <w:rPr>
                <w:sz w:val="16"/>
              </w:rPr>
              <w:t>4</w:t>
            </w:r>
          </w:p>
        </w:tc>
        <w:tc>
          <w:tcPr>
            <w:tcW w:type="dxa" w:w="3389"/>
            <w:vAlign w:val="center"/>
          </w:tcPr>
          <w:p>
            <w:pPr>
              <w:spacing w:after="0"/>
            </w:pPr>
            <w:r/>
            <w:r>
              <w:rPr>
                <w:sz w:val="16"/>
              </w:rPr>
              <w:t>Implement the review queue, deterministic validation, evidence view, correction record, approval record, case timeline, and explicit states for review, correction, rejection, rework, and approval.</w:t>
            </w:r>
          </w:p>
        </w:tc>
        <w:tc>
          <w:tcPr>
            <w:tcW w:type="dxa" w:w="3389"/>
            <w:vAlign w:val="center"/>
          </w:tcPr>
          <w:p>
            <w:pPr>
              <w:spacing w:after="0"/>
            </w:pPr>
            <w:r/>
            <w:r>
              <w:rPr>
                <w:sz w:val="16"/>
              </w:rPr>
              <w:t>A reviewer can resolve an exception without losing the original AI result; human correction stores previous value, corrected value, reason, actor, and approval context.</w:t>
            </w:r>
          </w:p>
        </w:tc>
      </w:tr>
      <w:tr>
        <w:tc>
          <w:tcPr>
            <w:tcW w:type="dxa" w:w="3389"/>
            <w:shd w:fill="EAF2F8"/>
            <w:vAlign w:val="center"/>
          </w:tcPr>
          <w:p>
            <w:pPr>
              <w:spacing w:after="0"/>
            </w:pPr>
            <w:r/>
            <w:r>
              <w:rPr>
                <w:sz w:val="16"/>
              </w:rPr>
              <w:t>5</w:t>
            </w:r>
          </w:p>
        </w:tc>
        <w:tc>
          <w:tcPr>
            <w:tcW w:type="dxa" w:w="3389"/>
            <w:shd w:fill="EAF2F8"/>
            <w:vAlign w:val="center"/>
          </w:tcPr>
          <w:p>
            <w:pPr>
              <w:spacing w:after="0"/>
            </w:pPr>
            <w:r/>
            <w:r>
              <w:rPr>
                <w:sz w:val="16"/>
              </w:rPr>
              <w:t>Implement durable job processing (PostgreSQL dispatch), worker leases and heartbeats, bounded retries, dead letters, idempotency, safe replay, and Resend delivery status.</w:t>
            </w:r>
          </w:p>
        </w:tc>
        <w:tc>
          <w:tcPr>
            <w:tcW w:type="dxa" w:w="3389"/>
            <w:shd w:fill="EAF2F8"/>
            <w:vAlign w:val="center"/>
          </w:tcPr>
          <w:p>
            <w:pPr>
              <w:spacing w:after="0"/>
            </w:pPr>
            <w:r/>
            <w:r>
              <w:rPr>
                <w:sz w:val="16"/>
              </w:rPr>
              <w:t>Duplicate delivery produces one business effect; a failed job remains visible with attempts, lease state, error classification, correlation ID, and replay link.</w:t>
            </w:r>
          </w:p>
        </w:tc>
      </w:tr>
      <w:tr>
        <w:tc>
          <w:tcPr>
            <w:tcW w:type="dxa" w:w="3389"/>
            <w:vAlign w:val="center"/>
          </w:tcPr>
          <w:p>
            <w:pPr>
              <w:spacing w:after="0"/>
            </w:pPr>
            <w:r/>
            <w:r>
              <w:rPr>
                <w:sz w:val="16"/>
              </w:rPr>
              <w:t>6</w:t>
            </w:r>
          </w:p>
        </w:tc>
        <w:tc>
          <w:tcPr>
            <w:tcW w:type="dxa" w:w="3389"/>
            <w:vAlign w:val="center"/>
          </w:tcPr>
          <w:p>
            <w:pPr>
              <w:spacing w:after="0"/>
            </w:pPr>
            <w:r/>
            <w:r>
              <w:rPr>
                <w:sz w:val="16"/>
              </w:rPr>
              <w:t>Implement the private CPU-only AI Engine path for OCR/text extraction, language detection, classification, extraction, confidence components, evidence references, version metadata, model registry, and benchmark harness.</w:t>
            </w:r>
          </w:p>
        </w:tc>
        <w:tc>
          <w:tcPr>
            <w:tcW w:type="dxa" w:w="3389"/>
            <w:vAlign w:val="center"/>
          </w:tcPr>
          <w:p>
            <w:pPr>
              <w:spacing w:after="0"/>
            </w:pPr>
            <w:r/>
            <w:r>
              <w:rPr>
                <w:sz w:val="16"/>
              </w:rPr>
              <w:t>The benchmark record contains p50/p95 latency, peak RSS, queue age, accuracy, calibration, failure rate, and model/version audit. No sensitive action auto-executes.</w:t>
            </w:r>
          </w:p>
        </w:tc>
      </w:tr>
      <w:tr>
        <w:tc>
          <w:tcPr>
            <w:tcW w:type="dxa" w:w="3389"/>
            <w:shd w:fill="EAF2F8"/>
            <w:vAlign w:val="center"/>
          </w:tcPr>
          <w:p>
            <w:pPr>
              <w:spacing w:after="0"/>
            </w:pPr>
            <w:r/>
            <w:r>
              <w:rPr>
                <w:sz w:val="16"/>
              </w:rPr>
              <w:t>7</w:t>
            </w:r>
          </w:p>
        </w:tc>
        <w:tc>
          <w:tcPr>
            <w:tcW w:type="dxa" w:w="3389"/>
            <w:shd w:fill="EAF2F8"/>
            <w:vAlign w:val="center"/>
          </w:tcPr>
          <w:p>
            <w:pPr>
              <w:spacing w:after="0"/>
            </w:pPr>
            <w:r/>
            <w:r>
              <w:rPr>
                <w:sz w:val="16"/>
              </w:rPr>
              <w:t>Implement exact backend routing: AI first, deterministic low-risk checks, review for excluded conditions, approval, one authorized Resend notification, confirmation, and immutable audit.</w:t>
            </w:r>
          </w:p>
        </w:tc>
        <w:tc>
          <w:tcPr>
            <w:tcW w:type="dxa" w:w="3389"/>
            <w:shd w:fill="EAF2F8"/>
            <w:vAlign w:val="center"/>
          </w:tcPr>
          <w:p>
            <w:pPr>
              <w:spacing w:after="0"/>
            </w:pPr>
            <w:r/>
            <w:r>
              <w:rPr>
                <w:sz w:val="16"/>
              </w:rPr>
              <w:t>Every routing-matrix scenario passes; a complete synthetic case reaches the final audit state; notification delivery is separate from business-action proof; no silent loss or duplicate effect occurs.</w:t>
            </w:r>
          </w:p>
        </w:tc>
      </w:tr>
    </w:tbl>
    <w:p>
      <w:pPr>
        <w:spacing w:after="0"/>
      </w:pPr>
    </w:p>
    <w:p>
      <w:pPr>
        <w:pStyle w:val="Heading2"/>
      </w:pPr>
      <w:r>
        <w:t>5.1 End-to-end demonstration script</w:t>
      </w:r>
    </w:p>
    <w:p>
      <w:pPr>
        <w:spacing w:after="100" w:line="259" w:lineRule="auto"/>
      </w:pPr>
      <w:r>
        <w:rPr>
          <w:sz w:val="19"/>
        </w:rPr>
        <w:t>At Phase 7, run the following one-case demonstration using a synthetic or redacted fixture selected in Phase 0:</w:t>
      </w:r>
    </w:p>
    <w:p>
      <w:pPr>
        <w:pStyle w:val="ListNumber"/>
        <w:spacing w:after="40"/>
      </w:pPr>
      <w:r>
        <w:rPr>
          <w:sz w:val="18"/>
        </w:rPr>
        <w:t>Open the versioned onboarding form through the Vercel path.</w:t>
      </w:r>
    </w:p>
    <w:p>
      <w:pPr>
        <w:pStyle w:val="ListNumber"/>
        <w:spacing w:after="40"/>
      </w:pPr>
      <w:r>
        <w:rPr>
          <w:sz w:val="18"/>
        </w:rPr>
        <w:t>Complete required fields, save, resume, and upload a synthetic document to the R2 boundary.</w:t>
      </w:r>
    </w:p>
    <w:p>
      <w:pPr>
        <w:pStyle w:val="ListNumber"/>
        <w:spacing w:after="40"/>
      </w:pPr>
      <w:r>
        <w:rPr>
          <w:sz w:val="18"/>
        </w:rPr>
        <w:t>Submit. Verify that the API creates the case, document metadata, durable AI job, and audit event before queue publication.</w:t>
      </w:r>
    </w:p>
    <w:p>
      <w:pPr>
        <w:pStyle w:val="ListNumber"/>
        <w:spacing w:after="40"/>
      </w:pPr>
      <w:r>
        <w:rPr>
          <w:sz w:val="18"/>
        </w:rPr>
        <w:t>Let the worker claim the job with a lease and idempotency key.</w:t>
      </w:r>
    </w:p>
    <w:p>
      <w:pPr>
        <w:pStyle w:val="ListNumber"/>
        <w:spacing w:after="40"/>
      </w:pPr>
      <w:r>
        <w:rPr>
          <w:sz w:val="18"/>
        </w:rPr>
        <w:t>Run file-safety checks, retrieve the object, extract text or OCR, and call the private AI Engine.</w:t>
      </w:r>
    </w:p>
    <w:p>
      <w:pPr>
        <w:pStyle w:val="ListNumber"/>
        <w:spacing w:after="40"/>
      </w:pPr>
      <w:r>
        <w:rPr>
          <w:sz w:val="18"/>
        </w:rPr>
        <w:t>Verify the AI result: class, extracted fields, language, confidence components, evidence references, sensitivity, route recommendation, model ID/version/digest, OCR/runtime version, engine version, and trace ID.</w:t>
      </w:r>
    </w:p>
    <w:p>
      <w:pPr>
        <w:pStyle w:val="ListNumber"/>
        <w:spacing w:after="40"/>
      </w:pPr>
      <w:r>
        <w:rPr>
          <w:sz w:val="18"/>
        </w:rPr>
        <w:t>Verify that the backend recomputes the routing decision from the matrix and records reasons and evidence.</w:t>
      </w:r>
    </w:p>
    <w:p>
      <w:pPr>
        <w:pStyle w:val="ListNumber"/>
        <w:spacing w:after="40"/>
      </w:pPr>
      <w:r>
        <w:rPr>
          <w:sz w:val="18"/>
        </w:rPr>
        <w:t>If the fixture is low-confidence, sensitive, conflicting, uncertain, or unsafe, resolve it in the human-review queue. If it is a valid low-risk fixture, verify auto-proceed to approval.</w:t>
      </w:r>
    </w:p>
    <w:p>
      <w:pPr>
        <w:pStyle w:val="ListNumber"/>
        <w:spacing w:after="40"/>
      </w:pPr>
      <w:r>
        <w:rPr>
          <w:sz w:val="18"/>
        </w:rPr>
        <w:t>Create the approval record with actor, reason, time, and workflow step.</w:t>
      </w:r>
    </w:p>
    <w:p>
      <w:pPr>
        <w:pStyle w:val="ListNumber"/>
        <w:spacing w:after="40"/>
      </w:pPr>
      <w:r>
        <w:rPr>
          <w:sz w:val="18"/>
        </w:rPr>
        <w:t>Execute only the authorized synthetic Resend notification using the idempotency key. Record delivery status separately from business-action status.</w:t>
      </w:r>
    </w:p>
    <w:p>
      <w:pPr>
        <w:pStyle w:val="ListNumber"/>
        <w:spacing w:after="40"/>
      </w:pPr>
      <w:r>
        <w:rPr>
          <w:sz w:val="18"/>
        </w:rPr>
        <w:t>Create the confirmation and final audit event. Verify the entire case timeline, correlation identifiers, original AI result, any human correction, approval, integration interaction, execution attempt, and notification record.</w:t>
      </w:r>
    </w:p>
    <w:p>
      <w:pPr>
        <w:pStyle w:val="ListNumber"/>
        <w:spacing w:after="40"/>
      </w:pPr>
      <w:r>
        <w:rPr>
          <w:sz w:val="18"/>
        </w:rPr>
        <w:t>Re-run the duplicate-delivery test and confirm one business effect.</w:t>
      </w:r>
    </w:p>
    <w:p>
      <w:pPr>
        <w:pStyle w:val="Heading1"/>
      </w:pPr>
      <w:r>
        <w:t>6. Measurable pass/fail criteria</w:t>
      </w:r>
    </w:p>
    <w:p>
      <w:pPr>
        <w:spacing w:after="100" w:line="259" w:lineRule="auto"/>
      </w:pPr>
      <w:r>
        <w:rPr>
          <w:sz w:val="19"/>
        </w:rPr>
        <w:t>A POC passes only when all mandatory criteria are met and evidence is attached to the decision record. Numeric thresholds below are proposed POC gates, not customer commitments. The founder must approve them before Phase 6 begins.</w:t>
      </w:r>
    </w:p>
    <w:p>
      <w:pPr>
        <w:pStyle w:val="Heading2"/>
      </w:pPr>
      <w:r>
        <w:t>6.1 CPU-only AI benchmark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Measure</w:t>
            </w:r>
          </w:p>
        </w:tc>
        <w:tc>
          <w:tcPr>
            <w:tcW w:type="dxa" w:w="3389"/>
            <w:shd w:fill="1F4E79"/>
            <w:vAlign w:val="center"/>
          </w:tcPr>
          <w:p>
            <w:pPr>
              <w:spacing w:after="0"/>
            </w:pPr>
            <w:r>
              <w:rPr>
                <w:b/>
                <w:color w:val="FFFFFF"/>
              </w:rPr>
            </w:r>
            <w:r>
              <w:rPr>
                <w:b/>
                <w:color w:val="FFFFFF"/>
                <w:sz w:val="16"/>
              </w:rPr>
              <w:t>POC pass gate</w:t>
            </w:r>
          </w:p>
        </w:tc>
        <w:tc>
          <w:tcPr>
            <w:tcW w:type="dxa" w:w="3389"/>
            <w:shd w:fill="1F4E79"/>
            <w:vAlign w:val="center"/>
          </w:tcPr>
          <w:p>
            <w:pPr>
              <w:spacing w:after="0"/>
            </w:pPr>
            <w:r>
              <w:rPr>
                <w:b/>
                <w:color w:val="FFFFFF"/>
              </w:rPr>
            </w:r>
            <w:r>
              <w:rPr>
                <w:b/>
                <w:color w:val="FFFFFF"/>
                <w:sz w:val="16"/>
              </w:rPr>
              <w:t>Required evidence</w:t>
            </w:r>
          </w:p>
        </w:tc>
      </w:tr>
      <w:tr>
        <w:tc>
          <w:tcPr>
            <w:tcW w:type="dxa" w:w="3389"/>
            <w:vAlign w:val="center"/>
          </w:tcPr>
          <w:p>
            <w:pPr>
              <w:spacing w:after="0"/>
            </w:pPr>
            <w:r/>
            <w:r>
              <w:rPr>
                <w:sz w:val="16"/>
              </w:rPr>
              <w:t>p50 end-to-end AI latency</w:t>
            </w:r>
          </w:p>
        </w:tc>
        <w:tc>
          <w:tcPr>
            <w:tcW w:type="dxa" w:w="3389"/>
            <w:vAlign w:val="center"/>
          </w:tcPr>
          <w:p>
            <w:pPr>
              <w:spacing w:after="0"/>
            </w:pPr>
            <w:r/>
            <w:r>
              <w:rPr>
                <w:sz w:val="16"/>
              </w:rPr>
              <w:t>At or below the founder-approved threshold recorded before testing</w:t>
            </w:r>
          </w:p>
        </w:tc>
        <w:tc>
          <w:tcPr>
            <w:tcW w:type="dxa" w:w="3389"/>
            <w:vAlign w:val="center"/>
          </w:tcPr>
          <w:p>
            <w:pPr>
              <w:spacing w:after="0"/>
            </w:pPr>
            <w:r/>
            <w:r>
              <w:rPr>
                <w:sz w:val="16"/>
              </w:rPr>
              <w:t>Fixture mix, concurrency, CPU/RAM allocation, timing distribution, and benchmark run identifier.</w:t>
            </w:r>
          </w:p>
        </w:tc>
      </w:tr>
      <w:tr>
        <w:tc>
          <w:tcPr>
            <w:tcW w:type="dxa" w:w="3389"/>
            <w:shd w:fill="EAF2F8"/>
            <w:vAlign w:val="center"/>
          </w:tcPr>
          <w:p>
            <w:pPr>
              <w:spacing w:after="0"/>
            </w:pPr>
            <w:r/>
            <w:r>
              <w:rPr>
                <w:sz w:val="16"/>
              </w:rPr>
              <w:t>p95 end-to-end AI latency</w:t>
            </w:r>
          </w:p>
        </w:tc>
        <w:tc>
          <w:tcPr>
            <w:tcW w:type="dxa" w:w="3389"/>
            <w:shd w:fill="EAF2F8"/>
            <w:vAlign w:val="center"/>
          </w:tcPr>
          <w:p>
            <w:pPr>
              <w:spacing w:after="0"/>
            </w:pPr>
            <w:r/>
            <w:r>
              <w:rPr>
                <w:sz w:val="16"/>
              </w:rPr>
              <w:t>At or below the founder-approved threshold recorded before testing</w:t>
            </w:r>
          </w:p>
        </w:tc>
        <w:tc>
          <w:tcPr>
            <w:tcW w:type="dxa" w:w="3389"/>
            <w:shd w:fill="EAF2F8"/>
            <w:vAlign w:val="center"/>
          </w:tcPr>
          <w:p>
            <w:pPr>
              <w:spacing w:after="0"/>
            </w:pPr>
            <w:r/>
            <w:r>
              <w:rPr>
                <w:sz w:val="16"/>
              </w:rPr>
              <w:t>Same conditions as p50; p95 is not replaced by an average.</w:t>
            </w:r>
          </w:p>
        </w:tc>
      </w:tr>
      <w:tr>
        <w:tc>
          <w:tcPr>
            <w:tcW w:type="dxa" w:w="3389"/>
            <w:vAlign w:val="center"/>
          </w:tcPr>
          <w:p>
            <w:pPr>
              <w:spacing w:after="0"/>
            </w:pPr>
            <w:r/>
            <w:r>
              <w:rPr>
                <w:sz w:val="16"/>
              </w:rPr>
              <w:t>Peak RSS</w:t>
            </w:r>
          </w:p>
        </w:tc>
        <w:tc>
          <w:tcPr>
            <w:tcW w:type="dxa" w:w="3389"/>
            <w:vAlign w:val="center"/>
          </w:tcPr>
          <w:p>
            <w:pPr>
              <w:spacing w:after="0"/>
            </w:pPr>
            <w:r/>
            <w:r>
              <w:rPr>
                <w:sz w:val="16"/>
              </w:rPr>
              <w:t>At or below the recorded VM2 safe-memory budget, with headroom for the operating system, OCR, and temporary processing</w:t>
            </w:r>
          </w:p>
        </w:tc>
        <w:tc>
          <w:tcPr>
            <w:tcW w:type="dxa" w:w="3389"/>
            <w:vAlign w:val="center"/>
          </w:tcPr>
          <w:p>
            <w:pPr>
              <w:spacing w:after="0"/>
            </w:pPr>
            <w:r/>
            <w:r>
              <w:rPr>
                <w:sz w:val="16"/>
              </w:rPr>
              <w:t>Peak process/container RSS, VM2 memory state, concurrent API and database load on VM1, and alert result.</w:t>
            </w:r>
          </w:p>
        </w:tc>
      </w:tr>
      <w:tr>
        <w:tc>
          <w:tcPr>
            <w:tcW w:type="dxa" w:w="3389"/>
            <w:shd w:fill="EAF2F8"/>
            <w:vAlign w:val="center"/>
          </w:tcPr>
          <w:p>
            <w:pPr>
              <w:spacing w:after="0"/>
            </w:pPr>
            <w:r/>
            <w:r>
              <w:rPr>
                <w:sz w:val="16"/>
              </w:rPr>
              <w:t>Queue age</w:t>
            </w:r>
          </w:p>
        </w:tc>
        <w:tc>
          <w:tcPr>
            <w:tcW w:type="dxa" w:w="3389"/>
            <w:shd w:fill="EAF2F8"/>
            <w:vAlign w:val="center"/>
          </w:tcPr>
          <w:p>
            <w:pPr>
              <w:spacing w:after="0"/>
            </w:pPr>
            <w:r/>
            <w:r>
              <w:rPr>
                <w:sz w:val="16"/>
              </w:rPr>
              <w:t>The oldest queued or lease-expired job stays within the recorded POC threshold during the benchmark and returns to baseline after the run</w:t>
            </w:r>
          </w:p>
        </w:tc>
        <w:tc>
          <w:tcPr>
            <w:tcW w:type="dxa" w:w="3389"/>
            <w:shd w:fill="EAF2F8"/>
            <w:vAlign w:val="center"/>
          </w:tcPr>
          <w:p>
            <w:pPr>
              <w:spacing w:after="0"/>
            </w:pPr>
            <w:r/>
            <w:r>
              <w:rPr>
                <w:sz w:val="16"/>
              </w:rPr>
              <w:t>Queue age time series, worker heartbeat, lease state, and recovery time.</w:t>
            </w:r>
          </w:p>
        </w:tc>
      </w:tr>
      <w:tr>
        <w:tc>
          <w:tcPr>
            <w:tcW w:type="dxa" w:w="3389"/>
            <w:vAlign w:val="center"/>
          </w:tcPr>
          <w:p>
            <w:pPr>
              <w:spacing w:after="0"/>
            </w:pPr>
            <w:r/>
            <w:r>
              <w:rPr>
                <w:sz w:val="16"/>
              </w:rPr>
              <w:t>Classification accuracy</w:t>
            </w:r>
          </w:p>
        </w:tc>
        <w:tc>
          <w:tcPr>
            <w:tcW w:type="dxa" w:w="3389"/>
            <w:vAlign w:val="center"/>
          </w:tcPr>
          <w:p>
            <w:pPr>
              <w:spacing w:after="0"/>
            </w:pPr>
            <w:r/>
            <w:r>
              <w:rPr>
                <w:sz w:val="16"/>
              </w:rPr>
              <w:t>Meets the pre-registered minimum on the labeled fixture set, reported by class and language</w:t>
            </w:r>
          </w:p>
        </w:tc>
        <w:tc>
          <w:tcPr>
            <w:tcW w:type="dxa" w:w="3389"/>
            <w:vAlign w:val="center"/>
          </w:tcPr>
          <w:p>
            <w:pPr>
              <w:spacing w:after="0"/>
            </w:pPr>
            <w:r/>
            <w:r>
              <w:rPr>
                <w:sz w:val="16"/>
              </w:rPr>
              <w:t>Confusion table, fixture labels, excluded cases, and error review.</w:t>
            </w:r>
          </w:p>
        </w:tc>
      </w:tr>
      <w:tr>
        <w:tc>
          <w:tcPr>
            <w:tcW w:type="dxa" w:w="3389"/>
            <w:shd w:fill="EAF2F8"/>
            <w:vAlign w:val="center"/>
          </w:tcPr>
          <w:p>
            <w:pPr>
              <w:spacing w:after="0"/>
            </w:pPr>
            <w:r/>
            <w:r>
              <w:rPr>
                <w:sz w:val="16"/>
              </w:rPr>
              <w:t>Confidence calibration</w:t>
            </w:r>
          </w:p>
        </w:tc>
        <w:tc>
          <w:tcPr>
            <w:tcW w:type="dxa" w:w="3389"/>
            <w:shd w:fill="EAF2F8"/>
            <w:vAlign w:val="center"/>
          </w:tcPr>
          <w:p>
            <w:pPr>
              <w:spacing w:after="0"/>
            </w:pPr>
            <w:r/>
            <w:r>
              <w:rPr>
                <w:sz w:val="16"/>
              </w:rPr>
              <w:t>Meets the pre-registered calibration criterion, or all uncertain/calibration-failing cases route to human review</w:t>
            </w:r>
          </w:p>
        </w:tc>
        <w:tc>
          <w:tcPr>
            <w:tcW w:type="dxa" w:w="3389"/>
            <w:shd w:fill="EAF2F8"/>
            <w:vAlign w:val="center"/>
          </w:tcPr>
          <w:p>
            <w:pPr>
              <w:spacing w:after="0"/>
            </w:pPr>
            <w:r/>
            <w:r>
              <w:rPr>
                <w:sz w:val="16"/>
              </w:rPr>
              <w:t>Calibration report, confidence components, threshold version, and routing outcomes.</w:t>
            </w:r>
          </w:p>
        </w:tc>
      </w:tr>
      <w:tr>
        <w:tc>
          <w:tcPr>
            <w:tcW w:type="dxa" w:w="3389"/>
            <w:vAlign w:val="center"/>
          </w:tcPr>
          <w:p>
            <w:pPr>
              <w:spacing w:after="0"/>
            </w:pPr>
            <w:r/>
            <w:r>
              <w:rPr>
                <w:sz w:val="16"/>
              </w:rPr>
              <w:t>Failure handling</w:t>
            </w:r>
          </w:p>
        </w:tc>
        <w:tc>
          <w:tcPr>
            <w:tcW w:type="dxa" w:w="3389"/>
            <w:vAlign w:val="center"/>
          </w:tcPr>
          <w:p>
            <w:pPr>
              <w:spacing w:after="0"/>
            </w:pPr>
            <w:r/>
            <w:r>
              <w:rPr>
                <w:sz w:val="16"/>
              </w:rPr>
              <w:t>Zero silent failure; every timeout, malformed result, missing model, rejected file, and exhausted retry is visible and routed to retry, review, quarantine, or dead letter</w:t>
            </w:r>
          </w:p>
        </w:tc>
        <w:tc>
          <w:tcPr>
            <w:tcW w:type="dxa" w:w="3389"/>
            <w:vAlign w:val="center"/>
          </w:tcPr>
          <w:p>
            <w:pPr>
              <w:spacing w:after="0"/>
            </w:pPr>
            <w:r/>
            <w:r>
              <w:rPr>
                <w:sz w:val="16"/>
              </w:rPr>
              <w:t>Job rows, error classification, review/dead-letter records, and audit events.</w:t>
            </w:r>
          </w:p>
        </w:tc>
      </w:tr>
    </w:tbl>
    <w:p>
      <w:pPr>
        <w:spacing w:after="0"/>
      </w:pPr>
    </w:p>
    <w:p>
      <w:pPr>
        <w:spacing w:after="100" w:line="259" w:lineRule="auto"/>
      </w:pPr>
      <w:r>
        <w:rPr>
          <w:b/>
          <w:sz w:val="19"/>
        </w:rPr>
        <w:t>New POC assumption:</w:t>
      </w:r>
      <w:r>
        <w:rPr>
          <w:sz w:val="19"/>
        </w:rPr>
        <w:t xml:space="preserve"> Before Phase 6, the founder will define the numerical p50, p95, peak-RSS, queue-age, accuracy, and calibration thresholds. The approved inputs require these measures but do not supply universal values. If the benchmark exceeds the safe VM2 budget, reduce model size or concurrency, route more cases to human review, or reassess the approved architecture; do not silently increase resources or add a third VM. </w:t>
      </w:r>
      <w:r>
        <w:rPr>
          <w:color w:val="1F4E79"/>
          <w:sz w:val="19"/>
        </w:rPr>
        <w:t>[1]</w:t>
      </w:r>
      <w:r>
        <w:rPr>
          <w:sz w:val="19"/>
        </w:rPr>
        <w:t xml:space="preserve"> </w:t>
      </w:r>
      <w:r>
        <w:rPr>
          <w:color w:val="1F4E79"/>
          <w:sz w:val="19"/>
        </w:rPr>
        <w:t>[2]</w:t>
      </w:r>
    </w:p>
    <w:p>
      <w:pPr>
        <w:pStyle w:val="Heading2"/>
      </w:pPr>
      <w:r>
        <w:t>6.2 Labeled corpus and silent-loss gate</w:t>
      </w:r>
    </w:p>
    <w:p>
      <w:pPr>
        <w:spacing w:after="100" w:line="259" w:lineRule="auto"/>
      </w:pPr>
      <w:r>
        <w:rPr>
          <w:b/>
          <w:sz w:val="19"/>
        </w:rPr>
        <w:t>New POC assumption:</w:t>
      </w:r>
      <w:r>
        <w:rPr>
          <w:sz w:val="19"/>
        </w:rPr>
        <w:t xml:space="preserve"> The first POC corpus contains </w:t>
      </w:r>
      <w:r>
        <w:rPr>
          <w:b/>
          <w:sz w:val="19"/>
        </w:rPr>
        <w:t>N = 100 labeled synthetic or redacted document cases</w:t>
      </w:r>
      <w:r>
        <w:rPr>
          <w:sz w:val="19"/>
        </w:rPr>
        <w:t>, with documented class, language, expected route, sensitivity flag, and expected extracted fields. The founder may increase N before execution but may not reduce it without recording a changed assumption and decision. The corpus must represent the launch languages, document classes, and layouts that the POC claims to test.</w:t>
      </w:r>
    </w:p>
    <w:p>
      <w:pPr>
        <w:spacing w:after="100" w:line="259" w:lineRule="auto"/>
      </w:pPr>
      <w:r>
        <w:rPr>
          <w:sz w:val="19"/>
        </w:rPr>
        <w:t xml:space="preserve">Pass requires all 100 cases to have a terminal, explainable state: completed, human-review-required, quarantined, or dead-lettered with a recorded reason. </w:t>
      </w:r>
      <w:r>
        <w:rPr>
          <w:b/>
          <w:sz w:val="19"/>
        </w:rPr>
        <w:t>Zero silent loss</w:t>
      </w:r>
      <w:r>
        <w:rPr>
          <w:sz w:val="19"/>
        </w:rPr>
        <w:t xml:space="preserve"> means no case, document, durable job, AI execution, AI result, review task, approval, integration interaction, notification record, or audit event disappears without an explicit state and correlation link. A case that fails visibly is not silent loss; a missing or untraceable case is a failure.</w:t>
      </w:r>
    </w:p>
    <w:p>
      <w:pPr>
        <w:spacing w:after="100" w:line="259" w:lineRule="auto"/>
      </w:pPr>
      <w:r>
        <w:rPr>
          <w:sz w:val="19"/>
        </w:rPr>
        <w:t xml:space="preserve">The POC must also run a duplicate-delivery and worker-restart test. The result must be one business effect per idempotency key, with all attempts retained. A provider notification status must not be treated as proof that a downstream business action succeeded. </w:t>
      </w:r>
      <w:r>
        <w:rPr>
          <w:color w:val="1F4E79"/>
          <w:sz w:val="19"/>
        </w:rPr>
        <w:t>[2]</w:t>
      </w:r>
      <w:r>
        <w:rPr>
          <w:sz w:val="19"/>
        </w:rPr>
        <w:t xml:space="preserve"> </w:t>
      </w:r>
      <w:r>
        <w:rPr>
          <w:color w:val="1F4E79"/>
          <w:sz w:val="19"/>
        </w:rPr>
        <w:t>[3]</w:t>
      </w:r>
      <w:r>
        <w:rPr>
          <w:sz w:val="19"/>
        </w:rPr>
        <w:t xml:space="preserve"> </w:t>
      </w:r>
      <w:r>
        <w:rPr>
          <w:color w:val="1F4E79"/>
          <w:sz w:val="19"/>
        </w:rPr>
        <w:t>[4]</w:t>
      </w:r>
    </w:p>
    <w:p>
      <w:pPr>
        <w:pStyle w:val="Heading2"/>
      </w:pPr>
      <w:r>
        <w:t>6.3 Security and data-loss defect gates</w:t>
      </w:r>
    </w:p>
    <w:p>
      <w:pPr>
        <w:spacing w:after="100" w:line="259" w:lineRule="auto"/>
      </w:pPr>
      <w:r>
        <w:rPr>
          <w:sz w:val="19"/>
        </w:rPr>
        <w:t>Any one of the following is an automatic POC failure and blocks a sensitive pilot:</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b/>
                <w:color w:val="FFFFFF"/>
              </w:rPr>
            </w:r>
            <w:r>
              <w:rPr>
                <w:b/>
                <w:color w:val="FFFFFF"/>
                <w:sz w:val="16"/>
              </w:rPr>
              <w:t>Defect gate</w:t>
            </w:r>
          </w:p>
        </w:tc>
        <w:tc>
          <w:tcPr>
            <w:tcW w:type="dxa" w:w="5083"/>
            <w:shd w:fill="1F4E79"/>
            <w:vAlign w:val="center"/>
          </w:tcPr>
          <w:p>
            <w:pPr>
              <w:spacing w:after="0"/>
            </w:pPr>
            <w:r>
              <w:rPr>
                <w:b/>
                <w:color w:val="FFFFFF"/>
              </w:rPr>
            </w:r>
            <w:r>
              <w:rPr>
                <w:b/>
                <w:color w:val="FFFFFF"/>
                <w:sz w:val="16"/>
              </w:rPr>
              <w:t>Required result</w:t>
            </w:r>
          </w:p>
        </w:tc>
      </w:tr>
      <w:tr>
        <w:tc>
          <w:tcPr>
            <w:tcW w:type="dxa" w:w="5083"/>
            <w:vAlign w:val="center"/>
          </w:tcPr>
          <w:p>
            <w:pPr>
              <w:spacing w:after="0"/>
            </w:pPr>
            <w:r/>
            <w:r>
              <w:rPr>
                <w:sz w:val="16"/>
              </w:rPr>
              <w:t>Tenant isolation</w:t>
            </w:r>
          </w:p>
        </w:tc>
        <w:tc>
          <w:tcPr>
            <w:tcW w:type="dxa" w:w="5083"/>
            <w:vAlign w:val="center"/>
          </w:tcPr>
          <w:p>
            <w:pPr>
              <w:spacing w:after="0"/>
            </w:pPr>
            <w:r/>
            <w:r>
              <w:rPr>
                <w:sz w:val="16"/>
              </w:rPr>
              <w:t>A synthetic workspace cannot read, alter, review, export, or trigger another workspace's cases, documents, jobs, results, workflows, integrations, billing metadata, or audit events.</w:t>
            </w:r>
          </w:p>
        </w:tc>
      </w:tr>
      <w:tr>
        <w:tc>
          <w:tcPr>
            <w:tcW w:type="dxa" w:w="5083"/>
            <w:shd w:fill="EAF2F8"/>
            <w:vAlign w:val="center"/>
          </w:tcPr>
          <w:p>
            <w:pPr>
              <w:spacing w:after="0"/>
            </w:pPr>
            <w:r/>
            <w:r>
              <w:rPr>
                <w:sz w:val="16"/>
              </w:rPr>
              <w:t>Public exposure</w:t>
            </w:r>
          </w:p>
        </w:tc>
        <w:tc>
          <w:tcPr>
            <w:tcW w:type="dxa" w:w="5083"/>
            <w:shd w:fill="EAF2F8"/>
            <w:vAlign w:val="center"/>
          </w:tcPr>
          <w:p>
            <w:pPr>
              <w:spacing w:after="0"/>
            </w:pPr>
            <w:r/>
            <w:r>
              <w:rPr>
                <w:sz w:val="16"/>
              </w:rPr>
              <w:t>PostgreSQL or AI endpoints are not publicly exposed.</w:t>
            </w:r>
          </w:p>
        </w:tc>
      </w:tr>
      <w:tr>
        <w:tc>
          <w:tcPr>
            <w:tcW w:type="dxa" w:w="5083"/>
            <w:vAlign w:val="center"/>
          </w:tcPr>
          <w:p>
            <w:pPr>
              <w:spacing w:after="0"/>
            </w:pPr>
            <w:r/>
            <w:r>
              <w:rPr>
                <w:sz w:val="16"/>
              </w:rPr>
              <w:t>Authorization</w:t>
            </w:r>
          </w:p>
        </w:tc>
        <w:tc>
          <w:tcPr>
            <w:tcW w:type="dxa" w:w="5083"/>
            <w:vAlign w:val="center"/>
          </w:tcPr>
          <w:p>
            <w:pPr>
              <w:spacing w:after="0"/>
            </w:pPr>
            <w:r/>
            <w:r>
              <w:rPr>
                <w:sz w:val="16"/>
              </w:rPr>
              <w:t>Workspace scope derives from Clerk membership and role; client-supplied workspace identifiers are not trusted.</w:t>
            </w:r>
          </w:p>
        </w:tc>
      </w:tr>
      <w:tr>
        <w:tc>
          <w:tcPr>
            <w:tcW w:type="dxa" w:w="5083"/>
            <w:shd w:fill="EAF2F8"/>
            <w:vAlign w:val="center"/>
          </w:tcPr>
          <w:p>
            <w:pPr>
              <w:spacing w:after="0"/>
            </w:pPr>
            <w:r/>
            <w:r>
              <w:rPr>
                <w:sz w:val="16"/>
              </w:rPr>
              <w:t>Unsafe automation</w:t>
            </w:r>
          </w:p>
        </w:tc>
        <w:tc>
          <w:tcPr>
            <w:tcW w:type="dxa" w:w="5083"/>
            <w:shd w:fill="EAF2F8"/>
            <w:vAlign w:val="center"/>
          </w:tcPr>
          <w:p>
            <w:pPr>
              <w:spacing w:after="0"/>
            </w:pPr>
            <w:r/>
            <w:r>
              <w:rPr>
                <w:sz w:val="16"/>
              </w:rPr>
              <w:t>Sensitive, low-confidence, conflicting, uncertain, insufficient-evidence, unsafe-file, malformed, timeout, missing-model, or policy-blocked work does not auto-execute.</w:t>
            </w:r>
          </w:p>
        </w:tc>
      </w:tr>
      <w:tr>
        <w:tc>
          <w:tcPr>
            <w:tcW w:type="dxa" w:w="5083"/>
            <w:vAlign w:val="center"/>
          </w:tcPr>
          <w:p>
            <w:pPr>
              <w:spacing w:after="0"/>
            </w:pPr>
            <w:r/>
            <w:r>
              <w:rPr>
                <w:sz w:val="16"/>
              </w:rPr>
              <w:t>Evidence loss</w:t>
            </w:r>
          </w:p>
        </w:tc>
        <w:tc>
          <w:tcPr>
            <w:tcW w:type="dxa" w:w="5083"/>
            <w:vAlign w:val="center"/>
          </w:tcPr>
          <w:p>
            <w:pPr>
              <w:spacing w:after="0"/>
            </w:pPr>
            <w:r/>
            <w:r>
              <w:rPr>
                <w:sz w:val="16"/>
              </w:rPr>
              <w:t>Original AI results, source evidence references, human corrections, approvals, routing decisions, and audit events remain available after correction or replay.</w:t>
            </w:r>
          </w:p>
        </w:tc>
      </w:tr>
      <w:tr>
        <w:tc>
          <w:tcPr>
            <w:tcW w:type="dxa" w:w="5083"/>
            <w:shd w:fill="EAF2F8"/>
            <w:vAlign w:val="center"/>
          </w:tcPr>
          <w:p>
            <w:pPr>
              <w:spacing w:after="0"/>
            </w:pPr>
            <w:r/>
            <w:r>
              <w:rPr>
                <w:sz w:val="16"/>
              </w:rPr>
              <w:t>Duplicate business effect</w:t>
            </w:r>
          </w:p>
        </w:tc>
        <w:tc>
          <w:tcPr>
            <w:tcW w:type="dxa" w:w="5083"/>
            <w:shd w:fill="EAF2F8"/>
            <w:vAlign w:val="center"/>
          </w:tcPr>
          <w:p>
            <w:pPr>
              <w:spacing w:after="0"/>
            </w:pPr>
            <w:r/>
            <w:r>
              <w:rPr>
                <w:sz w:val="16"/>
              </w:rPr>
              <w:t>Duplicate queue delivery or authorized replay creates more than one notification effect for the same business idempotency key.</w:t>
            </w:r>
          </w:p>
        </w:tc>
      </w:tr>
      <w:tr>
        <w:tc>
          <w:tcPr>
            <w:tcW w:type="dxa" w:w="5083"/>
            <w:vAlign w:val="center"/>
          </w:tcPr>
          <w:p>
            <w:pPr>
              <w:spacing w:after="0"/>
            </w:pPr>
            <w:r/>
            <w:r>
              <w:rPr>
                <w:sz w:val="16"/>
              </w:rPr>
              <w:t>Unknown outcome</w:t>
            </w:r>
          </w:p>
        </w:tc>
        <w:tc>
          <w:tcPr>
            <w:tcW w:type="dxa" w:w="5083"/>
            <w:vAlign w:val="center"/>
          </w:tcPr>
          <w:p>
            <w:pPr>
              <w:spacing w:after="0"/>
            </w:pPr>
            <w:r/>
            <w:r>
              <w:rPr>
                <w:sz w:val="16"/>
              </w:rPr>
              <w:t>An unknown Resend result is blindly replayed without status inspection or human review.</w:t>
            </w:r>
          </w:p>
        </w:tc>
      </w:tr>
      <w:tr>
        <w:tc>
          <w:tcPr>
            <w:tcW w:type="dxa" w:w="5083"/>
            <w:shd w:fill="EAF2F8"/>
            <w:vAlign w:val="center"/>
          </w:tcPr>
          <w:p>
            <w:pPr>
              <w:spacing w:after="0"/>
            </w:pPr>
            <w:r/>
            <w:r>
              <w:rPr>
                <w:sz w:val="16"/>
              </w:rPr>
              <w:t>Secret exposure</w:t>
            </w:r>
          </w:p>
        </w:tc>
        <w:tc>
          <w:tcPr>
            <w:tcW w:type="dxa" w:w="5083"/>
            <w:shd w:fill="EAF2F8"/>
            <w:vAlign w:val="center"/>
          </w:tcPr>
          <w:p>
            <w:pPr>
              <w:spacing w:after="0"/>
            </w:pPr>
            <w:r/>
            <w:r>
              <w:rPr>
                <w:sz w:val="16"/>
              </w:rPr>
              <w:t>A connector, database, Clerk, R2, Valkey, or Resend secret appears in source control or ordinary logs.</w:t>
            </w:r>
          </w:p>
        </w:tc>
      </w:tr>
      <w:tr>
        <w:tc>
          <w:tcPr>
            <w:tcW w:type="dxa" w:w="5083"/>
            <w:vAlign w:val="center"/>
          </w:tcPr>
          <w:p>
            <w:pPr>
              <w:spacing w:after="0"/>
            </w:pPr>
            <w:r/>
            <w:r>
              <w:rPr>
                <w:sz w:val="16"/>
              </w:rPr>
              <w:t>Recovery failure</w:t>
            </w:r>
          </w:p>
        </w:tc>
        <w:tc>
          <w:tcPr>
            <w:tcW w:type="dxa" w:w="5083"/>
            <w:vAlign w:val="center"/>
          </w:tcPr>
          <w:p>
            <w:pPr>
              <w:spacing w:after="0"/>
            </w:pPr>
            <w:r/>
            <w:r>
              <w:rPr>
                <w:sz w:val="16"/>
              </w:rPr>
              <w:t>The encrypted backup cannot be checksum-verified or restored into isolation with the required smoke tests.</w:t>
            </w:r>
          </w:p>
        </w:tc>
      </w:tr>
      <w:tr>
        <w:tc>
          <w:tcPr>
            <w:tcW w:type="dxa" w:w="5083"/>
            <w:shd w:fill="EAF2F8"/>
            <w:vAlign w:val="center"/>
          </w:tcPr>
          <w:p>
            <w:pPr>
              <w:spacing w:after="0"/>
            </w:pPr>
            <w:r/>
            <w:r>
              <w:rPr>
                <w:sz w:val="16"/>
              </w:rPr>
              <w:t>Critical unresolved defect</w:t>
            </w:r>
          </w:p>
        </w:tc>
        <w:tc>
          <w:tcPr>
            <w:tcW w:type="dxa" w:w="5083"/>
            <w:shd w:fill="EAF2F8"/>
            <w:vAlign w:val="center"/>
          </w:tcPr>
          <w:p>
            <w:pPr>
              <w:spacing w:after="0"/>
            </w:pPr>
            <w:r/>
            <w:r>
              <w:rPr>
                <w:sz w:val="16"/>
              </w:rPr>
              <w:t>Any unresolved critical security or data-loss defect remains at the decision point.</w:t>
            </w:r>
          </w:p>
        </w:tc>
      </w:tr>
    </w:tbl>
    <w:p>
      <w:pPr>
        <w:spacing w:after="0"/>
      </w:pPr>
    </w:p>
    <w:p>
      <w:pPr>
        <w:pStyle w:val="Heading1"/>
      </w:pPr>
      <w:r>
        <w:t>7. Evidence pack and founder review format</w:t>
      </w:r>
    </w:p>
    <w:p>
      <w:pPr>
        <w:spacing w:after="100" w:line="259" w:lineRule="auto"/>
      </w:pPr>
      <w:r>
        <w:rPr>
          <w:sz w:val="19"/>
        </w:rPr>
        <w:t>At the end of each phase, save a short decision record containing the phase number, release or fixture version, completed controls, planned controls, assessment-required controls, exit evidence, failed checks, changed assumptions, owner, and decision. The record must state whether the phase passed without weakening a threshold or adding an unapproved dependency.</w:t>
      </w:r>
    </w:p>
    <w:p>
      <w:pPr>
        <w:spacing w:after="100" w:line="259" w:lineRule="auto"/>
      </w:pPr>
      <w:r>
        <w:rPr>
          <w:sz w:val="19"/>
        </w:rPr>
        <w:t>The final POC evidence pack should contain:</w:t>
      </w:r>
    </w:p>
    <w:p>
      <w:pPr>
        <w:pStyle w:val="ListNumber"/>
        <w:spacing w:after="40"/>
      </w:pPr>
      <w:r>
        <w:rPr>
          <w:sz w:val="18"/>
        </w:rPr>
        <w:t>The approved workflow map and routing matrix.</w:t>
      </w:r>
    </w:p>
    <w:p>
      <w:pPr>
        <w:pStyle w:val="ListNumber"/>
        <w:spacing w:after="40"/>
      </w:pPr>
      <w:r>
        <w:rPr>
          <w:sz w:val="18"/>
        </w:rPr>
        <w:t>The synthetic/redacted corpus manifest, labels, and N value.</w:t>
      </w:r>
    </w:p>
    <w:p>
      <w:pPr>
        <w:pStyle w:val="ListNumber"/>
        <w:spacing w:after="40"/>
      </w:pPr>
      <w:r>
        <w:rPr>
          <w:sz w:val="18"/>
        </w:rPr>
        <w:t>The approved environment inventory showing exactly two OCI VMs plus Vercel, Clerk, R2, and Resend.</w:t>
      </w:r>
    </w:p>
    <w:p>
      <w:pPr>
        <w:pStyle w:val="ListNumber"/>
        <w:spacing w:after="40"/>
      </w:pPr>
      <w:r>
        <w:rPr>
          <w:sz w:val="18"/>
        </w:rPr>
        <w:t>Schema, REST contract, authorization tests, and negative tenant tests.</w:t>
      </w:r>
    </w:p>
    <w:p>
      <w:pPr>
        <w:pStyle w:val="ListNumber"/>
        <w:spacing w:after="40"/>
      </w:pPr>
      <w:r>
        <w:rPr>
          <w:sz w:val="18"/>
        </w:rPr>
        <w:t>Submission, job, review, approval, integration, notification, and audit traces for the demonstration case.</w:t>
      </w:r>
    </w:p>
    <w:p>
      <w:pPr>
        <w:pStyle w:val="ListNumber"/>
        <w:spacing w:after="40"/>
      </w:pPr>
      <w:r>
        <w:rPr>
          <w:sz w:val="18"/>
        </w:rPr>
        <w:t>CPU-only benchmark results, including p50/p95 latency, peak RSS, queue age, accuracy, calibration, and failures.</w:t>
      </w:r>
    </w:p>
    <w:p>
      <w:pPr>
        <w:pStyle w:val="ListNumber"/>
        <w:spacing w:after="40"/>
      </w:pPr>
      <w:r>
        <w:rPr>
          <w:sz w:val="18"/>
        </w:rPr>
        <w:t>Duplicate-delivery, worker-restart, retry, dead-letter, unknown-outcome, and safe-replay evidence.</w:t>
      </w:r>
    </w:p>
    <w:p>
      <w:pPr>
        <w:pStyle w:val="ListNumber"/>
        <w:spacing w:after="40"/>
      </w:pPr>
      <w:r>
        <w:rPr>
          <w:sz w:val="18"/>
        </w:rPr>
        <w:t>Encrypted backup checksum and isolated restore result.</w:t>
      </w:r>
    </w:p>
    <w:p>
      <w:pPr>
        <w:pStyle w:val="ListNumber"/>
        <w:spacing w:after="40"/>
      </w:pPr>
      <w:r>
        <w:rPr>
          <w:sz w:val="18"/>
        </w:rPr>
        <w:t>Open-risk register and the final proceed/change/not-sensitive-pilot-ready decision.</w:t>
      </w:r>
    </w:p>
    <w:p>
      <w:pPr>
        <w:pStyle w:val="Heading2"/>
      </w:pPr>
      <w:r>
        <w:t>7.1 Final sign-off format</w:t>
      </w:r>
    </w:p>
    <w:p>
      <w:pPr>
        <w:ind w:left="317"/>
      </w:pPr>
      <w:r>
        <w:rPr>
          <w:rFonts w:ascii="Courier New" w:hAnsi="Courier New"/>
          <w:sz w:val="15"/>
        </w:rPr>
        <w:t>Formiva 2.0 POC decision</w:t>
        <w:br/>
        <w:br/>
        <w:t>POC period (UTC): _________________________________________________</w:t>
        <w:br/>
        <w:t>Workflow/version: _________________________________________________</w:t>
        <w:br/>
        <w:t>Environment verification:  Two OCI VMs + Vercel + Clerk + R2 + Resend</w:t>
        <w:br/>
        <w:t>Corpus size N: ____________________________________________________</w:t>
        <w:br/>
        <w:t>Release tag: ______________________________________________________</w:t>
        <w:br/>
        <w:br/>
        <w:t>End-to-end loop: PASS / FAIL</w:t>
        <w:br/>
        <w:t>CPU-only benchmark: PASS / FAIL</w:t>
        <w:br/>
        <w:t>Accuracy and calibration: PASS / FAIL</w:t>
        <w:br/>
        <w:t>Queue age and worker health: PASS / FAIL</w:t>
        <w:br/>
        <w:t>Zero silent loss across N: PASS / FAIL</w:t>
        <w:br/>
        <w:t>Routing matrix: PASS / FAIL</w:t>
        <w:br/>
        <w:t>Tenant isolation: PASS / FAIL</w:t>
        <w:br/>
        <w:t>No critical security/data-loss defect: PASS / FAIL</w:t>
        <w:br/>
        <w:t>Encrypted backup and isolated restore: PASS / FAIL</w:t>
        <w:br/>
        <w:t>Safe replay and one business effect: PASS / FAIL</w:t>
        <w:br/>
        <w:t>Human correction and approval audit: PASS / FAIL</w:t>
        <w:br/>
        <w:br/>
        <w:t>Open risks and changed assumptions:</w:t>
        <w:br/>
        <w:t>____________________________________________________________________</w:t>
        <w:br/>
        <w:t>____________________________________________________________________</w:t>
        <w:br/>
        <w:br/>
        <w:t>Decision: PROCEED / CHANGE APPROACH / NOT SENSITIVE-PILOT READY</w:t>
        <w:br/>
        <w:t>Required changes, restrictions, and owner:</w:t>
        <w:br/>
        <w:t>____________________________________________________________________</w:t>
        <w:br/>
        <w:br/>
        <w:t>Founder/operator: __________________________ Date (UTC): ___________</w:t>
        <w:br/>
        <w:t>Technical reviewer: _________________________ Date (UTC): ___________</w:t>
        <w:br/>
        <w:t>Security/privacy or counsel review, if required: ____________________</w:t>
      </w:r>
    </w:p>
    <w:p>
      <w:pPr>
        <w:pStyle w:val="Heading1"/>
      </w:pPr>
      <w:r>
        <w:t>8. Realistic time box for a non-developer founder</w:t>
      </w:r>
    </w:p>
    <w:p>
      <w:pPr>
        <w:spacing w:after="100" w:line="259" w:lineRule="auto"/>
      </w:pPr>
      <w:r>
        <w:rPr>
          <w:sz w:val="19"/>
        </w:rPr>
        <w:t xml:space="preserve">The time box is </w:t>
      </w:r>
      <w:r>
        <w:rPr>
          <w:b/>
          <w:sz w:val="19"/>
        </w:rPr>
        <w:t>eight weeks</w:t>
      </w:r>
      <w:r>
        <w:rPr>
          <w:sz w:val="19"/>
        </w:rPr>
        <w:t>: Phase 0 takes three to five working days; Phases 1–7 each receive approximately one working week, with the final days reserved for end-to-end evidence and the decision record. This follows the approved Phase 0–7 sequence while allowing a non-developer founder time to review evidence, repeat failed checks, and obtain implementation help rather than treating the roadmap as a promise of automatic delivery.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Week</w:t>
            </w:r>
          </w:p>
        </w:tc>
        <w:tc>
          <w:tcPr>
            <w:tcW w:type="dxa" w:w="3389"/>
            <w:shd w:fill="1F4E79"/>
            <w:vAlign w:val="center"/>
          </w:tcPr>
          <w:p>
            <w:pPr>
              <w:spacing w:after="0"/>
            </w:pPr>
            <w:r>
              <w:rPr>
                <w:b/>
                <w:color w:val="FFFFFF"/>
              </w:rPr>
            </w:r>
            <w:r>
              <w:rPr>
                <w:b/>
                <w:color w:val="FFFFFF"/>
                <w:sz w:val="16"/>
              </w:rPr>
              <w:t>Primary founder responsibility</w:t>
            </w:r>
          </w:p>
        </w:tc>
        <w:tc>
          <w:tcPr>
            <w:tcW w:type="dxa" w:w="3389"/>
            <w:shd w:fill="1F4E79"/>
            <w:vAlign w:val="center"/>
          </w:tcPr>
          <w:p>
            <w:pPr>
              <w:spacing w:after="0"/>
            </w:pPr>
            <w:r>
              <w:rPr>
                <w:b/>
                <w:color w:val="FFFFFF"/>
              </w:rPr>
            </w:r>
            <w:r>
              <w:rPr>
                <w:b/>
                <w:color w:val="FFFFFF"/>
                <w:sz w:val="16"/>
              </w:rPr>
              <w:t>Decision checkpoint</w:t>
            </w:r>
          </w:p>
        </w:tc>
      </w:tr>
      <w:tr>
        <w:tc>
          <w:tcPr>
            <w:tcW w:type="dxa" w:w="3389"/>
            <w:vAlign w:val="center"/>
          </w:tcPr>
          <w:p>
            <w:pPr>
              <w:spacing w:after="0"/>
            </w:pPr>
            <w:r/>
            <w:r>
              <w:rPr>
                <w:sz w:val="16"/>
              </w:rPr>
              <w:t>1</w:t>
            </w:r>
          </w:p>
        </w:tc>
        <w:tc>
          <w:tcPr>
            <w:tcW w:type="dxa" w:w="3389"/>
            <w:vAlign w:val="center"/>
          </w:tcPr>
          <w:p>
            <w:pPr>
              <w:spacing w:after="0"/>
            </w:pPr>
            <w:r/>
            <w:r>
              <w:rPr>
                <w:sz w:val="16"/>
              </w:rPr>
              <w:t>Approve workflow map, synthetic corpus plan, routing matrix, prohibited actions, and assumptions.</w:t>
            </w:r>
          </w:p>
        </w:tc>
        <w:tc>
          <w:tcPr>
            <w:tcW w:type="dxa" w:w="3389"/>
            <w:vAlign w:val="center"/>
          </w:tcPr>
          <w:p>
            <w:pPr>
              <w:spacing w:after="0"/>
            </w:pPr>
            <w:r/>
            <w:r>
              <w:rPr>
                <w:sz w:val="16"/>
              </w:rPr>
              <w:t>Phase 0 pass.</w:t>
            </w:r>
          </w:p>
        </w:tc>
      </w:tr>
      <w:tr>
        <w:tc>
          <w:tcPr>
            <w:tcW w:type="dxa" w:w="3389"/>
            <w:shd w:fill="EAF2F8"/>
            <w:vAlign w:val="center"/>
          </w:tcPr>
          <w:p>
            <w:pPr>
              <w:spacing w:after="0"/>
            </w:pPr>
            <w:r/>
            <w:r>
              <w:rPr>
                <w:sz w:val="16"/>
              </w:rPr>
              <w:t>2</w:t>
            </w:r>
          </w:p>
        </w:tc>
        <w:tc>
          <w:tcPr>
            <w:tcW w:type="dxa" w:w="3389"/>
            <w:shd w:fill="EAF2F8"/>
            <w:vAlign w:val="center"/>
          </w:tcPr>
          <w:p>
            <w:pPr>
              <w:spacing w:after="0"/>
            </w:pPr>
            <w:r/>
            <w:r>
              <w:rPr>
                <w:sz w:val="16"/>
              </w:rPr>
              <w:t>Verify the exact environment inventory, access boundaries, health checks, and private data/AI services.</w:t>
            </w:r>
          </w:p>
        </w:tc>
        <w:tc>
          <w:tcPr>
            <w:tcW w:type="dxa" w:w="3389"/>
            <w:shd w:fill="EAF2F8"/>
            <w:vAlign w:val="center"/>
          </w:tcPr>
          <w:p>
            <w:pPr>
              <w:spacing w:after="0"/>
            </w:pPr>
            <w:r/>
            <w:r>
              <w:rPr>
                <w:sz w:val="16"/>
              </w:rPr>
              <w:t>Phase 1 pass.</w:t>
            </w:r>
          </w:p>
        </w:tc>
      </w:tr>
      <w:tr>
        <w:tc>
          <w:tcPr>
            <w:tcW w:type="dxa" w:w="3389"/>
            <w:vAlign w:val="center"/>
          </w:tcPr>
          <w:p>
            <w:pPr>
              <w:spacing w:after="0"/>
            </w:pPr>
            <w:r/>
            <w:r>
              <w:rPr>
                <w:sz w:val="16"/>
              </w:rPr>
              <w:t>3</w:t>
            </w:r>
          </w:p>
        </w:tc>
        <w:tc>
          <w:tcPr>
            <w:tcW w:type="dxa" w:w="3389"/>
            <w:vAlign w:val="center"/>
          </w:tcPr>
          <w:p>
            <w:pPr>
              <w:spacing w:after="0"/>
            </w:pPr>
            <w:r/>
            <w:r>
              <w:rPr>
                <w:sz w:val="16"/>
              </w:rPr>
              <w:t>Review REST contract, minimum schema, transaction order, and tenant-negative tests.</w:t>
            </w:r>
          </w:p>
        </w:tc>
        <w:tc>
          <w:tcPr>
            <w:tcW w:type="dxa" w:w="3389"/>
            <w:vAlign w:val="center"/>
          </w:tcPr>
          <w:p>
            <w:pPr>
              <w:spacing w:after="0"/>
            </w:pPr>
            <w:r/>
            <w:r>
              <w:rPr>
                <w:sz w:val="16"/>
              </w:rPr>
              <w:t>Phase 2 pass.</w:t>
            </w:r>
          </w:p>
        </w:tc>
      </w:tr>
      <w:tr>
        <w:tc>
          <w:tcPr>
            <w:tcW w:type="dxa" w:w="3389"/>
            <w:shd w:fill="EAF2F8"/>
            <w:vAlign w:val="center"/>
          </w:tcPr>
          <w:p>
            <w:pPr>
              <w:spacing w:after="0"/>
            </w:pPr>
            <w:r/>
            <w:r>
              <w:rPr>
                <w:sz w:val="16"/>
              </w:rPr>
              <w:t>4</w:t>
            </w:r>
          </w:p>
        </w:tc>
        <w:tc>
          <w:tcPr>
            <w:tcW w:type="dxa" w:w="3389"/>
            <w:shd w:fill="EAF2F8"/>
            <w:vAlign w:val="center"/>
          </w:tcPr>
          <w:p>
            <w:pPr>
              <w:spacing w:after="0"/>
            </w:pPr>
            <w:r/>
            <w:r>
              <w:rPr>
                <w:sz w:val="16"/>
              </w:rPr>
              <w:t>Run synthetic intake, save/resume, upload limits, R2 object checks, and quarantine tests.</w:t>
            </w:r>
          </w:p>
        </w:tc>
        <w:tc>
          <w:tcPr>
            <w:tcW w:type="dxa" w:w="3389"/>
            <w:shd w:fill="EAF2F8"/>
            <w:vAlign w:val="center"/>
          </w:tcPr>
          <w:p>
            <w:pPr>
              <w:spacing w:after="0"/>
            </w:pPr>
            <w:r/>
            <w:r>
              <w:rPr>
                <w:sz w:val="16"/>
              </w:rPr>
              <w:t>Phase 3 pass.</w:t>
            </w:r>
          </w:p>
        </w:tc>
      </w:tr>
      <w:tr>
        <w:tc>
          <w:tcPr>
            <w:tcW w:type="dxa" w:w="3389"/>
            <w:vAlign w:val="center"/>
          </w:tcPr>
          <w:p>
            <w:pPr>
              <w:spacing w:after="0"/>
            </w:pPr>
            <w:r/>
            <w:r>
              <w:rPr>
                <w:sz w:val="16"/>
              </w:rPr>
              <w:t>5</w:t>
            </w:r>
          </w:p>
        </w:tc>
        <w:tc>
          <w:tcPr>
            <w:tcW w:type="dxa" w:w="3389"/>
            <w:vAlign w:val="center"/>
          </w:tcPr>
          <w:p>
            <w:pPr>
              <w:spacing w:after="0"/>
            </w:pPr>
            <w:r/>
            <w:r>
              <w:rPr>
                <w:sz w:val="16"/>
              </w:rPr>
              <w:t>Run review, correction, approval, timeline, and audit exercises.</w:t>
            </w:r>
          </w:p>
        </w:tc>
        <w:tc>
          <w:tcPr>
            <w:tcW w:type="dxa" w:w="3389"/>
            <w:vAlign w:val="center"/>
          </w:tcPr>
          <w:p>
            <w:pPr>
              <w:spacing w:after="0"/>
            </w:pPr>
            <w:r/>
            <w:r>
              <w:rPr>
                <w:sz w:val="16"/>
              </w:rPr>
              <w:t>Phase 4 pass.</w:t>
            </w:r>
          </w:p>
        </w:tc>
      </w:tr>
      <w:tr>
        <w:tc>
          <w:tcPr>
            <w:tcW w:type="dxa" w:w="3389"/>
            <w:shd w:fill="EAF2F8"/>
            <w:vAlign w:val="center"/>
          </w:tcPr>
          <w:p>
            <w:pPr>
              <w:spacing w:after="0"/>
            </w:pPr>
            <w:r/>
            <w:r>
              <w:rPr>
                <w:sz w:val="16"/>
              </w:rPr>
              <w:t>6</w:t>
            </w:r>
          </w:p>
        </w:tc>
        <w:tc>
          <w:tcPr>
            <w:tcW w:type="dxa" w:w="3389"/>
            <w:shd w:fill="EAF2F8"/>
            <w:vAlign w:val="center"/>
          </w:tcPr>
          <w:p>
            <w:pPr>
              <w:spacing w:after="0"/>
            </w:pPr>
            <w:r/>
            <w:r>
              <w:rPr>
                <w:sz w:val="16"/>
              </w:rPr>
              <w:t>Run worker, lease, retry, dead-letter, duplicate-delivery, and safe-replay exercises.</w:t>
            </w:r>
          </w:p>
        </w:tc>
        <w:tc>
          <w:tcPr>
            <w:tcW w:type="dxa" w:w="3389"/>
            <w:shd w:fill="EAF2F8"/>
            <w:vAlign w:val="center"/>
          </w:tcPr>
          <w:p>
            <w:pPr>
              <w:spacing w:after="0"/>
            </w:pPr>
            <w:r/>
            <w:r>
              <w:rPr>
                <w:sz w:val="16"/>
              </w:rPr>
              <w:t>Phase 5 pass.</w:t>
            </w:r>
          </w:p>
        </w:tc>
      </w:tr>
      <w:tr>
        <w:tc>
          <w:tcPr>
            <w:tcW w:type="dxa" w:w="3389"/>
            <w:vAlign w:val="center"/>
          </w:tcPr>
          <w:p>
            <w:pPr>
              <w:spacing w:after="0"/>
            </w:pPr>
            <w:r/>
            <w:r>
              <w:rPr>
                <w:sz w:val="16"/>
              </w:rPr>
              <w:t>7</w:t>
            </w:r>
          </w:p>
        </w:tc>
        <w:tc>
          <w:tcPr>
            <w:tcW w:type="dxa" w:w="3389"/>
            <w:vAlign w:val="center"/>
          </w:tcPr>
          <w:p>
            <w:pPr>
              <w:spacing w:after="0"/>
            </w:pPr>
            <w:r/>
            <w:r>
              <w:rPr>
                <w:sz w:val="16"/>
              </w:rPr>
              <w:t>Review the CPU-only benchmark, model registry record, calibration, resource headroom, and rollback plan.</w:t>
            </w:r>
          </w:p>
        </w:tc>
        <w:tc>
          <w:tcPr>
            <w:tcW w:type="dxa" w:w="3389"/>
            <w:vAlign w:val="center"/>
          </w:tcPr>
          <w:p>
            <w:pPr>
              <w:spacing w:after="0"/>
            </w:pPr>
            <w:r/>
            <w:r>
              <w:rPr>
                <w:sz w:val="16"/>
              </w:rPr>
              <w:t>Phase 6 pass.</w:t>
            </w:r>
          </w:p>
        </w:tc>
      </w:tr>
      <w:tr>
        <w:tc>
          <w:tcPr>
            <w:tcW w:type="dxa" w:w="3389"/>
            <w:shd w:fill="EAF2F8"/>
            <w:vAlign w:val="center"/>
          </w:tcPr>
          <w:p>
            <w:pPr>
              <w:spacing w:after="0"/>
            </w:pPr>
            <w:r/>
            <w:r>
              <w:rPr>
                <w:sz w:val="16"/>
              </w:rPr>
              <w:t>8</w:t>
            </w:r>
          </w:p>
        </w:tc>
        <w:tc>
          <w:tcPr>
            <w:tcW w:type="dxa" w:w="3389"/>
            <w:shd w:fill="EAF2F8"/>
            <w:vAlign w:val="center"/>
          </w:tcPr>
          <w:p>
            <w:pPr>
              <w:spacing w:after="0"/>
            </w:pPr>
            <w:r/>
            <w:r>
              <w:rPr>
                <w:sz w:val="16"/>
              </w:rPr>
              <w:t>Run the full 100-case corpus, routing matrix, restore check, defect gates, and final demonstration.</w:t>
            </w:r>
          </w:p>
        </w:tc>
        <w:tc>
          <w:tcPr>
            <w:tcW w:type="dxa" w:w="3389"/>
            <w:shd w:fill="EAF2F8"/>
            <w:vAlign w:val="center"/>
          </w:tcPr>
          <w:p>
            <w:pPr>
              <w:spacing w:after="0"/>
            </w:pPr>
            <w:r/>
            <w:r>
              <w:rPr>
                <w:sz w:val="16"/>
              </w:rPr>
              <w:t>Phase 7 and final decision.</w:t>
            </w:r>
          </w:p>
        </w:tc>
      </w:tr>
    </w:tbl>
    <w:p>
      <w:pPr>
        <w:spacing w:after="0"/>
      </w:pPr>
    </w:p>
    <w:p>
      <w:pPr>
        <w:spacing w:after="100" w:line="259" w:lineRule="auto"/>
      </w:pPr>
      <w:r>
        <w:rPr>
          <w:b/>
          <w:sz w:val="19"/>
        </w:rPr>
        <w:t>New timeline assumptions:</w:t>
      </w:r>
      <w:r>
        <w:rPr>
          <w:sz w:val="19"/>
        </w:rPr>
        <w:t xml:space="preserve"> The founder has a technical implementer or implementation support for build work, can review a short evidence record each working day, and can obtain the two OCI VMs and named services without an unplanned procurement delay. If these assumptions fail, extend the time box rather than skipping a phase exit test.</w:t>
      </w:r>
    </w:p>
    <w:p>
      <w:pPr>
        <w:pStyle w:val="Heading1"/>
      </w:pPr>
      <w:r>
        <w:t>9. Decision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Evidence state</w:t>
            </w:r>
          </w:p>
        </w:tc>
        <w:tc>
          <w:tcPr>
            <w:tcW w:type="dxa" w:w="3389"/>
            <w:shd w:fill="1F4E79"/>
            <w:vAlign w:val="center"/>
          </w:tcPr>
          <w:p>
            <w:pPr>
              <w:spacing w:after="0"/>
            </w:pPr>
            <w:r>
              <w:rPr>
                <w:b/>
                <w:color w:val="FFFFFF"/>
              </w:rPr>
            </w:r>
            <w:r>
              <w:rPr>
                <w:b/>
                <w:color w:val="FFFFFF"/>
                <w:sz w:val="16"/>
              </w:rPr>
              <w:t>Decision</w:t>
            </w:r>
          </w:p>
        </w:tc>
        <w:tc>
          <w:tcPr>
            <w:tcW w:type="dxa" w:w="3389"/>
            <w:shd w:fill="1F4E79"/>
            <w:vAlign w:val="center"/>
          </w:tcPr>
          <w:p>
            <w:pPr>
              <w:spacing w:after="0"/>
            </w:pPr>
            <w:r>
              <w:rPr>
                <w:b/>
                <w:color w:val="FFFFFF"/>
              </w:rPr>
            </w:r>
            <w:r>
              <w:rPr>
                <w:b/>
                <w:color w:val="FFFFFF"/>
                <w:sz w:val="16"/>
              </w:rPr>
              <w:t>Founder action</w:t>
            </w:r>
          </w:p>
        </w:tc>
      </w:tr>
      <w:tr>
        <w:tc>
          <w:tcPr>
            <w:tcW w:type="dxa" w:w="3389"/>
            <w:vAlign w:val="center"/>
          </w:tcPr>
          <w:p>
            <w:pPr>
              <w:spacing w:after="0"/>
            </w:pPr>
            <w:r/>
            <w:r>
              <w:rPr>
                <w:sz w:val="16"/>
              </w:rPr>
              <w:t>All mandatory phase exits pass; benchmark is within approved CPU/RAM limits; N labeled cases have zero silent loss; routing matrix passes; no security/data-loss defect remains; restore and safe replay pass</w:t>
            </w:r>
          </w:p>
        </w:tc>
        <w:tc>
          <w:tcPr>
            <w:tcW w:type="dxa" w:w="3389"/>
            <w:vAlign w:val="center"/>
          </w:tcPr>
          <w:p>
            <w:pPr>
              <w:spacing w:after="0"/>
            </w:pPr>
            <w:r/>
            <w:r>
              <w:rPr>
                <w:b/>
                <w:sz w:val="16"/>
              </w:rPr>
              <w:t>Proceed</w:t>
            </w:r>
          </w:p>
        </w:tc>
        <w:tc>
          <w:tcPr>
            <w:tcW w:type="dxa" w:w="3389"/>
            <w:vAlign w:val="center"/>
          </w:tcPr>
          <w:p>
            <w:pPr>
              <w:spacing w:after="0"/>
            </w:pPr>
            <w:r/>
            <w:r>
              <w:rPr>
                <w:sz w:val="16"/>
              </w:rPr>
              <w:t>Start the next approved build work with a written risk register. Do not infer sensitive-pilot approval; complete Phase 8–10 controls first.</w:t>
            </w:r>
          </w:p>
        </w:tc>
      </w:tr>
      <w:tr>
        <w:tc>
          <w:tcPr>
            <w:tcW w:type="dxa" w:w="3389"/>
            <w:shd w:fill="EAF2F8"/>
            <w:vAlign w:val="center"/>
          </w:tcPr>
          <w:p>
            <w:pPr>
              <w:spacing w:after="0"/>
            </w:pPr>
            <w:r/>
            <w:r>
              <w:rPr>
                <w:sz w:val="16"/>
              </w:rPr>
              <w:t>Core loop works, but benchmark, calibration, queue age, resource contention, routing threshold, review capacity, or one approved boundary is not acceptable; no unrecoverable security/data-loss defect is present</w:t>
            </w:r>
          </w:p>
        </w:tc>
        <w:tc>
          <w:tcPr>
            <w:tcW w:type="dxa" w:w="3389"/>
            <w:shd w:fill="EAF2F8"/>
            <w:vAlign w:val="center"/>
          </w:tcPr>
          <w:p>
            <w:pPr>
              <w:spacing w:after="0"/>
            </w:pPr>
            <w:r/>
            <w:r>
              <w:rPr>
                <w:b/>
                <w:sz w:val="16"/>
              </w:rPr>
              <w:t>Change approach</w:t>
            </w:r>
          </w:p>
        </w:tc>
        <w:tc>
          <w:tcPr>
            <w:tcW w:type="dxa" w:w="3389"/>
            <w:shd w:fill="EAF2F8"/>
            <w:vAlign w:val="center"/>
          </w:tcPr>
          <w:p>
            <w:pPr>
              <w:spacing w:after="0"/>
            </w:pPr>
            <w:r/>
            <w:r>
              <w:rPr>
                <w:sz w:val="16"/>
              </w:rPr>
              <w:t>Record the changed assumption. Reduce model/concurrency, revise the bounded routing policy, extend human review, or reassess the approved deployment choice. Re-run the affected phases.</w:t>
            </w:r>
          </w:p>
        </w:tc>
      </w:tr>
      <w:tr>
        <w:tc>
          <w:tcPr>
            <w:tcW w:type="dxa" w:w="3389"/>
            <w:vAlign w:val="center"/>
          </w:tcPr>
          <w:p>
            <w:pPr>
              <w:spacing w:after="0"/>
            </w:pPr>
            <w:r/>
            <w:r>
              <w:rPr>
                <w:sz w:val="16"/>
              </w:rPr>
              <w:t>Any critical tenant-isolation, public-exposure, secret, unsafe-action, evidence-loss, duplicate-effect, unknown-outcome, restore, or unresolved data-loss gate fails; or evidence is missing</w:t>
            </w:r>
          </w:p>
        </w:tc>
        <w:tc>
          <w:tcPr>
            <w:tcW w:type="dxa" w:w="3389"/>
            <w:vAlign w:val="center"/>
          </w:tcPr>
          <w:p>
            <w:pPr>
              <w:spacing w:after="0"/>
            </w:pPr>
            <w:r/>
            <w:r>
              <w:rPr>
                <w:b/>
                <w:sz w:val="16"/>
              </w:rPr>
              <w:t>Not sensitive-pilot ready</w:t>
            </w:r>
          </w:p>
        </w:tc>
        <w:tc>
          <w:tcPr>
            <w:tcW w:type="dxa" w:w="3389"/>
            <w:vAlign w:val="center"/>
          </w:tcPr>
          <w:p>
            <w:pPr>
              <w:spacing w:after="0"/>
            </w:pPr>
            <w:r/>
            <w:r>
              <w:rPr>
                <w:sz w:val="16"/>
              </w:rPr>
              <w:t>Keep the POC synthetic/redacted and in safe mode. Stop sensitive or external actions, preserve evidence, assign remediation, and do not use the result as a production or compliance claim.</w:t>
            </w:r>
          </w:p>
        </w:tc>
      </w:tr>
    </w:tbl>
    <w:p>
      <w:pPr>
        <w:spacing w:after="0"/>
      </w:pPr>
    </w:p>
    <w:p>
      <w:pPr>
        <w:pStyle w:val="Heading1"/>
      </w:pPr>
      <w:r>
        <w:t>10. Risks and new assumptions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pPr>
              <w:spacing w:after="0"/>
            </w:pPr>
            <w:r>
              <w:rPr>
                <w:b/>
                <w:color w:val="FFFFFF"/>
              </w:rPr>
            </w:r>
            <w:r>
              <w:rPr>
                <w:b/>
                <w:color w:val="FFFFFF"/>
                <w:sz w:val="16"/>
              </w:rPr>
              <w:t>Risk or assumption</w:t>
            </w:r>
          </w:p>
        </w:tc>
        <w:tc>
          <w:tcPr>
            <w:tcW w:type="dxa" w:w="3389"/>
            <w:shd w:fill="1F4E79"/>
            <w:vAlign w:val="center"/>
          </w:tcPr>
          <w:p>
            <w:pPr>
              <w:spacing w:after="0"/>
            </w:pPr>
            <w:r>
              <w:rPr>
                <w:b/>
                <w:color w:val="FFFFFF"/>
              </w:rPr>
            </w:r>
            <w:r>
              <w:rPr>
                <w:b/>
                <w:color w:val="FFFFFF"/>
                <w:sz w:val="16"/>
              </w:rPr>
              <w:t>Why it matters</w:t>
            </w:r>
          </w:p>
        </w:tc>
        <w:tc>
          <w:tcPr>
            <w:tcW w:type="dxa" w:w="3389"/>
            <w:shd w:fill="1F4E79"/>
            <w:vAlign w:val="center"/>
          </w:tcPr>
          <w:p>
            <w:pPr>
              <w:spacing w:after="0"/>
            </w:pPr>
            <w:r>
              <w:rPr>
                <w:b/>
                <w:color w:val="FFFFFF"/>
              </w:rPr>
            </w:r>
            <w:r>
              <w:rPr>
                <w:b/>
                <w:color w:val="FFFFFF"/>
                <w:sz w:val="16"/>
              </w:rPr>
              <w:t>POC treatment</w:t>
            </w:r>
          </w:p>
        </w:tc>
      </w:tr>
      <w:tr>
        <w:tc>
          <w:tcPr>
            <w:tcW w:type="dxa" w:w="3389"/>
            <w:vAlign w:val="center"/>
          </w:tcPr>
          <w:p>
            <w:pPr>
              <w:spacing w:after="0"/>
            </w:pPr>
            <w:r/>
            <w:r>
              <w:rPr>
                <w:b/>
                <w:sz w:val="16"/>
              </w:rPr>
              <w:t>New assumption: N = 100 labeled cases is sufficient for an initial benchmark.</w:t>
            </w:r>
          </w:p>
        </w:tc>
        <w:tc>
          <w:tcPr>
            <w:tcW w:type="dxa" w:w="3389"/>
            <w:vAlign w:val="center"/>
          </w:tcPr>
          <w:p>
            <w:pPr>
              <w:spacing w:after="0"/>
            </w:pPr>
            <w:r/>
            <w:r>
              <w:rPr>
                <w:sz w:val="16"/>
              </w:rPr>
              <w:t>A small or unrepresentative corpus can make accuracy and calibration look better than they are.</w:t>
            </w:r>
          </w:p>
        </w:tc>
        <w:tc>
          <w:tcPr>
            <w:tcW w:type="dxa" w:w="3389"/>
            <w:vAlign w:val="center"/>
          </w:tcPr>
          <w:p>
            <w:pPr>
              <w:spacing w:after="0"/>
            </w:pPr>
            <w:r/>
            <w:r>
              <w:rPr>
                <w:sz w:val="16"/>
              </w:rPr>
              <w:t>Record class, language, layout, label coverage, and exclusions; increase N if coverage is weak.</w:t>
            </w:r>
          </w:p>
        </w:tc>
      </w:tr>
      <w:tr>
        <w:tc>
          <w:tcPr>
            <w:tcW w:type="dxa" w:w="3389"/>
            <w:shd w:fill="EAF2F8"/>
            <w:vAlign w:val="center"/>
          </w:tcPr>
          <w:p>
            <w:pPr>
              <w:spacing w:after="0"/>
            </w:pPr>
            <w:r/>
            <w:r>
              <w:rPr>
                <w:b/>
                <w:sz w:val="16"/>
              </w:rPr>
              <w:t>New assumption: Numeric benchmark gates will be selected before Phase 6.</w:t>
            </w:r>
          </w:p>
        </w:tc>
        <w:tc>
          <w:tcPr>
            <w:tcW w:type="dxa" w:w="3389"/>
            <w:shd w:fill="EAF2F8"/>
            <w:vAlign w:val="center"/>
          </w:tcPr>
          <w:p>
            <w:pPr>
              <w:spacing w:after="0"/>
            </w:pPr>
            <w:r/>
            <w:r>
              <w:rPr>
                <w:sz w:val="16"/>
              </w:rPr>
              <w:t>Changing thresholds after seeing results invalidates the comparison.</w:t>
            </w:r>
          </w:p>
        </w:tc>
        <w:tc>
          <w:tcPr>
            <w:tcW w:type="dxa" w:w="3389"/>
            <w:shd w:fill="EAF2F8"/>
            <w:vAlign w:val="center"/>
          </w:tcPr>
          <w:p>
            <w:pPr>
              <w:spacing w:after="0"/>
            </w:pPr>
            <w:r/>
            <w:r>
              <w:rPr>
                <w:sz w:val="16"/>
              </w:rPr>
              <w:t>Pre-register p50/p95, RSS, queue age, accuracy, and calibration thresholds in the decision record.</w:t>
            </w:r>
          </w:p>
        </w:tc>
      </w:tr>
      <w:tr>
        <w:tc>
          <w:tcPr>
            <w:tcW w:type="dxa" w:w="3389"/>
            <w:vAlign w:val="center"/>
          </w:tcPr>
          <w:p>
            <w:pPr>
              <w:spacing w:after="0"/>
            </w:pPr>
            <w:r/>
            <w:r>
              <w:rPr>
                <w:b/>
                <w:sz w:val="16"/>
              </w:rPr>
              <w:t>New assumption: One authorized Resend notification is a useful downstream-action proxy.</w:t>
            </w:r>
          </w:p>
        </w:tc>
        <w:tc>
          <w:tcPr>
            <w:tcW w:type="dxa" w:w="3389"/>
            <w:vAlign w:val="center"/>
          </w:tcPr>
          <w:p>
            <w:pPr>
              <w:spacing w:after="0"/>
            </w:pPr>
            <w:r/>
            <w:r>
              <w:rPr>
                <w:sz w:val="16"/>
              </w:rPr>
              <w:t>Notification delivery does not prove a general external business action.</w:t>
            </w:r>
          </w:p>
        </w:tc>
        <w:tc>
          <w:tcPr>
            <w:tcW w:type="dxa" w:w="3389"/>
            <w:vAlign w:val="center"/>
          </w:tcPr>
          <w:p>
            <w:pPr>
              <w:spacing w:after="0"/>
            </w:pPr>
            <w:r/>
            <w:r>
              <w:rPr>
                <w:sz w:val="16"/>
              </w:rPr>
              <w:t>Keep the action narrow; record delivery separately; do not generalize to Google Sheets, payments, or other connectors.</w:t>
            </w:r>
          </w:p>
        </w:tc>
      </w:tr>
      <w:tr>
        <w:tc>
          <w:tcPr>
            <w:tcW w:type="dxa" w:w="3389"/>
            <w:shd w:fill="EAF2F8"/>
            <w:vAlign w:val="center"/>
          </w:tcPr>
          <w:p>
            <w:pPr>
              <w:spacing w:after="0"/>
            </w:pPr>
            <w:r/>
            <w:r>
              <w:rPr>
                <w:b/>
                <w:sz w:val="16"/>
              </w:rPr>
              <w:t>New assumption: A documented REST contract is selected for the POC.</w:t>
            </w:r>
          </w:p>
        </w:tc>
        <w:tc>
          <w:tcPr>
            <w:tcW w:type="dxa" w:w="3389"/>
            <w:shd w:fill="EAF2F8"/>
            <w:vAlign w:val="center"/>
          </w:tcPr>
          <w:p>
            <w:pPr>
              <w:spacing w:after="0"/>
            </w:pPr>
            <w:r/>
            <w:r>
              <w:rPr>
                <w:sz w:val="16"/>
              </w:rPr>
              <w:t>The approved plan requires one contract choice before Phase 2.</w:t>
            </w:r>
          </w:p>
        </w:tc>
        <w:tc>
          <w:tcPr>
            <w:tcW w:type="dxa" w:w="3389"/>
            <w:shd w:fill="EAF2F8"/>
            <w:vAlign w:val="center"/>
          </w:tcPr>
          <w:p>
            <w:pPr>
              <w:spacing w:after="0"/>
            </w:pPr>
            <w:r/>
            <w:r>
              <w:rPr>
                <w:sz w:val="16"/>
              </w:rPr>
              <w:t>Record the choice and use one typed, documented contract consistently.</w:t>
            </w:r>
          </w:p>
        </w:tc>
      </w:tr>
      <w:tr>
        <w:tc>
          <w:tcPr>
            <w:tcW w:type="dxa" w:w="3389"/>
            <w:vAlign w:val="center"/>
          </w:tcPr>
          <w:p>
            <w:pPr>
              <w:spacing w:after="0"/>
            </w:pPr>
            <w:r/>
            <w:r>
              <w:rPr>
                <w:b/>
                <w:sz w:val="16"/>
              </w:rPr>
              <w:t>New assumption: Synthetic fixtures represent the launch classes and languages.</w:t>
            </w:r>
          </w:p>
        </w:tc>
        <w:tc>
          <w:tcPr>
            <w:tcW w:type="dxa" w:w="3389"/>
            <w:vAlign w:val="center"/>
          </w:tcPr>
          <w:p>
            <w:pPr>
              <w:spacing w:after="0"/>
            </w:pPr>
            <w:r/>
            <w:r>
              <w:rPr>
                <w:sz w:val="16"/>
              </w:rPr>
              <w:t>Model and routing decisions depend on fixture quality.</w:t>
            </w:r>
          </w:p>
        </w:tc>
        <w:tc>
          <w:tcPr>
            <w:tcW w:type="dxa" w:w="3389"/>
            <w:vAlign w:val="center"/>
          </w:tcPr>
          <w:p>
            <w:pPr>
              <w:spacing w:after="0"/>
            </w:pPr>
            <w:r/>
            <w:r>
              <w:rPr>
                <w:sz w:val="16"/>
              </w:rPr>
              <w:t>Maintain a corpus manifest and report unsupported or underrepresented cases.</w:t>
            </w:r>
          </w:p>
        </w:tc>
      </w:tr>
      <w:tr>
        <w:tc>
          <w:tcPr>
            <w:tcW w:type="dxa" w:w="3389"/>
            <w:shd w:fill="EAF2F8"/>
            <w:vAlign w:val="center"/>
          </w:tcPr>
          <w:p>
            <w:pPr>
              <w:spacing w:after="0"/>
            </w:pPr>
            <w:r/>
            <w:r>
              <w:rPr>
                <w:b/>
                <w:sz w:val="16"/>
              </w:rPr>
              <w:t>Resolved in v2.1 (ADR-01): PostgreSQL, backups and workers run on VM1; VM2 runs the AI Engine only, at bounded concurrency.</w:t>
            </w:r>
          </w:p>
        </w:tc>
        <w:tc>
          <w:tcPr>
            <w:tcW w:type="dxa" w:w="3389"/>
            <w:shd w:fill="EAF2F8"/>
            <w:vAlign w:val="center"/>
          </w:tcPr>
          <w:p>
            <w:pPr>
              <w:spacing w:after="0"/>
            </w:pPr>
            <w:r/>
            <w:r>
              <w:rPr>
                <w:sz w:val="16"/>
              </w:rPr>
              <w:t>Contention can cause queue growth, database instability, or data loss.</w:t>
            </w:r>
          </w:p>
        </w:tc>
        <w:tc>
          <w:tcPr>
            <w:tcW w:type="dxa" w:w="3389"/>
            <w:shd w:fill="EAF2F8"/>
            <w:vAlign w:val="center"/>
          </w:tcPr>
          <w:p>
            <w:pPr>
              <w:spacing w:after="0"/>
            </w:pPr>
            <w:r/>
            <w:r>
              <w:rPr>
                <w:sz w:val="16"/>
              </w:rPr>
              <w:t>Run mixed PostgreSQL/AI load, inspect peak RSS and queue age, and change approach if headroom is unsafe.</w:t>
            </w:r>
          </w:p>
        </w:tc>
      </w:tr>
      <w:tr>
        <w:tc>
          <w:tcPr>
            <w:tcW w:type="dxa" w:w="3389"/>
            <w:vAlign w:val="center"/>
          </w:tcPr>
          <w:p>
            <w:pPr>
              <w:spacing w:after="0"/>
            </w:pPr>
            <w:r/>
            <w:r>
              <w:rPr>
                <w:b/>
                <w:sz w:val="16"/>
              </w:rPr>
              <w:t>New assumption: A non-developer founder can obtain technical implementation support.</w:t>
            </w:r>
          </w:p>
        </w:tc>
        <w:tc>
          <w:tcPr>
            <w:tcW w:type="dxa" w:w="3389"/>
            <w:vAlign w:val="center"/>
          </w:tcPr>
          <w:p>
            <w:pPr>
              <w:spacing w:after="0"/>
            </w:pPr>
            <w:r/>
            <w:r>
              <w:rPr>
                <w:sz w:val="16"/>
              </w:rPr>
              <w:t>The founder-facing plan is designed for oversight, not unsupported systems programming.</w:t>
            </w:r>
          </w:p>
        </w:tc>
        <w:tc>
          <w:tcPr>
            <w:tcW w:type="dxa" w:w="3389"/>
            <w:vAlign w:val="center"/>
          </w:tcPr>
          <w:p>
            <w:pPr>
              <w:spacing w:after="0"/>
            </w:pPr>
            <w:r/>
            <w:r>
              <w:rPr>
                <w:sz w:val="16"/>
              </w:rPr>
              <w:t>Use phase checklists, require evidence, and do not accept verbal “looks good” as a phase exit.</w:t>
            </w:r>
          </w:p>
        </w:tc>
      </w:tr>
      <w:tr>
        <w:tc>
          <w:tcPr>
            <w:tcW w:type="dxa" w:w="3389"/>
            <w:shd w:fill="EAF2F8"/>
            <w:vAlign w:val="center"/>
          </w:tcPr>
          <w:p>
            <w:pPr>
              <w:spacing w:after="0"/>
            </w:pPr>
            <w:r/>
            <w:r>
              <w:rPr>
                <w:b/>
                <w:sz w:val="16"/>
              </w:rPr>
              <w:t>New assumption: The POC does not establish sensitive-pilot readiness.</w:t>
            </w:r>
          </w:p>
        </w:tc>
        <w:tc>
          <w:tcPr>
            <w:tcW w:type="dxa" w:w="3389"/>
            <w:shd w:fill="EAF2F8"/>
            <w:vAlign w:val="center"/>
          </w:tcPr>
          <w:p>
            <w:pPr>
              <w:spacing w:after="0"/>
            </w:pPr>
            <w:r/>
            <w:r>
              <w:rPr>
                <w:sz w:val="16"/>
              </w:rPr>
              <w:t>The POC omits codeless editing, broad integrations, scale, billing, and real data.</w:t>
            </w:r>
          </w:p>
        </w:tc>
        <w:tc>
          <w:tcPr>
            <w:tcW w:type="dxa" w:w="3389"/>
            <w:shd w:fill="EAF2F8"/>
            <w:vAlign w:val="center"/>
          </w:tcPr>
          <w:p>
            <w:pPr>
              <w:spacing w:after="0"/>
            </w:pPr>
            <w:r/>
            <w:r>
              <w:rPr>
                <w:sz w:val="16"/>
              </w:rPr>
              <w:t>Require the later restore, secret rotation, resource alert, human-correction, unsafe-stop, retention/deletion, model-audit, and incident gates before any sensitive pilot.</w:t>
            </w:r>
          </w:p>
        </w:tc>
      </w:tr>
    </w:tbl>
    <w:p>
      <w:pPr>
        <w:spacing w:after="0"/>
      </w:pPr>
    </w:p>
    <w:p>
      <w:pPr>
        <w:pStyle w:val="Heading1"/>
      </w:pPr>
      <w:r>
        <w:t>References</w:t>
      </w:r>
    </w:p>
    <w:p>
      <w:pPr>
        <w:spacing w:after="100" w:line="259" w:lineRule="auto"/>
      </w:pPr>
      <w:r>
        <w:rPr>
          <w:sz w:val="19"/>
        </w:rPr>
        <w:t>This POC uses only the five approved internal Formiva inputs. Citations refer to those source documents by title and planning section, not to local file paths.</w:t>
      </w:r>
    </w:p>
    <w:p>
      <w:pPr>
        <w:spacing w:after="100" w:line="259" w:lineRule="auto"/>
      </w:pPr>
      <w:r>
        <w:rPr>
          <w:color w:val="1F4E79"/>
          <w:sz w:val="19"/>
        </w:rPr>
        <w:t>[1]</w:t>
      </w:r>
      <w:r>
        <w:rPr>
          <w:sz w:val="19"/>
        </w:rPr>
        <w:t xml:space="preserve">: "Formiva Coding Plan, Roadmap &amp; Build Manual"  </w:t>
      </w:r>
    </w:p>
    <w:p>
      <w:pPr>
        <w:spacing w:after="100" w:line="259" w:lineRule="auto"/>
      </w:pPr>
      <w:r>
        <w:rPr>
          <w:color w:val="1F4E79"/>
          <w:sz w:val="19"/>
        </w:rPr>
        <w:t>[2]</w:t>
      </w:r>
      <w:r>
        <w:rPr>
          <w:sz w:val="19"/>
        </w:rPr>
        <w:t xml:space="preserve">: "Formiva Technical Documentation — CaseFlow Platform"  </w:t>
      </w:r>
    </w:p>
    <w:p>
      <w:pPr>
        <w:spacing w:after="100" w:line="259" w:lineRule="auto"/>
      </w:pPr>
      <w:r>
        <w:rPr>
          <w:color w:val="1F4E79"/>
          <w:sz w:val="19"/>
        </w:rPr>
        <w:t>[3]</w:t>
      </w:r>
      <w:r>
        <w:rPr>
          <w:sz w:val="19"/>
        </w:rPr>
        <w:t xml:space="preserve">: "Formiva Database Planning, Architecture &amp; Schema"  </w:t>
      </w:r>
    </w:p>
    <w:p>
      <w:pPr>
        <w:spacing w:after="100" w:line="259" w:lineRule="auto"/>
      </w:pPr>
      <w:r>
        <w:rPr>
          <w:color w:val="1F4E79"/>
          <w:sz w:val="19"/>
        </w:rPr>
        <w:t>[4]</w:t>
      </w:r>
      <w:r>
        <w:rPr>
          <w:sz w:val="19"/>
        </w:rPr>
        <w:t xml:space="preserve">: "Formiva 2.0 Redesigned Product Requirements Document"  </w:t>
      </w:r>
    </w:p>
    <w:p>
      <w:pPr>
        <w:spacing w:after="100" w:line="259" w:lineRule="auto"/>
      </w:pPr>
      <w:r>
        <w:rPr>
          <w:color w:val="1F4E79"/>
          <w:sz w:val="19"/>
        </w:rPr>
        <w:t>[5]</w:t>
      </w:r>
      <w:r>
        <w:rPr>
          <w:sz w:val="19"/>
        </w:rPr>
        <w:t>: "Formiva 2.0 Redesigned Business Plan"</w:t>
      </w:r>
    </w:p>
    <w:p>
      <w:pPr>
        <w:spacing w:after="100" w:line="259" w:lineRule="auto"/>
      </w:pPr>
      <w:r>
        <w:rPr>
          <w:sz w:val="19"/>
        </w:rPr>
        <w:t>The approved inputs are planning documents. They state that no code or deployment is included, and they do not establish a blanket compliance claim, customer-facing SLA, guaranteed accuracy, or unlimited scale.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FORMIVA 2.0  |  FORMIVA 2.0 PROOF OF CONCEPT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2.0 Proof of Concept Plan</dc:title>
  <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