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pPr>
      <w:r>
        <w:rPr>
          <w:rFonts w:ascii="Calibri" w:cs="Calibri" w:eastAsia="Calibri" w:hAnsi="Calibri"/>
          <w:b/>
          <w:bCs/>
          <w:color w:val="1F3A5F"/>
          <w:sz w:val="52"/>
          <w:szCs w:val="52"/>
        </w:rPr>
        <w:t xml:space="preserve">Formiva 2.0 Plan Review, Verdict and Change Register</w:t>
      </w:r>
    </w:p>
    <w:p>
      <w:pPr>
        <w:spacing w:after="200"/>
      </w:pPr>
      <w:r>
        <w:rPr>
          <w:rFonts w:ascii="Calibri" w:cs="Calibri" w:eastAsia="Calibri" w:hAnsi="Calibri"/>
          <w:color w:val="4B5563"/>
          <w:sz w:val="28"/>
          <w:szCs w:val="28"/>
        </w:rPr>
        <w:t xml:space="preserve">Revision 3: two separate free OCI accounts, frontend on Netlify/Vercel, generic integration framework, expanded use cases</w:t>
      </w:r>
    </w:p>
    <w:p>
      <w:pPr>
        <w:spacing w:after="40"/>
      </w:pPr>
      <w:r>
        <w:rPr>
          <w:rFonts w:ascii="Calibri" w:cs="Calibri" w:eastAsia="Calibri" w:hAnsi="Calibri"/>
          <w:color w:val="6B7280"/>
          <w:sz w:val="20"/>
          <w:szCs w:val="20"/>
        </w:rPr>
        <w:t xml:space="preserve">Version 2.1 revision 3</w:t>
      </w:r>
    </w:p>
    <w:p>
      <w:pPr>
        <w:spacing w:after="40"/>
      </w:pPr>
      <w:r>
        <w:rPr>
          <w:rFonts w:ascii="Calibri" w:cs="Calibri" w:eastAsia="Calibri" w:hAnsi="Calibri"/>
          <w:color w:val="6B7280"/>
          <w:sz w:val="20"/>
          <w:szCs w:val="20"/>
        </w:rPr>
        <w:t xml:space="preserve">Prepared 20 September 2026</w:t>
      </w:r>
    </w:p>
    <w:p>
      <w:pPr>
        <w:spacing w:after="40"/>
      </w:pPr>
      <w:r>
        <w:rPr>
          <w:rFonts w:ascii="Calibri" w:cs="Calibri" w:eastAsia="Calibri" w:hAnsi="Calibri"/>
          <w:color w:val="6B7280"/>
          <w:sz w:val="20"/>
          <w:szCs w:val="20"/>
        </w:rPr>
        <w:t xml:space="preserve">Reviewed: all 10 files in Formiva_2_0_Completely_Redesigned_POC.zip, compared with the original Formiva plan</w:t>
      </w:r>
    </w:p>
    <w:p>
      <w:pPr>
        <w:spacing w:after="40"/>
      </w:pPr>
      <w:r>
        <w:rPr>
          <w:rFonts w:ascii="Calibri" w:cs="Calibri" w:eastAsia="Calibri" w:hAnsi="Calibri"/>
          <w:color w:val="6B7280"/>
          <w:sz w:val="20"/>
          <w:szCs w:val="20"/>
        </w:rPr>
        <w:t xml:space="preserve">Status: planning document, not legal advice</w:t>
      </w:r>
    </w:p>
    <w:p>
      <w:pPr>
        <w:pBdr>
          <w:bottom w:val="single" w:color="1A56DB" w:sz="12" w:space="4"/>
        </w:pBdr>
        <w:spacing w:after="300"/>
      </w:pPr>
    </w:p>
    <w:p>
      <w:pPr>
        <w:spacing w:after="120"/>
      </w:pPr>
      <w:r>
        <w:rPr>
          <w:rFonts w:ascii="Calibri" w:cs="Calibri" w:eastAsia="Calibri" w:hAnsi="Calibri"/>
          <w:b/>
          <w:bCs/>
          <w:color w:val="1F3A5F"/>
          <w:sz w:val="30"/>
          <w:szCs w:val="30"/>
        </w:rPr>
        <w:t xml:space="preserve">Contents</w:t>
      </w:r>
    </w:p>
    <w:p>
      <w:pPr>
        <w:spacing w:after="50" w:before="70"/>
        <w:ind w:left="0"/>
      </w:pPr>
      <w:hyperlink w:history="1" w:anchor="h1">
        <w:r>
          <w:rPr>
            <w:rFonts w:ascii="Calibri" w:cs="Calibri" w:eastAsia="Calibri" w:hAnsi="Calibri"/>
            <w:b/>
            <w:bCs/>
            <w:color w:val="1F3A5F"/>
            <w:sz w:val="21"/>
            <w:szCs w:val="21"/>
          </w:rPr>
          <w:t xml:space="preserve">1. Verdict</w:t>
        </w:r>
      </w:hyperlink>
    </w:p>
    <w:p>
      <w:pPr>
        <w:spacing w:after="20" w:before="0"/>
        <w:ind w:left="380"/>
      </w:pPr>
      <w:hyperlink w:history="1" w:anchor="h2">
        <w:r>
          <w:rPr>
            <w:rFonts w:ascii="Calibri" w:cs="Calibri" w:eastAsia="Calibri" w:hAnsi="Calibri"/>
            <w:b w:val="false"/>
            <w:bCs w:val="false"/>
            <w:color w:val="374151"/>
            <w:sz w:val="19"/>
            <w:szCs w:val="19"/>
          </w:rPr>
          <w:t xml:space="preserve">1.1 Two separate free OCI accounts (your decision) — what it fixes and what it changes</w:t>
        </w:r>
      </w:hyperlink>
    </w:p>
    <w:p>
      <w:pPr>
        <w:spacing w:after="20" w:before="0"/>
        <w:ind w:left="380"/>
      </w:pPr>
      <w:hyperlink w:history="1" w:anchor="h3">
        <w:r>
          <w:rPr>
            <w:rFonts w:ascii="Calibri" w:cs="Calibri" w:eastAsia="Calibri" w:hAnsi="Calibri"/>
            <w:b w:val="false"/>
            <w:bCs w:val="false"/>
            <w:color w:val="374151"/>
            <w:sz w:val="19"/>
            <w:szCs w:val="19"/>
          </w:rPr>
          <w:t xml:space="preserve">1.2 Other blockers (all handled in the documents)</w:t>
        </w:r>
      </w:hyperlink>
    </w:p>
    <w:p>
      <w:pPr>
        <w:spacing w:after="50" w:before="70"/>
        <w:ind w:left="0"/>
      </w:pPr>
      <w:hyperlink w:history="1" w:anchor="h4">
        <w:r>
          <w:rPr>
            <w:rFonts w:ascii="Calibri" w:cs="Calibri" w:eastAsia="Calibri" w:hAnsi="Calibri"/>
            <w:b/>
            <w:bCs/>
            <w:color w:val="1F3A5F"/>
            <w:sz w:val="21"/>
            <w:szCs w:val="21"/>
          </w:rPr>
          <w:t xml:space="preserve">2. Old plan versus Formiva 2.0</w:t>
        </w:r>
      </w:hyperlink>
    </w:p>
    <w:p>
      <w:pPr>
        <w:spacing w:after="20" w:before="0"/>
        <w:ind w:left="380"/>
      </w:pPr>
      <w:hyperlink w:history="1" w:anchor="h5">
        <w:r>
          <w:rPr>
            <w:rFonts w:ascii="Calibri" w:cs="Calibri" w:eastAsia="Calibri" w:hAnsi="Calibri"/>
            <w:b w:val="false"/>
            <w:bCs w:val="false"/>
            <w:color w:val="374151"/>
            <w:sz w:val="19"/>
            <w:szCs w:val="19"/>
          </w:rPr>
          <w:t xml:space="preserve">2.2 Use cases this design supports (revised at your request)</w:t>
        </w:r>
      </w:hyperlink>
    </w:p>
    <w:p>
      <w:pPr>
        <w:spacing w:after="20" w:before="0"/>
        <w:ind w:left="380"/>
      </w:pPr>
      <w:hyperlink w:history="1" w:anchor="h6">
        <w:r>
          <w:rPr>
            <w:rFonts w:ascii="Calibri" w:cs="Calibri" w:eastAsia="Calibri" w:hAnsi="Calibri"/>
            <w:b w:val="false"/>
            <w:bCs w:val="false"/>
            <w:color w:val="374151"/>
            <w:sz w:val="19"/>
            <w:szCs w:val="19"/>
          </w:rPr>
          <w:t xml:space="preserve">2.1 Old rules restored or retired</w:t>
        </w:r>
      </w:hyperlink>
    </w:p>
    <w:p>
      <w:pPr>
        <w:spacing w:after="50" w:before="70"/>
        <w:ind w:left="0"/>
      </w:pPr>
      <w:hyperlink w:history="1" w:anchor="h7">
        <w:r>
          <w:rPr>
            <w:rFonts w:ascii="Calibri" w:cs="Calibri" w:eastAsia="Calibri" w:hAnsi="Calibri"/>
            <w:b/>
            <w:bCs/>
            <w:color w:val="1F3A5F"/>
            <w:sz w:val="21"/>
            <w:szCs w:val="21"/>
          </w:rPr>
          <w:t xml:space="preserve">3. Findings register</w:t>
        </w:r>
      </w:hyperlink>
    </w:p>
    <w:p>
      <w:pPr>
        <w:spacing w:after="50" w:before="70"/>
        <w:ind w:left="0"/>
      </w:pPr>
      <w:hyperlink w:history="1" w:anchor="h8">
        <w:r>
          <w:rPr>
            <w:rFonts w:ascii="Calibri" w:cs="Calibri" w:eastAsia="Calibri" w:hAnsi="Calibri"/>
            <w:b/>
            <w:bCs/>
            <w:color w:val="1F3A5F"/>
            <w:sz w:val="21"/>
            <w:szCs w:val="21"/>
          </w:rPr>
          <w:t xml:space="preserve">4. Cost baseline (free tier only)</w:t>
        </w:r>
      </w:hyperlink>
    </w:p>
    <w:p>
      <w:pPr>
        <w:spacing w:after="50" w:before="70"/>
        <w:ind w:left="0"/>
      </w:pPr>
      <w:hyperlink w:history="1" w:anchor="h9">
        <w:r>
          <w:rPr>
            <w:rFonts w:ascii="Calibri" w:cs="Calibri" w:eastAsia="Calibri" w:hAnsi="Calibri"/>
            <w:b/>
            <w:bCs/>
            <w:color w:val="1F3A5F"/>
            <w:sz w:val="21"/>
            <w:szCs w:val="21"/>
          </w:rPr>
          <w:t xml:space="preserve">5. Decisions applied (architecture decision records)</w:t>
        </w:r>
      </w:hyperlink>
    </w:p>
    <w:p>
      <w:pPr>
        <w:spacing w:after="50" w:before="70"/>
        <w:ind w:left="0"/>
      </w:pPr>
      <w:hyperlink w:history="1" w:anchor="h10">
        <w:r>
          <w:rPr>
            <w:rFonts w:ascii="Calibri" w:cs="Calibri" w:eastAsia="Calibri" w:hAnsi="Calibri"/>
            <w:b/>
            <w:bCs/>
            <w:color w:val="1F3A5F"/>
            <w:sz w:val="21"/>
            <w:szCs w:val="21"/>
          </w:rPr>
          <w:t xml:space="preserve">6. External facts checked on 20 September 2026</w:t>
        </w:r>
      </w:hyperlink>
    </w:p>
    <w:p>
      <w:pPr>
        <w:spacing w:after="50" w:before="70"/>
        <w:ind w:left="0"/>
      </w:pPr>
      <w:hyperlink w:history="1" w:anchor="h11">
        <w:r>
          <w:rPr>
            <w:rFonts w:ascii="Calibri" w:cs="Calibri" w:eastAsia="Calibri" w:hAnsi="Calibri"/>
            <w:b/>
            <w:bCs/>
            <w:color w:val="1F3A5F"/>
            <w:sz w:val="21"/>
            <w:szCs w:val="21"/>
          </w:rPr>
          <w:t xml:space="preserve">7. Changes made to the documents</w:t>
        </w:r>
      </w:hyperlink>
    </w:p>
    <w:p>
      <w:pPr>
        <w:spacing w:after="50" w:before="70"/>
        <w:ind w:left="0"/>
      </w:pPr>
      <w:hyperlink w:history="1" w:anchor="h12">
        <w:r>
          <w:rPr>
            <w:rFonts w:ascii="Calibri" w:cs="Calibri" w:eastAsia="Calibri" w:hAnsi="Calibri"/>
            <w:b/>
            <w:bCs/>
            <w:color w:val="1F3A5F"/>
            <w:sz w:val="21"/>
            <w:szCs w:val="21"/>
          </w:rPr>
          <w:t xml:space="preserve">8. What you should do in the next seven days</w:t>
        </w:r>
      </w:hyperlink>
    </w:p>
    <w:p>
      <w:pPr>
        <w:spacing w:after="50" w:before="70"/>
        <w:ind w:left="0"/>
      </w:pPr>
      <w:hyperlink w:history="1" w:anchor="h13">
        <w:r>
          <w:rPr>
            <w:rFonts w:ascii="Calibri" w:cs="Calibri" w:eastAsia="Calibri" w:hAnsi="Calibri"/>
            <w:b/>
            <w:bCs/>
            <w:color w:val="1F3A5F"/>
            <w:sz w:val="21"/>
            <w:szCs w:val="21"/>
          </w:rPr>
          <w:t xml:space="preserve">9. What would change this verdict</w:t>
        </w:r>
      </w:hyperlink>
    </w:p>
    <w:p>
      <w:r>
        <w:br w:type="page"/>
      </w:r>
    </w:p>
    <w:p>
      <w:pPr>
        <w:pStyle w:val="Heading1"/>
        <w:keepNext/>
      </w:pPr>
      <w:bookmarkStart w:name="h1" w:id="1"/>
      <w:r>
        <w:rPr>
          <w:rFonts w:ascii="Calibri" w:cs="Calibri" w:eastAsia="Calibri" w:hAnsi="Calibri"/>
        </w:rPr>
        <w:t xml:space="preserve">1. Verdict</w:t>
      </w:r>
      <w:bookmarkEnd w:id="1"/>
    </w:p>
    <w:p>
      <w:pPr>
        <w:spacing w:after="100" w:line="264"/>
      </w:pPr>
      <w:r>
        <w:rPr>
          <w:rFonts w:ascii="Calibri" w:cs="Calibri" w:eastAsia="Calibri" w:hAnsi="Calibri"/>
          <w:b/>
          <w:bCs/>
        </w:rPr>
        <w:t xml:space="preserve">Formiva 2.0 is clearly better than the old plan, as a business and as an engineering plan, and it is a sound base to build from. Revision 2 applies your decisions. Everything is free-tier or open source, the visual workflow editor and the integrations are back in scope, and government documents now have a proper policy that the database enforces.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333"/>
        <w:gridCol w:w="5573"/>
      </w:tblGrid>
      <w:tr>
        <w:trPr>
          <w:cantSplit/>
          <w:tblHeader/>
        </w:trPr>
        <w:tc>
          <w:tcPr>
            <w:tcW w:type="dxa" w:w="4333"/>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Question</w:t>
            </w:r>
          </w:p>
        </w:tc>
        <w:tc>
          <w:tcPr>
            <w:tcW w:type="dxa" w:w="5573"/>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Answer</w:t>
            </w:r>
          </w:p>
        </w:tc>
      </w:tr>
      <w:tr>
        <w:trPr>
          <w:cantSplit/>
          <w:tblHeader w:val="false"/>
        </w:trPr>
        <w:tc>
          <w:tcPr>
            <w:tcW w:type="dxa" w:w="433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Is 2.0 better than the old project?</w:t>
            </w:r>
          </w:p>
        </w:tc>
        <w:tc>
          <w:tcPr>
            <w:tcW w:type="dxa" w:w="557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b/>
                <w:bCs/>
                <w:sz w:val="17"/>
                <w:szCs w:val="17"/>
              </w:rPr>
              <w:t xml:space="preserve">Yes.</w:t>
            </w:r>
            <w:r>
              <w:rPr>
                <w:rFonts w:ascii="Calibri" w:cs="Calibri" w:eastAsia="Calibri" w:hAnsi="Calibri"/>
                <w:sz w:val="17"/>
                <w:szCs w:val="17"/>
              </w:rPr>
              <w:t xml:space="preserve"> One defensible wedge (employee onboarding for Indian IT and professional-services firms), validation-first sales, and a far stronger reliability and security design.</w:t>
            </w:r>
          </w:p>
        </w:tc>
      </w:tr>
      <w:tr>
        <w:trPr>
          <w:cantSplit/>
          <w:tblHeader w:val="false"/>
        </w:trPr>
        <w:tc>
          <w:tcPr>
            <w:tcW w:type="dxa" w:w="433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Is it more "featured"?</w:t>
            </w:r>
          </w:p>
        </w:tc>
        <w:tc>
          <w:tcPr>
            <w:tcW w:type="dxa" w:w="557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b/>
                <w:bCs/>
                <w:sz w:val="17"/>
                <w:szCs w:val="17"/>
              </w:rPr>
              <w:t xml:space="preserve">Deeper, and now broader again.</w:t>
            </w:r>
            <w:r>
              <w:rPr>
                <w:rFonts w:ascii="Calibri" w:cs="Calibri" w:eastAsia="Calibri" w:hAnsi="Calibri"/>
                <w:sz w:val="17"/>
                <w:szCs w:val="17"/>
              </w:rPr>
              <w:t xml:space="preserve"> Revision 2 keeps the visual workflow editor and the four integrations (Resend, signed webhooks, Google Sheets, Razorpay) in the build, as Phases 8 and 9.</w:t>
            </w:r>
          </w:p>
        </w:tc>
      </w:tr>
      <w:tr>
        <w:trPr>
          <w:cantSplit/>
          <w:tblHeader w:val="false"/>
        </w:trPr>
        <w:tc>
          <w:tcPr>
            <w:tcW w:type="dxa" w:w="433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What did you decide?</w:t>
            </w:r>
          </w:p>
        </w:tc>
        <w:tc>
          <w:tcPr>
            <w:tcW w:type="dxa" w:w="557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No paid infrastructure. VM1 2 OCPU / 12 GB and VM2 2 OCPU / 12 GB. Keep the editor. Keep the integrations. Government documents handled properly. All applied.</w:t>
            </w:r>
          </w:p>
        </w:tc>
      </w:tr>
      <w:tr>
        <w:trPr>
          <w:cantSplit/>
          <w:tblHeader w:val="false"/>
        </w:trPr>
        <w:tc>
          <w:tcPr>
            <w:tcW w:type="dxa" w:w="433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Anything I still must check?</w:t>
            </w:r>
          </w:p>
        </w:tc>
        <w:tc>
          <w:tcPr>
            <w:tcW w:type="dxa" w:w="557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b/>
                <w:bCs/>
                <w:sz w:val="17"/>
                <w:szCs w:val="17"/>
              </w:rPr>
              <w:t xml:space="preserve">One thing, on day 1:</w:t>
            </w:r>
            <w:r>
              <w:rPr>
                <w:rFonts w:ascii="Calibri" w:cs="Calibri" w:eastAsia="Calibri" w:hAnsi="Calibri"/>
                <w:sz w:val="17"/>
                <w:szCs w:val="17"/>
              </w:rPr>
              <w:t xml:space="preserve"> whether Oracle will give you those sizes for free (Section 1.1). Everything else is designed to run without payment.</w:t>
            </w:r>
          </w:p>
        </w:tc>
      </w:tr>
    </w:tbl>
    <w:p>
      <w:pPr>
        <w:spacing w:after="120"/>
      </w:pPr>
    </w:p>
    <w:p>
      <w:pPr>
        <w:pStyle w:val="Heading2"/>
        <w:keepNext/>
      </w:pPr>
      <w:bookmarkStart w:name="h2" w:id="2"/>
      <w:r>
        <w:rPr>
          <w:rFonts w:ascii="Calibri" w:cs="Calibri" w:eastAsia="Calibri" w:hAnsi="Calibri"/>
        </w:rPr>
        <w:t xml:space="preserve">1.1 Two separate free OCI accounts (your decision) — what it fixes and what it changes</w:t>
      </w:r>
      <w:bookmarkEnd w:id="2"/>
    </w:p>
    <w:p>
      <w:pPr>
        <w:spacing w:after="100" w:line="264"/>
      </w:pPr>
      <w:r>
        <w:rPr>
          <w:rFonts w:ascii="Calibri" w:cs="Calibri" w:eastAsia="Calibri" w:hAnsi="Calibri"/>
        </w:rPr>
        <w:t xml:space="preserve">Putting VM1 and VM2 on </w:t>
      </w:r>
      <w:r>
        <w:rPr>
          <w:rFonts w:ascii="Calibri" w:cs="Calibri" w:eastAsia="Calibri" w:hAnsi="Calibri"/>
          <w:b/>
          <w:bCs/>
        </w:rPr>
        <w:t xml:space="preserve">two different OCI accounts</w:t>
      </w:r>
      <w:r>
        <w:rPr>
          <w:rFonts w:ascii="Calibri" w:cs="Calibri" w:eastAsia="Calibri" w:hAnsi="Calibri"/>
        </w:rPr>
        <w:t xml:space="preserve"> actually resolves the free-storage problem from revision 2: each account gets its </w:t>
      </w:r>
      <w:r>
        <w:rPr>
          <w:rFonts w:ascii="Calibri" w:cs="Calibri" w:eastAsia="Calibri" w:hAnsi="Calibri"/>
          <w:b/>
          <w:bCs/>
        </w:rPr>
        <w:t xml:space="preserve">own</w:t>
      </w:r>
      <w:r>
        <w:rPr>
          <w:rFonts w:ascii="Calibri" w:cs="Calibri" w:eastAsia="Calibri" w:hAnsi="Calibri"/>
        </w:rPr>
        <w:t xml:space="preserve"> Always Free allowance, so </w:t>
      </w:r>
      <w:r>
        <w:rPr>
          <w:rFonts w:ascii="Calibri" w:cs="Calibri" w:eastAsia="Calibri" w:hAnsi="Calibri"/>
          <w:b/>
          <w:bCs/>
        </w:rPr>
        <w:t xml:space="preserve">200 GB on each VM (400 GB total) fits</w:t>
      </w:r>
      <w:r>
        <w:rPr>
          <w:rFonts w:ascii="Calibri" w:cs="Calibri" w:eastAsia="Calibri" w:hAnsi="Calibri"/>
        </w:rPr>
        <w:t xml:space="preserve">, and each VM can be the full 2 OCPU / 12 GB reported as the current Always Free Ampere A1 ceiling per account.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86"/>
        <w:gridCol w:w="3810"/>
        <w:gridCol w:w="3810"/>
      </w:tblGrid>
      <w:tr>
        <w:trPr>
          <w:cantSplit/>
          <w:tblHeader/>
        </w:trPr>
        <w:tc>
          <w:tcPr>
            <w:tcW w:type="dxa" w:w="2286"/>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Item</w:t>
            </w:r>
          </w:p>
        </w:tc>
        <w:tc>
          <w:tcPr>
            <w:tcW w:type="dxa" w:w="3810"/>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Revision 2 (one account)</w:t>
            </w:r>
          </w:p>
        </w:tc>
        <w:tc>
          <w:tcPr>
            <w:tcW w:type="dxa" w:w="3810"/>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Revision 3 (your decision: two accounts)</w:t>
            </w:r>
          </w:p>
        </w:tc>
      </w:tr>
      <w:tr>
        <w:trPr>
          <w:cantSplit/>
          <w:tblHeader w:val="false"/>
        </w:trPr>
        <w:tc>
          <w:tcPr>
            <w:tcW w:type="dxa" w:w="228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Storage</w:t>
            </w:r>
          </w:p>
        </w:tc>
        <w:tc>
          <w:tcPr>
            <w:tcW w:type="dxa" w:w="381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Had to split 150 + 50 GB (200 GB total limit)</w:t>
            </w:r>
          </w:p>
        </w:tc>
        <w:tc>
          <w:tcPr>
            <w:tcW w:type="dxa" w:w="381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b/>
                <w:bCs/>
                <w:sz w:val="17"/>
                <w:szCs w:val="17"/>
              </w:rPr>
              <w:t xml:space="preserve">200 GB on each VM</w:t>
            </w:r>
            <w:r>
              <w:rPr>
                <w:rFonts w:ascii="Calibri" w:cs="Calibri" w:eastAsia="Calibri" w:hAnsi="Calibri"/>
                <w:sz w:val="17"/>
                <w:szCs w:val="17"/>
              </w:rPr>
              <w:t xml:space="preserve">, as you asked</w:t>
            </w:r>
          </w:p>
        </w:tc>
      </w:tr>
      <w:tr>
        <w:trPr>
          <w:cantSplit/>
          <w:tblHeader w:val="false"/>
        </w:trPr>
        <w:tc>
          <w:tcPr>
            <w:tcW w:type="dxa" w:w="228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Compute</w:t>
            </w:r>
          </w:p>
        </w:tc>
        <w:tc>
          <w:tcPr>
            <w:tcW w:type="dxa" w:w="381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Risked exceeding a single account's 2 OCPU / 12 GB ceiling</w:t>
            </w:r>
          </w:p>
        </w:tc>
        <w:tc>
          <w:tcPr>
            <w:tcW w:type="dxa" w:w="381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Each account supplies its own 2 OCPU / 12 GB</w:t>
            </w:r>
          </w:p>
        </w:tc>
      </w:tr>
      <w:tr>
        <w:trPr>
          <w:cantSplit/>
          <w:tblHeader w:val="false"/>
        </w:trPr>
        <w:tc>
          <w:tcPr>
            <w:tcW w:type="dxa" w:w="228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Network between VM1 and VM2</w:t>
            </w:r>
          </w:p>
        </w:tc>
        <w:tc>
          <w:tcPr>
            <w:tcW w:type="dxa" w:w="381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Private VCN, NSG rule restricting VM2 to VM1's private IP</w:t>
            </w:r>
          </w:p>
        </w:tc>
        <w:tc>
          <w:tcPr>
            <w:tcW w:type="dxa" w:w="381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b/>
                <w:bCs/>
                <w:sz w:val="17"/>
                <w:szCs w:val="17"/>
              </w:rPr>
              <w:t xml:space="preserve">Changes: two accounts means two separate VCNs that cannot be privately peered for free.</w:t>
            </w:r>
            <w:r>
              <w:rPr>
                <w:rFonts w:ascii="Calibri" w:cs="Calibri" w:eastAsia="Calibri" w:hAnsi="Calibri"/>
                <w:sz w:val="17"/>
                <w:szCs w:val="17"/>
              </w:rPr>
              <w:t xml:space="preserve"> Traffic between VM1 and VM2 now travels over the public internet through two independent Cloudflare Tunnels, authenticated by Cloudflare Access (service token) plus the existing request signing (ADR-15, Section 5)</w:t>
            </w:r>
          </w:p>
        </w:tc>
      </w:tr>
    </w:tbl>
    <w:p>
      <w:pPr>
        <w:spacing w:after="120"/>
      </w:pPr>
    </w:p>
    <w:p>
      <w:pPr>
        <w:pBdr>
          <w:left w:val="single" w:color="1A56DB" w:sz="24" w:space="6"/>
        </w:pBdr>
        <w:shd w:fill="E8EEF7" w:color="auto" w:val="clear"/>
        <w:spacing w:after="40" w:line="252"/>
        <w:ind w:left="160" w:right="100"/>
      </w:pPr>
      <w:r>
        <w:rPr>
          <w:rFonts w:ascii="Calibri" w:cs="Calibri" w:eastAsia="Calibri" w:hAnsi="Calibri"/>
          <w:b/>
          <w:bCs/>
          <w:sz w:val="20"/>
          <w:szCs w:val="20"/>
        </w:rPr>
        <w:t xml:space="preserve">One thing to check, not a blocker:</w:t>
      </w:r>
      <w:r>
        <w:rPr>
          <w:rFonts w:ascii="Calibri" w:cs="Calibri" w:eastAsia="Calibri" w:hAnsi="Calibri"/>
          <w:sz w:val="20"/>
          <w:szCs w:val="20"/>
        </w:rPr>
        <w:t xml:space="preserve"> Oracle's Always Free terms are generally described as one Always Free account per person or verification method. Running two Always Free accounts under your own name is between you and Oracle's terms of service — I can't confirm compliance either way, so treat it as something to check (for example, register the second account under a different verified identity you're entitled to use, such as a co-founder or the company itself, if Oracle's terms require that). If Oracle later merges, suspends or otherwise flags either account, the same fallback ladder applies (Technical Documentation section 8.6): degrade AI to "lite" mode, or restore the latest encrypted backup onto a replacement free instance.</w:t>
      </w:r>
    </w:p>
    <w:p>
      <w:pPr>
        <w:spacing w:after="100"/>
      </w:pPr>
    </w:p>
    <w:p>
      <w:pPr>
        <w:pStyle w:val="Heading2"/>
        <w:keepNext/>
      </w:pPr>
      <w:bookmarkStart w:name="h3" w:id="3"/>
      <w:r>
        <w:rPr>
          <w:rFonts w:ascii="Calibri" w:cs="Calibri" w:eastAsia="Calibri" w:hAnsi="Calibri"/>
        </w:rPr>
        <w:t xml:space="preserve">1.2 Other blockers (all handled in the documents)</w:t>
      </w:r>
      <w:bookmarkEnd w:id="3"/>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78"/>
        <w:gridCol w:w="4413"/>
        <w:gridCol w:w="4415"/>
      </w:tblGrid>
      <w:tr>
        <w:trPr>
          <w:cantSplit/>
          <w:tblHeader/>
        </w:trPr>
        <w:tc>
          <w:tcPr>
            <w:tcW w:type="dxa" w:w="1078"/>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w:t>
            </w:r>
          </w:p>
        </w:tc>
        <w:tc>
          <w:tcPr>
            <w:tcW w:type="dxa" w:w="4413"/>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Blocker</w:t>
            </w:r>
          </w:p>
        </w:tc>
        <w:tc>
          <w:tcPr>
            <w:tcW w:type="dxa" w:w="4415"/>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Fix</w:t>
            </w:r>
          </w:p>
        </w:tc>
      </w:tr>
      <w:tr>
        <w:trPr>
          <w:cantSplit/>
          <w:tblHeader w:val="false"/>
        </w:trPr>
        <w:tc>
          <w:tcPr>
            <w:tcW w:type="dxa" w:w="1078"/>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B1</w:t>
            </w:r>
          </w:p>
        </w:tc>
        <w:tc>
          <w:tcPr>
            <w:tcW w:type="dxa" w:w="441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Vercel Hobby is restricted to non-commercial use, so it cannot host a paid product for free</w:t>
            </w:r>
          </w:p>
        </w:tc>
        <w:tc>
          <w:tcPr>
            <w:tcW w:type="dxa" w:w="441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b/>
                <w:bCs/>
                <w:sz w:val="17"/>
                <w:szCs w:val="17"/>
              </w:rPr>
              <w:t xml:space="preserve">ADR-13:</w:t>
            </w:r>
            <w:r>
              <w:rPr>
                <w:rFonts w:ascii="Calibri" w:cs="Calibri" w:eastAsia="Calibri" w:hAnsi="Calibri"/>
                <w:sz w:val="17"/>
                <w:szCs w:val="17"/>
              </w:rPr>
              <w:t xml:space="preserve"> the web application runs as a container on VM1 behind the free Cloudflare Tunnel. No Vercel</w:t>
            </w:r>
          </w:p>
        </w:tc>
      </w:tr>
      <w:tr>
        <w:trPr>
          <w:cantSplit/>
          <w:tblHeader w:val="false"/>
        </w:trPr>
        <w:tc>
          <w:tcPr>
            <w:tcW w:type="dxa" w:w="1078"/>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B2</w:t>
            </w:r>
          </w:p>
        </w:tc>
        <w:tc>
          <w:tcPr>
            <w:tcW w:type="dxa" w:w="441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Database and AI model shared one VM</w:t>
            </w:r>
          </w:p>
        </w:tc>
        <w:tc>
          <w:tcPr>
            <w:tcW w:type="dxa" w:w="441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b/>
                <w:bCs/>
                <w:sz w:val="17"/>
                <w:szCs w:val="17"/>
              </w:rPr>
              <w:t xml:space="preserve">ADR-01:</w:t>
            </w:r>
            <w:r>
              <w:rPr>
                <w:rFonts w:ascii="Calibri" w:cs="Calibri" w:eastAsia="Calibri" w:hAnsi="Calibri"/>
                <w:sz w:val="17"/>
                <w:szCs w:val="17"/>
              </w:rPr>
              <w:t xml:space="preserve"> PostgreSQL on VM1, VM2 AI-only (two VMs, no third)</w:t>
            </w:r>
          </w:p>
        </w:tc>
      </w:tr>
      <w:tr>
        <w:trPr>
          <w:cantSplit/>
          <w:tblHeader w:val="false"/>
        </w:trPr>
        <w:tc>
          <w:tcPr>
            <w:tcW w:type="dxa" w:w="1078"/>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B3</w:t>
            </w:r>
          </w:p>
        </w:tc>
        <w:tc>
          <w:tcPr>
            <w:tcW w:type="dxa" w:w="441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Scope and calendar disagreed; editor and integrations add weeks</w:t>
            </w:r>
          </w:p>
        </w:tc>
        <w:tc>
          <w:tcPr>
            <w:tcW w:type="dxa" w:w="441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One reconciled calendar (Coding Plan section 9). The POC is still 8 weeks; the editor and integrations add about 6 weeks before hardening; pilots start in mid-February 2027</w:t>
            </w:r>
          </w:p>
        </w:tc>
      </w:tr>
      <w:tr>
        <w:trPr>
          <w:cantSplit/>
          <w:tblHeader w:val="false"/>
        </w:trPr>
        <w:tc>
          <w:tcPr>
            <w:tcW w:type="dxa" w:w="1078"/>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B4</w:t>
            </w:r>
          </w:p>
        </w:tc>
        <w:tc>
          <w:tcPr>
            <w:tcW w:type="dxa" w:w="441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Government-ID rules from the old plan were dropped; Server #1 uses SSH password login and NOPASSWD:ALL</w:t>
            </w:r>
          </w:p>
        </w:tc>
        <w:tc>
          <w:tcPr>
            <w:tcW w:type="dxa" w:w="441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b/>
                <w:bCs/>
                <w:sz w:val="17"/>
                <w:szCs w:val="17"/>
              </w:rPr>
              <w:t xml:space="preserve">ADR-14:</w:t>
            </w:r>
            <w:r>
              <w:rPr>
                <w:rFonts w:ascii="Calibri" w:cs="Calibri" w:eastAsia="Calibri" w:hAnsi="Calibri"/>
                <w:sz w:val="17"/>
                <w:szCs w:val="17"/>
              </w:rPr>
              <w:t xml:space="preserve"> Government Documents Policy, enforced by database migration 007. SSH hardening is the first Phase 1 task</w:t>
            </w:r>
          </w:p>
        </w:tc>
      </w:tr>
      <w:tr>
        <w:trPr>
          <w:cantSplit/>
          <w:tblHeader w:val="false"/>
        </w:trPr>
        <w:tc>
          <w:tcPr>
            <w:tcW w:type="dxa" w:w="1078"/>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B5</w:t>
            </w:r>
          </w:p>
        </w:tc>
        <w:tc>
          <w:tcPr>
            <w:tcW w:type="dxa" w:w="441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VM1 and VM2 on separate accounts means no free private network between them</w:t>
            </w:r>
          </w:p>
        </w:tc>
        <w:tc>
          <w:tcPr>
            <w:tcW w:type="dxa" w:w="441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b/>
                <w:bCs/>
                <w:sz w:val="17"/>
                <w:szCs w:val="17"/>
              </w:rPr>
              <w:t xml:space="preserve">ADR-15:</w:t>
            </w:r>
            <w:r>
              <w:rPr>
                <w:rFonts w:ascii="Calibri" w:cs="Calibri" w:eastAsia="Calibri" w:hAnsi="Calibri"/>
                <w:sz w:val="17"/>
                <w:szCs w:val="17"/>
              </w:rPr>
              <w:t xml:space="preserve"> both VMs keep their own Cloudflare Tunnel; VM1 reaches the AI Engine through a Cloudflare Access-protected hostname (service token) plus HMAC request signing, instead of a private VCN route</w:t>
            </w:r>
          </w:p>
        </w:tc>
      </w:tr>
    </w:tbl>
    <w:p>
      <w:pPr>
        <w:spacing w:after="120"/>
      </w:pPr>
    </w:p>
    <w:p>
      <w:pPr>
        <w:pStyle w:val="Heading1"/>
        <w:keepNext/>
      </w:pPr>
      <w:bookmarkStart w:name="h4" w:id="4"/>
      <w:r>
        <w:rPr>
          <w:rFonts w:ascii="Calibri" w:cs="Calibri" w:eastAsia="Calibri" w:hAnsi="Calibri"/>
        </w:rPr>
        <w:t xml:space="preserve">2. Old plan versus Formiva 2.0</w:t>
      </w:r>
      <w:bookmarkEnd w:id="4"/>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366"/>
        <w:gridCol w:w="3074"/>
        <w:gridCol w:w="3074"/>
        <w:gridCol w:w="2392"/>
      </w:tblGrid>
      <w:tr>
        <w:trPr>
          <w:cantSplit/>
          <w:tblHeader/>
        </w:trPr>
        <w:tc>
          <w:tcPr>
            <w:tcW w:type="dxa" w:w="1366"/>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Dimension</w:t>
            </w:r>
          </w:p>
        </w:tc>
        <w:tc>
          <w:tcPr>
            <w:tcW w:type="dxa" w:w="3074"/>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Old plan</w:t>
            </w:r>
          </w:p>
        </w:tc>
        <w:tc>
          <w:tcPr>
            <w:tcW w:type="dxa" w:w="3074"/>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Formiva 2.0 (revision 2)</w:t>
            </w:r>
          </w:p>
        </w:tc>
        <w:tc>
          <w:tcPr>
            <w:tcW w:type="dxa" w:w="2392"/>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Better</w:t>
            </w:r>
          </w:p>
        </w:tc>
      </w:tr>
      <w:tr>
        <w:trPr>
          <w:cantSplit/>
          <w:tblHeader w:val="false"/>
        </w:trPr>
        <w:tc>
          <w:tcPr>
            <w:tcW w:type="dxa" w:w="136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Positioning</w:t>
            </w:r>
          </w:p>
        </w:tc>
        <w:tc>
          <w:tcPr>
            <w:tcW w:type="dxa" w:w="307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"Universal Form-to-Workflow Platform"</w:t>
            </w:r>
          </w:p>
        </w:tc>
        <w:tc>
          <w:tcPr>
            <w:tcW w:type="dxa" w:w="307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Focused intake-to-outcome CaseFlow for employee onboarding</w:t>
            </w:r>
          </w:p>
        </w:tc>
        <w:tc>
          <w:tcPr>
            <w:tcW w:type="dxa" w:w="239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b/>
                <w:bCs/>
                <w:sz w:val="17"/>
                <w:szCs w:val="17"/>
              </w:rPr>
              <w:t xml:space="preserve">2.0</w:t>
            </w:r>
          </w:p>
        </w:tc>
      </w:tr>
      <w:tr>
        <w:trPr>
          <w:cantSplit/>
          <w:tblHeader w:val="false"/>
        </w:trPr>
        <w:tc>
          <w:tcPr>
            <w:tcW w:type="dxa" w:w="136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Launch scope</w:t>
            </w:r>
          </w:p>
        </w:tc>
        <w:tc>
          <w:tcPr>
            <w:tcW w:type="dxa" w:w="307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Two engines, 50 SEO templates</w:t>
            </w:r>
          </w:p>
        </w:tc>
        <w:tc>
          <w:tcPr>
            <w:tcW w:type="dxa" w:w="307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One workflow, plus the editor and integrations; WhatsApp commerce a separate gated experiment</w:t>
            </w:r>
          </w:p>
        </w:tc>
        <w:tc>
          <w:tcPr>
            <w:tcW w:type="dxa" w:w="239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b/>
                <w:bCs/>
                <w:sz w:val="17"/>
                <w:szCs w:val="17"/>
              </w:rPr>
              <w:t xml:space="preserve">2.0</w:t>
            </w:r>
          </w:p>
        </w:tc>
      </w:tr>
      <w:tr>
        <w:trPr>
          <w:cantSplit/>
          <w:tblHeader w:val="false"/>
        </w:trPr>
        <w:tc>
          <w:tcPr>
            <w:tcW w:type="dxa" w:w="136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Customer</w:t>
            </w:r>
          </w:p>
        </w:tc>
        <w:tc>
          <w:tcPr>
            <w:tcW w:type="dxa" w:w="307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IT firms, SMBs, startups, schools</w:t>
            </w:r>
          </w:p>
        </w:tc>
        <w:tc>
          <w:tcPr>
            <w:tcW w:type="dxa" w:w="307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Indian IT and professional-services firms with 10-100 staff</w:t>
            </w:r>
          </w:p>
        </w:tc>
        <w:tc>
          <w:tcPr>
            <w:tcW w:type="dxa" w:w="239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b/>
                <w:bCs/>
                <w:sz w:val="17"/>
                <w:szCs w:val="17"/>
              </w:rPr>
              <w:t xml:space="preserve">2.0</w:t>
            </w:r>
            <w:r>
              <w:rPr>
                <w:rFonts w:ascii="Calibri" w:cs="Calibri" w:eastAsia="Calibri" w:hAnsi="Calibri"/>
                <w:sz w:val="17"/>
                <w:szCs w:val="17"/>
              </w:rPr>
              <w:t xml:space="preserve"> (schools bring children's data)</w:t>
            </w:r>
          </w:p>
        </w:tc>
      </w:tr>
      <w:tr>
        <w:trPr>
          <w:cantSplit/>
          <w:tblHeader w:val="false"/>
        </w:trPr>
        <w:tc>
          <w:tcPr>
            <w:tcW w:type="dxa" w:w="136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Go-to-market</w:t>
            </w:r>
          </w:p>
        </w:tc>
        <w:tc>
          <w:tcPr>
            <w:tcW w:type="dxa" w:w="307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SEO pages, free tier badge, three beta customers</w:t>
            </w:r>
          </w:p>
        </w:tc>
        <w:tc>
          <w:tcPr>
            <w:tcW w:type="dxa" w:w="307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Founder-led diagnostic, baseline, paid pilot</w:t>
            </w:r>
          </w:p>
        </w:tc>
        <w:tc>
          <w:tcPr>
            <w:tcW w:type="dxa" w:w="239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b/>
                <w:bCs/>
                <w:sz w:val="17"/>
                <w:szCs w:val="17"/>
              </w:rPr>
              <w:t xml:space="preserve">2.0</w:t>
            </w:r>
          </w:p>
        </w:tc>
      </w:tr>
      <w:tr>
        <w:trPr>
          <w:cantSplit/>
          <w:tblHeader w:val="false"/>
        </w:trPr>
        <w:tc>
          <w:tcPr>
            <w:tcW w:type="dxa" w:w="136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AI design</w:t>
            </w:r>
          </w:p>
        </w:tc>
        <w:tc>
          <w:tcPr>
            <w:tcW w:type="dxa" w:w="307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Three self-hosted models on CPU</w:t>
            </w:r>
          </w:p>
        </w:tc>
        <w:tc>
          <w:tcPr>
            <w:tcW w:type="dxa" w:w="307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One small model, per-class calibration, evidence, human review, backend routing</w:t>
            </w:r>
          </w:p>
        </w:tc>
        <w:tc>
          <w:tcPr>
            <w:tcW w:type="dxa" w:w="239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b/>
                <w:bCs/>
                <w:sz w:val="17"/>
                <w:szCs w:val="17"/>
              </w:rPr>
              <w:t xml:space="preserve">2.0</w:t>
            </w:r>
          </w:p>
        </w:tc>
      </w:tr>
      <w:tr>
        <w:trPr>
          <w:cantSplit/>
          <w:tblHeader w:val="false"/>
        </w:trPr>
        <w:tc>
          <w:tcPr>
            <w:tcW w:type="dxa" w:w="136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Reliability</w:t>
            </w:r>
          </w:p>
        </w:tc>
        <w:tc>
          <w:tcPr>
            <w:tcW w:type="dxa" w:w="307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Not specified</w:t>
            </w:r>
          </w:p>
        </w:tc>
        <w:tc>
          <w:tcPr>
            <w:tcW w:type="dxa" w:w="307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Leases, idempotency, dead letters, safe replay</w:t>
            </w:r>
          </w:p>
        </w:tc>
        <w:tc>
          <w:tcPr>
            <w:tcW w:type="dxa" w:w="239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b/>
                <w:bCs/>
                <w:sz w:val="17"/>
                <w:szCs w:val="17"/>
              </w:rPr>
              <w:t xml:space="preserve">2.0</w:t>
            </w:r>
          </w:p>
        </w:tc>
      </w:tr>
      <w:tr>
        <w:trPr>
          <w:cantSplit/>
          <w:tblHeader w:val="false"/>
        </w:trPr>
        <w:tc>
          <w:tcPr>
            <w:tcW w:type="dxa" w:w="136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Security and privacy</w:t>
            </w:r>
          </w:p>
        </w:tc>
        <w:tc>
          <w:tcPr>
            <w:tcW w:type="dxa" w:w="307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Four locked rules</w:t>
            </w:r>
          </w:p>
        </w:tc>
        <w:tc>
          <w:tcPr>
            <w:tcW w:type="dxa" w:w="307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Full control set, plus a Government Documents Policy enforced by the database</w:t>
            </w:r>
          </w:p>
        </w:tc>
        <w:tc>
          <w:tcPr>
            <w:tcW w:type="dxa" w:w="239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b/>
                <w:bCs/>
                <w:sz w:val="17"/>
                <w:szCs w:val="17"/>
              </w:rPr>
              <w:t xml:space="preserve">2.0</w:t>
            </w:r>
          </w:p>
        </w:tc>
      </w:tr>
      <w:tr>
        <w:trPr>
          <w:cantSplit/>
          <w:tblHeader w:val="false"/>
        </w:trPr>
        <w:tc>
          <w:tcPr>
            <w:tcW w:type="dxa" w:w="136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Infrastructure</w:t>
            </w:r>
          </w:p>
        </w:tc>
        <w:tc>
          <w:tcPr>
            <w:tcW w:type="dxa" w:w="307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Free tier everywhere</w:t>
            </w:r>
          </w:p>
        </w:tc>
        <w:tc>
          <w:tcPr>
            <w:tcW w:type="dxa" w:w="307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Free tier and open source only, on two separate Always Free accounts, with a fallback ladder</w:t>
            </w:r>
          </w:p>
        </w:tc>
        <w:tc>
          <w:tcPr>
            <w:tcW w:type="dxa" w:w="239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Same intent; now verified</w:t>
            </w:r>
          </w:p>
        </w:tc>
      </w:tr>
      <w:tr>
        <w:trPr>
          <w:cantSplit/>
          <w:tblHeader w:val="false"/>
        </w:trPr>
        <w:tc>
          <w:tcPr>
            <w:tcW w:type="dxa" w:w="136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Frontend hosting</w:t>
            </w:r>
          </w:p>
        </w:tc>
        <w:tc>
          <w:tcPr>
            <w:tcW w:type="dxa" w:w="307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Not specified</w:t>
            </w:r>
          </w:p>
        </w:tc>
        <w:tc>
          <w:tcPr>
            <w:tcW w:type="dxa" w:w="307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b/>
                <w:bCs/>
                <w:sz w:val="17"/>
                <w:szCs w:val="17"/>
              </w:rPr>
              <w:t xml:space="preserve">Netlify free tier</w:t>
            </w:r>
            <w:r>
              <w:rPr>
                <w:rFonts w:ascii="Calibri" w:cs="Calibri" w:eastAsia="Calibri" w:hAnsi="Calibri"/>
                <w:sz w:val="17"/>
                <w:szCs w:val="17"/>
              </w:rPr>
              <w:t xml:space="preserve"> (commercial use permitted), with Vercel Hobby only as a non-commercial fallback</w:t>
            </w:r>
          </w:p>
        </w:tc>
        <w:tc>
          <w:tcPr>
            <w:tcW w:type="dxa" w:w="239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New</w:t>
            </w:r>
          </w:p>
        </w:tc>
      </w:tr>
      <w:tr>
        <w:trPr>
          <w:cantSplit/>
          <w:tblHeader w:val="false"/>
        </w:trPr>
        <w:tc>
          <w:tcPr>
            <w:tcW w:type="dxa" w:w="136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Integrations</w:t>
            </w:r>
          </w:p>
        </w:tc>
        <w:tc>
          <w:tcPr>
            <w:tcW w:type="dxa" w:w="307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Four named adapters</w:t>
            </w:r>
          </w:p>
        </w:tc>
        <w:tc>
          <w:tcPr>
            <w:tcW w:type="dxa" w:w="307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Same four adapters, plus a </w:t>
            </w:r>
            <w:r>
              <w:rPr>
                <w:rFonts w:ascii="Calibri" w:cs="Calibri" w:eastAsia="Calibri" w:hAnsi="Calibri"/>
                <w:b/>
                <w:bCs/>
                <w:sz w:val="17"/>
                <w:szCs w:val="17"/>
              </w:rPr>
              <w:t xml:space="preserve">generic connector framework</w:t>
            </w:r>
            <w:r>
              <w:rPr>
                <w:rFonts w:ascii="Calibri" w:cs="Calibri" w:eastAsia="Calibri" w:hAnsi="Calibri"/>
                <w:sz w:val="17"/>
                <w:szCs w:val="17"/>
              </w:rPr>
              <w:t xml:space="preserve"> so any ticketing tool, CRM, HRMS, LMS or university/SIS system can be connected without a schema change</w:t>
            </w:r>
          </w:p>
        </w:tc>
        <w:tc>
          <w:tcPr>
            <w:tcW w:type="dxa" w:w="239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New (Section 2.2)</w:t>
            </w:r>
          </w:p>
        </w:tc>
      </w:tr>
      <w:tr>
        <w:trPr>
          <w:cantSplit/>
          <w:tblHeader w:val="false"/>
        </w:trPr>
        <w:tc>
          <w:tcPr>
            <w:tcW w:type="dxa" w:w="136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Backend stack</w:t>
            </w:r>
          </w:p>
        </w:tc>
        <w:tc>
          <w:tcPr>
            <w:tcW w:type="dxa" w:w="307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FastAPI, SQLAlchemy, Celery, Redis</w:t>
            </w:r>
          </w:p>
        </w:tc>
        <w:tc>
          <w:tcPr>
            <w:tcW w:type="dxa" w:w="307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Node/TypeScript, Python only for the AI Engine</w:t>
            </w:r>
          </w:p>
        </w:tc>
        <w:tc>
          <w:tcPr>
            <w:tcW w:type="dxa" w:w="239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Different; costs a re-scaffold</w:t>
            </w:r>
          </w:p>
        </w:tc>
      </w:tr>
      <w:tr>
        <w:trPr>
          <w:cantSplit/>
          <w:tblHeader w:val="false"/>
        </w:trPr>
        <w:tc>
          <w:tcPr>
            <w:tcW w:type="dxa" w:w="136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Breadth of features</w:t>
            </w:r>
          </w:p>
        </w:tc>
        <w:tc>
          <w:tcPr>
            <w:tcW w:type="dxa" w:w="307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Broad, shallow</w:t>
            </w:r>
          </w:p>
        </w:tc>
        <w:tc>
          <w:tcPr>
            <w:tcW w:type="dxa" w:w="307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Broad again (editor, integrations) and deep</w:t>
            </w:r>
          </w:p>
        </w:tc>
        <w:tc>
          <w:tcPr>
            <w:tcW w:type="dxa" w:w="239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See Section 1</w:t>
            </w:r>
          </w:p>
        </w:tc>
      </w:tr>
    </w:tbl>
    <w:p>
      <w:pPr>
        <w:spacing w:after="120"/>
      </w:pPr>
    </w:p>
    <w:p>
      <w:pPr>
        <w:pStyle w:val="Heading2"/>
        <w:keepNext/>
      </w:pPr>
      <w:bookmarkStart w:name="h5" w:id="5"/>
      <w:r>
        <w:rPr>
          <w:rFonts w:ascii="Calibri" w:cs="Calibri" w:eastAsia="Calibri" w:hAnsi="Calibri"/>
        </w:rPr>
        <w:t xml:space="preserve">2.2 Use cases this design supports (revised at your request)</w:t>
      </w:r>
      <w:bookmarkEnd w:id="5"/>
    </w:p>
    <w:p>
      <w:pPr>
        <w:spacing w:after="100" w:line="264"/>
      </w:pPr>
      <w:r>
        <w:rPr>
          <w:rFonts w:ascii="Calibri" w:cs="Calibri" w:eastAsia="Calibri" w:hAnsi="Calibri"/>
        </w:rPr>
        <w:t xml:space="preserve">You asked for the framing to move beyond HR. Formiva's core mechanism — submit, AI reads the documents, the backend routes it, a human reviews or approves, one audited action runs — has nothing HR-specific in it; HR was only the first wedge chosen for go-to-market reasons (Business Plan, Section 2). Revised to five use cases: your three plus one I researched and added (row 4).</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
        <w:gridCol w:w="2333"/>
        <w:gridCol w:w="2333"/>
        <w:gridCol w:w="2333"/>
        <w:gridCol w:w="2337"/>
      </w:tblGrid>
      <w:tr>
        <w:trPr>
          <w:cantSplit/>
          <w:tblHeader/>
        </w:trPr>
        <w:tc>
          <w:tcPr>
            <w:tcW w:type="dxa" w:w="570"/>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w:t>
            </w:r>
          </w:p>
        </w:tc>
        <w:tc>
          <w:tcPr>
            <w:tcW w:type="dxa" w:w="2333"/>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Use case</w:t>
            </w:r>
          </w:p>
        </w:tc>
        <w:tc>
          <w:tcPr>
            <w:tcW w:type="dxa" w:w="2333"/>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Real examples</w:t>
            </w:r>
          </w:p>
        </w:tc>
        <w:tc>
          <w:tcPr>
            <w:tcW w:type="dxa" w:w="2333"/>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What changes from the onboarding build</w:t>
            </w:r>
          </w:p>
        </w:tc>
        <w:tc>
          <w:tcPr>
            <w:tcW w:type="dxa" w:w="2337"/>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Status</w:t>
            </w:r>
          </w:p>
        </w:tc>
      </w:tr>
      <w:tr>
        <w:trPr>
          <w:cantSplit/>
          <w:tblHeader w:val="false"/>
        </w:trPr>
        <w:tc>
          <w:tcPr>
            <w:tcW w:type="dxa" w:w="57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1</w:t>
            </w:r>
          </w:p>
        </w:tc>
        <w:tc>
          <w:tcPr>
            <w:tcW w:type="dxa" w:w="233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b/>
                <w:bCs/>
                <w:sz w:val="17"/>
                <w:szCs w:val="17"/>
              </w:rPr>
              <w:t xml:space="preserve">Employee onboarding</w:t>
            </w:r>
          </w:p>
        </w:tc>
        <w:tc>
          <w:tcPr>
            <w:tcW w:type="dxa" w:w="233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New-hire document collection and verification for an IT or professional-services firm</w:t>
            </w:r>
          </w:p>
        </w:tc>
        <w:tc>
          <w:tcPr>
            <w:tcW w:type="dxa" w:w="233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The launch wedge; everything in this package is built for it first</w:t>
            </w:r>
          </w:p>
        </w:tc>
        <w:tc>
          <w:tcPr>
            <w:tcW w:type="dxa" w:w="2337"/>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Phases 0-7</w:t>
            </w:r>
          </w:p>
        </w:tc>
      </w:tr>
      <w:tr>
        <w:trPr>
          <w:cantSplit/>
          <w:tblHeader w:val="false"/>
        </w:trPr>
        <w:tc>
          <w:tcPr>
            <w:tcW w:type="dxa" w:w="57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2</w:t>
            </w:r>
          </w:p>
        </w:tc>
        <w:tc>
          <w:tcPr>
            <w:tcW w:type="dxa" w:w="233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b/>
                <w:bCs/>
                <w:sz w:val="17"/>
                <w:szCs w:val="17"/>
              </w:rPr>
              <w:t xml:space="preserve">Customer, client or vendor onboarding</w:t>
            </w:r>
          </w:p>
        </w:tc>
        <w:tc>
          <w:tcPr>
            <w:tcW w:type="dxa" w:w="233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Opening an account for a new client, registering a new supplier or vendor, signing on a new partner, light KYC-style intake for a services business</w:t>
            </w:r>
          </w:p>
        </w:tc>
        <w:tc>
          <w:tcPr>
            <w:tcW w:type="dxa" w:w="233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Same case, document, review and approval mechanism; new form definitions and workflow JSON per process; identity-document handling already covers this (Section 7.11); no new database tables</w:t>
            </w:r>
          </w:p>
        </w:tc>
        <w:tc>
          <w:tcPr>
            <w:tcW w:type="dxa" w:w="2337"/>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Built as a new workflow definition once employee onboarding is proven (after Phase 11), or earlier if a pilot customer asks for it</w:t>
            </w:r>
          </w:p>
        </w:tc>
      </w:tr>
      <w:tr>
        <w:trPr>
          <w:cantSplit/>
          <w:tblHeader w:val="false"/>
        </w:trPr>
        <w:tc>
          <w:tcPr>
            <w:tcW w:type="dxa" w:w="57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3</w:t>
            </w:r>
          </w:p>
        </w:tc>
        <w:tc>
          <w:tcPr>
            <w:tcW w:type="dxa" w:w="233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b/>
                <w:bCs/>
                <w:sz w:val="17"/>
                <w:szCs w:val="17"/>
              </w:rPr>
              <w:t xml:space="preserve">Internal and external approvals</w:t>
            </w:r>
          </w:p>
        </w:tc>
        <w:tc>
          <w:tcPr>
            <w:tcW w:type="dxa" w:w="233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 purchase requisition, a vendor or contract approval, a policy exception, a budget sign-off, an access request</w:t>
            </w:r>
          </w:p>
        </w:tc>
        <w:tc>
          <w:tcPr>
            <w:tcW w:type="dxa" w:w="233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Already general in the schema: </w:t>
            </w:r>
            <w:r>
              <w:rPr>
                <w:rFonts w:ascii="Consolas" w:cs="Consolas" w:eastAsia="Consolas" w:hAnsi="Consolas"/>
                <w:color w:val="9F1239"/>
                <w:sz w:val="15"/>
                <w:szCs w:val="15"/>
              </w:rPr>
              <w:t xml:space="preserve">approvals</w:t>
            </w:r>
            <w:r>
              <w:rPr>
                <w:rFonts w:ascii="Calibri" w:cs="Calibri" w:eastAsia="Calibri" w:hAnsi="Calibri"/>
                <w:sz w:val="17"/>
                <w:szCs w:val="17"/>
              </w:rPr>
              <w:t xml:space="preserve">, </w:t>
            </w:r>
            <w:r>
              <w:rPr>
                <w:rFonts w:ascii="Consolas" w:cs="Consolas" w:eastAsia="Consolas" w:hAnsi="Consolas"/>
                <w:color w:val="9F1239"/>
                <w:sz w:val="15"/>
                <w:szCs w:val="15"/>
              </w:rPr>
              <w:t xml:space="preserve">approval_delegations</w:t>
            </w:r>
            <w:r>
              <w:rPr>
                <w:rFonts w:ascii="Calibri" w:cs="Calibri" w:eastAsia="Calibri" w:hAnsi="Calibri"/>
                <w:sz w:val="17"/>
                <w:szCs w:val="17"/>
              </w:rPr>
              <w:t xml:space="preserve">, rounds, rejection reasons. "External" approvers (a vendor, a client, an auditor) use the same respondent-token mechanism already built for the public form, extended to an approval action</w:t>
            </w:r>
          </w:p>
        </w:tc>
        <w:tc>
          <w:tcPr>
            <w:tcW w:type="dxa" w:w="2337"/>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Schema ready now; UI work is a small extension of the reviewer console</w:t>
            </w:r>
          </w:p>
        </w:tc>
      </w:tr>
      <w:tr>
        <w:trPr>
          <w:cantSplit/>
          <w:tblHeader w:val="false"/>
        </w:trPr>
        <w:tc>
          <w:tcPr>
            <w:tcW w:type="dxa" w:w="57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4</w:t>
            </w:r>
          </w:p>
        </w:tc>
        <w:tc>
          <w:tcPr>
            <w:tcW w:type="dxa" w:w="233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b/>
                <w:bCs/>
                <w:sz w:val="17"/>
                <w:szCs w:val="17"/>
              </w:rPr>
              <w:t xml:space="preserve">Claims, applications and compliance intake</w:t>
            </w:r>
            <w:r>
              <w:rPr>
                <w:rFonts w:ascii="Calibri" w:cs="Calibri" w:eastAsia="Calibri" w:hAnsi="Calibri"/>
                <w:sz w:val="17"/>
                <w:szCs w:val="17"/>
              </w:rPr>
              <w:t xml:space="preserve"> </w:t>
            </w:r>
            <w:r>
              <w:rPr>
                <w:rFonts w:ascii="Calibri" w:cs="Calibri" w:eastAsia="Calibri" w:hAnsi="Calibri"/>
                <w:i/>
                <w:iCs/>
                <w:sz w:val="17"/>
                <w:szCs w:val="17"/>
              </w:rPr>
              <w:t xml:space="preserve">(researched addition — see note below)</w:t>
            </w:r>
          </w:p>
        </w:tc>
        <w:tc>
          <w:tcPr>
            <w:tcW w:type="dxa" w:w="233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Insurance claim submissions, loan or credit applications, college or scholarship admissions, grant applications, an audit or compliance evidence request</w:t>
            </w:r>
          </w:p>
        </w:tc>
        <w:tc>
          <w:tcPr>
            <w:tcW w:type="dxa" w:w="233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Identical mechanism to onboarding: a form, supporting documents, AI-assisted reading and classification, deterministic routing, human review, approval, one audited outcome (approve, reject, request more evidence). No schema change</w:t>
            </w:r>
          </w:p>
        </w:tc>
        <w:tc>
          <w:tcPr>
            <w:tcW w:type="dxa" w:w="2337"/>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Same path as row 2: a new workflow definition, built once Formiva has proven itself on the first wedge, or sooner for a design partner in one of these sectors</w:t>
            </w:r>
          </w:p>
        </w:tc>
      </w:tr>
      <w:tr>
        <w:trPr>
          <w:cantSplit/>
          <w:tblHeader w:val="false"/>
        </w:trPr>
        <w:tc>
          <w:tcPr>
            <w:tcW w:type="dxa" w:w="57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5</w:t>
            </w:r>
          </w:p>
        </w:tc>
        <w:tc>
          <w:tcPr>
            <w:tcW w:type="dxa" w:w="233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b/>
                <w:bCs/>
                <w:sz w:val="17"/>
                <w:szCs w:val="17"/>
              </w:rPr>
              <w:t xml:space="preserve">Free integration with any external system</w:t>
            </w:r>
          </w:p>
        </w:tc>
        <w:tc>
          <w:tcPr>
            <w:tcW w:type="dxa" w:w="233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Ticket tools, CRMs, HRMS, LMS, university or student-information systems, and others</w:t>
            </w:r>
          </w:p>
        </w:tc>
        <w:tc>
          <w:tcPr>
            <w:tcW w:type="dxa" w:w="233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Migration 008 removes the fixed list of providers and adds a documented catalog of free and open-source options per category, so a new connector is configuration and one small adapter, not a schema change</w:t>
            </w:r>
          </w:p>
        </w:tc>
        <w:tc>
          <w:tcPr>
            <w:tcW w:type="dxa" w:w="2337"/>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Framework ready now; each concrete adapter is built when a pilot needs it</w:t>
            </w:r>
          </w:p>
        </w:tc>
      </w:tr>
    </w:tbl>
    <w:p>
      <w:pPr>
        <w:spacing w:after="120"/>
      </w:pPr>
    </w:p>
    <w:p>
      <w:pPr>
        <w:spacing w:after="100" w:line="264"/>
      </w:pPr>
      <w:r>
        <w:rPr>
          <w:rFonts w:ascii="Calibri" w:cs="Calibri" w:eastAsia="Calibri" w:hAnsi="Calibri"/>
          <w:b/>
          <w:bCs/>
        </w:rPr>
        <w:t xml:space="preserve">Why row 4 (claims, applications and compliance intake):</w:t>
      </w:r>
      <w:r>
        <w:rPr>
          <w:rFonts w:ascii="Calibri" w:cs="Calibri" w:eastAsia="Calibri" w:hAnsi="Calibri"/>
        </w:rPr>
        <w:t xml:space="preserve"> I looked for processes that share Formiva's exact shape — a submission with supporting documents, a decision that benefits from AI-assisted reading plus mandatory human judgment, and a need for an auditable trail of who decided what and why. Insurance claims, lending and admissions are the clearest fits in the Indian SMB and mid-market space you are already targeting, and none of them need a new table, only a new form and workflow definition. I did not add it as a build target; it is documented here as a direction worth a design-partner conversation if one of your interviews surfaces it.</w:t>
      </w:r>
    </w:p>
    <w:p>
      <w:pPr>
        <w:spacing w:after="100" w:line="264"/>
      </w:pPr>
      <w:r>
        <w:rPr>
          <w:rFonts w:ascii="Calibri" w:cs="Calibri" w:eastAsia="Calibri" w:hAnsi="Calibri"/>
          <w:b/>
          <w:bCs/>
        </w:rPr>
        <w:t xml:space="preserve">What this changes and does not change:</w:t>
      </w:r>
      <w:r>
        <w:rPr>
          <w:rFonts w:ascii="Calibri" w:cs="Calibri" w:eastAsia="Calibri" w:hAnsi="Calibri"/>
        </w:rPr>
        <w:t xml:space="preserve"> it broadens what Formiva </w:t>
      </w:r>
      <w:r>
        <w:rPr>
          <w:rFonts w:ascii="Calibri" w:cs="Calibri" w:eastAsia="Calibri" w:hAnsi="Calibri"/>
          <w:i/>
          <w:iCs/>
        </w:rPr>
        <w:t xml:space="preserve">can</w:t>
      </w:r>
      <w:r>
        <w:rPr>
          <w:rFonts w:ascii="Calibri" w:cs="Calibri" w:eastAsia="Calibri" w:hAnsi="Calibri"/>
        </w:rPr>
        <w:t xml:space="preserve"> do without broadening what it </w:t>
      </w:r>
      <w:r>
        <w:rPr>
          <w:rFonts w:ascii="Calibri" w:cs="Calibri" w:eastAsia="Calibri" w:hAnsi="Calibri"/>
          <w:i/>
          <w:iCs/>
        </w:rPr>
        <w:t xml:space="preserve">builds first</w:t>
      </w:r>
      <w:r>
        <w:rPr>
          <w:rFonts w:ascii="Calibri" w:cs="Calibri" w:eastAsia="Calibri" w:hAnsi="Calibri"/>
        </w:rPr>
        <w:t xml:space="preserve">. The launch wedge stays employee onboarding until the paid-pilot gates say otherwise (Business Plan, Section 12); rows 2 and 4 are documented reach, not committed scope, so they do not touch the Phase 0-7 calendar.</w:t>
      </w:r>
    </w:p>
    <w:p>
      <w:pPr>
        <w:pStyle w:val="Heading2"/>
        <w:keepNext/>
      </w:pPr>
      <w:bookmarkStart w:name="h6" w:id="6"/>
      <w:r>
        <w:rPr>
          <w:rFonts w:ascii="Calibri" w:cs="Calibri" w:eastAsia="Calibri" w:hAnsi="Calibri"/>
        </w:rPr>
        <w:t xml:space="preserve">2.1 Old rules restored or retired</w:t>
      </w:r>
      <w:bookmarkEnd w:id="6"/>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cantSplit/>
          <w:tblHeader/>
        </w:trPr>
        <w:tc>
          <w:tcPr>
            <w:tcW w:type="dxa" w:w="4953"/>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Old rule</w:t>
            </w:r>
          </w:p>
        </w:tc>
        <w:tc>
          <w:tcPr>
            <w:tcW w:type="dxa" w:w="4953"/>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Result</w:t>
            </w:r>
          </w:p>
        </w:tc>
      </w:tr>
      <w:tr>
        <w:trPr>
          <w:cantSplit/>
          <w:tblHeader w:val="false"/>
        </w:trPr>
        <w:tc>
          <w:tcPr>
            <w:tcW w:type="dxa" w:w="49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Aadhaar: mask first 8 digits, store last 4 only</w:t>
            </w:r>
          </w:p>
        </w:tc>
        <w:tc>
          <w:tcPr>
            <w:tcW w:type="dxa" w:w="49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b/>
                <w:bCs/>
                <w:sz w:val="17"/>
                <w:szCs w:val="17"/>
              </w:rPr>
              <w:t xml:space="preserve">Restored and enforced</w:t>
            </w:r>
            <w:r>
              <w:rPr>
                <w:rFonts w:ascii="Calibri" w:cs="Calibri" w:eastAsia="Calibri" w:hAnsi="Calibri"/>
                <w:sz w:val="17"/>
                <w:szCs w:val="17"/>
              </w:rPr>
              <w:t xml:space="preserve"> (migration 007: an Aadhaar collection policy must require a masked copy)</w:t>
            </w:r>
          </w:p>
        </w:tc>
      </w:tr>
      <w:tr>
        <w:trPr>
          <w:cantSplit/>
          <w:tblHeader w:val="false"/>
        </w:trPr>
        <w:tc>
          <w:tcPr>
            <w:tcW w:type="dxa" w:w="49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AI is self-hosted only</w:t>
            </w:r>
          </w:p>
        </w:tc>
        <w:tc>
          <w:tcPr>
            <w:tcW w:type="dxa" w:w="49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b/>
                <w:bCs/>
                <w:sz w:val="17"/>
                <w:szCs w:val="17"/>
              </w:rPr>
              <w:t xml:space="preserve">Restored (ADR-09).</w:t>
            </w:r>
            <w:r>
              <w:rPr>
                <w:rFonts w:ascii="Calibri" w:cs="Calibri" w:eastAsia="Calibri" w:hAnsi="Calibri"/>
                <w:sz w:val="17"/>
                <w:szCs w:val="17"/>
              </w:rPr>
              <w:t xml:space="preserve"> Customer document content is processed only by the AI Engine on VM2</w:t>
            </w:r>
          </w:p>
        </w:tc>
      </w:tr>
      <w:tr>
        <w:trPr>
          <w:cantSplit/>
          <w:tblHeader w:val="false"/>
        </w:trPr>
        <w:tc>
          <w:tcPr>
            <w:tcW w:type="dxa" w:w="49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workspace_id isolation, immutable audit log</w:t>
            </w:r>
          </w:p>
        </w:tc>
        <w:tc>
          <w:tcPr>
            <w:tcW w:type="dxa" w:w="49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Kept and strengthened (row-level security, hash-chained audit)</w:t>
            </w:r>
          </w:p>
        </w:tc>
      </w:tr>
      <w:tr>
        <w:trPr>
          <w:cantSplit/>
          <w:tblHeader w:val="false"/>
        </w:trPr>
        <w:tc>
          <w:tcPr>
            <w:tcW w:type="dxa" w:w="49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OCR languages English, Hindi, Tamil</w:t>
            </w:r>
          </w:p>
        </w:tc>
        <w:tc>
          <w:tcPr>
            <w:tcW w:type="dxa" w:w="49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Added to the AI Engine specification</w:t>
            </w:r>
          </w:p>
        </w:tc>
      </w:tr>
      <w:tr>
        <w:trPr>
          <w:cantSplit/>
          <w:tblHeader w:val="false"/>
        </w:trPr>
        <w:tc>
          <w:tcPr>
            <w:tcW w:type="dxa" w:w="49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Design tokens (blue #1A56DB, teal #0D9488)</w:t>
            </w:r>
          </w:p>
        </w:tc>
        <w:tc>
          <w:tcPr>
            <w:tcW w:type="dxa" w:w="49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Added to the Coding Plan</w:t>
            </w:r>
          </w:p>
        </w:tc>
      </w:tr>
      <w:tr>
        <w:trPr>
          <w:cantSplit/>
          <w:tblHeader w:val="false"/>
        </w:trPr>
        <w:tc>
          <w:tcPr>
            <w:tcW w:type="dxa" w:w="49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50 SEO pages, "Powered by Formiva" badge</w:t>
            </w:r>
          </w:p>
        </w:tc>
        <w:tc>
          <w:tcPr>
            <w:tcW w:type="dxa" w:w="49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Retired as launch requirements</w:t>
            </w:r>
          </w:p>
        </w:tc>
      </w:tr>
      <w:tr>
        <w:trPr>
          <w:cantSplit/>
          <w:tblHeader w:val="false"/>
        </w:trPr>
        <w:tc>
          <w:tcPr>
            <w:tcW w:type="dxa" w:w="49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"Always call it a Universal Form-to-Workflow Platform"</w:t>
            </w:r>
          </w:p>
        </w:tc>
        <w:tc>
          <w:tcPr>
            <w:tcW w:type="dxa" w:w="49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Retired (ADR-06); a deliberate reversal</w:t>
            </w:r>
          </w:p>
        </w:tc>
      </w:tr>
    </w:tbl>
    <w:p>
      <w:pPr>
        <w:spacing w:after="120"/>
      </w:pPr>
    </w:p>
    <w:p>
      <w:pPr>
        <w:pStyle w:val="Heading1"/>
        <w:keepNext/>
      </w:pPr>
      <w:bookmarkStart w:name="h7" w:id="7"/>
      <w:r>
        <w:rPr>
          <w:rFonts w:ascii="Calibri" w:cs="Calibri" w:eastAsia="Calibri" w:hAnsi="Calibri"/>
        </w:rPr>
        <w:t xml:space="preserve">3. Findings register</w:t>
      </w:r>
      <w:bookmarkEnd w:id="7"/>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72"/>
        <w:gridCol w:w="972"/>
        <w:gridCol w:w="3980"/>
        <w:gridCol w:w="3982"/>
      </w:tblGrid>
      <w:tr>
        <w:trPr>
          <w:cantSplit/>
          <w:tblHeader/>
        </w:trPr>
        <w:tc>
          <w:tcPr>
            <w:tcW w:type="dxa" w:w="972"/>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ID</w:t>
            </w:r>
          </w:p>
        </w:tc>
        <w:tc>
          <w:tcPr>
            <w:tcW w:type="dxa" w:w="972"/>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Sev</w:t>
            </w:r>
          </w:p>
        </w:tc>
        <w:tc>
          <w:tcPr>
            <w:tcW w:type="dxa" w:w="3980"/>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Finding</w:t>
            </w:r>
          </w:p>
        </w:tc>
        <w:tc>
          <w:tcPr>
            <w:tcW w:type="dxa" w:w="3982"/>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Resolution</w:t>
            </w:r>
          </w:p>
        </w:tc>
      </w:tr>
      <w:tr>
        <w:trPr>
          <w:cantSplit/>
          <w:tblHeader w:val="false"/>
        </w:trPr>
        <w:tc>
          <w:tcPr>
            <w:tcW w:type="dxa" w:w="97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F-01</w:t>
            </w:r>
          </w:p>
        </w:tc>
        <w:tc>
          <w:tcPr>
            <w:tcW w:type="dxa" w:w="97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High</w:t>
            </w:r>
          </w:p>
        </w:tc>
        <w:tc>
          <w:tcPr>
            <w:tcW w:type="dxa" w:w="398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Oracle Always Free A1 was reported cut to 2 OCPU / 12 GB in total; your two 2 OCPU / 12 GB VMs total 4 / 24</w:t>
            </w:r>
          </w:p>
        </w:tc>
        <w:tc>
          <w:tcPr>
            <w:tcW w:type="dxa" w:w="398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Day-1 console check; fallback ladder (Section 1.1)</w:t>
            </w:r>
          </w:p>
        </w:tc>
      </w:tr>
      <w:tr>
        <w:trPr>
          <w:cantSplit/>
          <w:tblHeader w:val="false"/>
        </w:trPr>
        <w:tc>
          <w:tcPr>
            <w:tcW w:type="dxa" w:w="97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F-02</w:t>
            </w:r>
          </w:p>
        </w:tc>
        <w:tc>
          <w:tcPr>
            <w:tcW w:type="dxa" w:w="97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High</w:t>
            </w:r>
          </w:p>
        </w:tc>
        <w:tc>
          <w:tcPr>
            <w:tcW w:type="dxa" w:w="398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Requested 200 GB on each VM (400 GB) exceeds the 200 GB total free block storage</w:t>
            </w:r>
          </w:p>
        </w:tc>
        <w:tc>
          <w:tcPr>
            <w:tcW w:type="dxa" w:w="398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Baseline 150 GB (VM1) plus 50 GB (VM2)</w:t>
            </w:r>
          </w:p>
        </w:tc>
      </w:tr>
      <w:tr>
        <w:trPr>
          <w:cantSplit/>
          <w:tblHeader w:val="false"/>
        </w:trPr>
        <w:tc>
          <w:tcPr>
            <w:tcW w:type="dxa" w:w="97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F-03</w:t>
            </w:r>
          </w:p>
        </w:tc>
        <w:tc>
          <w:tcPr>
            <w:tcW w:type="dxa" w:w="97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High</w:t>
            </w:r>
          </w:p>
        </w:tc>
        <w:tc>
          <w:tcPr>
            <w:tcW w:type="dxa" w:w="398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Vercel Hobby is non-commercial</w:t>
            </w:r>
          </w:p>
        </w:tc>
        <w:tc>
          <w:tcPr>
            <w:tcW w:type="dxa" w:w="398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ADR-13: web app self-hosted on VM1</w:t>
            </w:r>
          </w:p>
        </w:tc>
      </w:tr>
      <w:tr>
        <w:trPr>
          <w:cantSplit/>
          <w:tblHeader w:val="false"/>
        </w:trPr>
        <w:tc>
          <w:tcPr>
            <w:tcW w:type="dxa" w:w="97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F-04</w:t>
            </w:r>
          </w:p>
        </w:tc>
        <w:tc>
          <w:tcPr>
            <w:tcW w:type="dxa" w:w="97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High</w:t>
            </w:r>
          </w:p>
        </w:tc>
        <w:tc>
          <w:tcPr>
            <w:tcW w:type="dxa" w:w="398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Database and AI model on one VM</w:t>
            </w:r>
          </w:p>
        </w:tc>
        <w:tc>
          <w:tcPr>
            <w:tcW w:type="dxa" w:w="398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ADR-01</w:t>
            </w:r>
          </w:p>
        </w:tc>
      </w:tr>
      <w:tr>
        <w:trPr>
          <w:cantSplit/>
          <w:tblHeader w:val="false"/>
        </w:trPr>
        <w:tc>
          <w:tcPr>
            <w:tcW w:type="dxa" w:w="97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F-05</w:t>
            </w:r>
          </w:p>
        </w:tc>
        <w:tc>
          <w:tcPr>
            <w:tcW w:type="dxa" w:w="97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High</w:t>
            </w:r>
          </w:p>
        </w:tc>
        <w:tc>
          <w:tcPr>
            <w:tcW w:type="dxa" w:w="398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Calendar and dashboard inconsistent (phase numbers, milestones before dependencies, Phase 8 label overwritten by a formula)</w:t>
            </w:r>
          </w:p>
        </w:tc>
        <w:tc>
          <w:tcPr>
            <w:tcW w:type="dxa" w:w="398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Rebuilt: 94 tasks, PRD phase numbers, rebased dates</w:t>
            </w:r>
          </w:p>
        </w:tc>
      </w:tr>
      <w:tr>
        <w:trPr>
          <w:cantSplit/>
          <w:tblHeader w:val="false"/>
        </w:trPr>
        <w:tc>
          <w:tcPr>
            <w:tcW w:type="dxa" w:w="97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F-06</w:t>
            </w:r>
          </w:p>
        </w:tc>
        <w:tc>
          <w:tcPr>
            <w:tcW w:type="dxa" w:w="97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High</w:t>
            </w:r>
          </w:p>
        </w:tc>
        <w:tc>
          <w:tcPr>
            <w:tcW w:type="dxa" w:w="398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Government-ID rules lost; no statement of what Formiva does and does not verify</w:t>
            </w:r>
          </w:p>
        </w:tc>
        <w:tc>
          <w:tcPr>
            <w:tcW w:type="dxa" w:w="398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ADR-14, Technical Documentation section 7.11, migration 007</w:t>
            </w:r>
          </w:p>
        </w:tc>
      </w:tr>
      <w:tr>
        <w:trPr>
          <w:cantSplit/>
          <w:tblHeader w:val="false"/>
        </w:trPr>
        <w:tc>
          <w:tcPr>
            <w:tcW w:type="dxa" w:w="97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F-07</w:t>
            </w:r>
          </w:p>
        </w:tc>
        <w:tc>
          <w:tcPr>
            <w:tcW w:type="dxa" w:w="97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High</w:t>
            </w:r>
          </w:p>
        </w:tc>
        <w:tc>
          <w:tcPr>
            <w:tcW w:type="dxa" w:w="398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Server #1: SSH password login and NOPASSWD:ALL</w:t>
            </w:r>
          </w:p>
        </w:tc>
        <w:tc>
          <w:tcPr>
            <w:tcW w:type="dxa" w:w="398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Phase 1 task: key-only SSH, least-privilege sudo, no public port 22</w:t>
            </w:r>
          </w:p>
        </w:tc>
      </w:tr>
      <w:tr>
        <w:trPr>
          <w:cantSplit/>
          <w:tblHeader w:val="false"/>
        </w:trPr>
        <w:tc>
          <w:tcPr>
            <w:tcW w:type="dxa" w:w="97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F-08</w:t>
            </w:r>
          </w:p>
        </w:tc>
        <w:tc>
          <w:tcPr>
            <w:tcW w:type="dxa" w:w="97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Medium</w:t>
            </w:r>
          </w:p>
        </w:tc>
        <w:tc>
          <w:tcPr>
            <w:tcW w:type="dxa" w:w="398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Dual-write between PostgreSQL and Valkey</w:t>
            </w:r>
          </w:p>
        </w:tc>
        <w:tc>
          <w:tcPr>
            <w:tcW w:type="dxa" w:w="398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ADR-04: PostgreSQL dispatches jobs; Valkey optional</w:t>
            </w:r>
          </w:p>
        </w:tc>
      </w:tr>
      <w:tr>
        <w:trPr>
          <w:cantSplit/>
          <w:tblHeader w:val="false"/>
        </w:trPr>
        <w:tc>
          <w:tcPr>
            <w:tcW w:type="dxa" w:w="97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F-09</w:t>
            </w:r>
          </w:p>
        </w:tc>
        <w:tc>
          <w:tcPr>
            <w:tcW w:type="dxa" w:w="97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Medium</w:t>
            </w:r>
          </w:p>
        </w:tc>
        <w:tc>
          <w:tcPr>
            <w:tcW w:type="dxa" w:w="398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API contract left open</w:t>
            </w:r>
          </w:p>
        </w:tc>
        <w:tc>
          <w:tcPr>
            <w:tcW w:type="dxa" w:w="398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ADR-02: REST with OpenAPI 3.1</w:t>
            </w:r>
          </w:p>
        </w:tc>
      </w:tr>
      <w:tr>
        <w:trPr>
          <w:cantSplit/>
          <w:tblHeader w:val="false"/>
        </w:trPr>
        <w:tc>
          <w:tcPr>
            <w:tcW w:type="dxa" w:w="97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F-10</w:t>
            </w:r>
          </w:p>
        </w:tc>
        <w:tc>
          <w:tcPr>
            <w:tcW w:type="dxa" w:w="97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Medium</w:t>
            </w:r>
          </w:p>
        </w:tc>
        <w:tc>
          <w:tcPr>
            <w:tcW w:type="dxa" w:w="398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Base-case revenue counted WhatsApp stores against the plan's own rule</w:t>
            </w:r>
          </w:p>
        </w:tc>
        <w:tc>
          <w:tcPr>
            <w:tcW w:type="dxa" w:w="398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Business Plan patched to B2B only</w:t>
            </w:r>
          </w:p>
        </w:tc>
      </w:tr>
      <w:tr>
        <w:trPr>
          <w:cantSplit/>
          <w:tblHeader w:val="false"/>
        </w:trPr>
        <w:tc>
          <w:tcPr>
            <w:tcW w:type="dxa" w:w="97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F-11</w:t>
            </w:r>
          </w:p>
        </w:tc>
        <w:tc>
          <w:tcPr>
            <w:tcW w:type="dxa" w:w="97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Medium</w:t>
            </w:r>
          </w:p>
        </w:tc>
        <w:tc>
          <w:tcPr>
            <w:tcW w:type="dxa" w:w="398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Blended INR 3,200 per logo needs almost every account on the INR 2,999 tier</w:t>
            </w:r>
          </w:p>
        </w:tc>
        <w:tc>
          <w:tcPr>
            <w:tcW w:type="dxa" w:w="398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Plan on INR 2,000 until interviews say otherwise</w:t>
            </w:r>
          </w:p>
        </w:tc>
      </w:tr>
      <w:tr>
        <w:trPr>
          <w:cantSplit/>
          <w:tblHeader w:val="false"/>
        </w:trPr>
        <w:tc>
          <w:tcPr>
            <w:tcW w:type="dxa" w:w="97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F-12</w:t>
            </w:r>
          </w:p>
        </w:tc>
        <w:tc>
          <w:tcPr>
            <w:tcW w:type="dxa" w:w="97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Medium</w:t>
            </w:r>
          </w:p>
        </w:tc>
        <w:tc>
          <w:tcPr>
            <w:tcW w:type="dxa" w:w="398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Three different category sentences</w:t>
            </w:r>
          </w:p>
        </w:tc>
        <w:tc>
          <w:tcPr>
            <w:tcW w:type="dxa" w:w="398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ADR-06</w:t>
            </w:r>
          </w:p>
        </w:tc>
      </w:tr>
      <w:tr>
        <w:trPr>
          <w:cantSplit/>
          <w:tblHeader w:val="false"/>
        </w:trPr>
        <w:tc>
          <w:tcPr>
            <w:tcW w:type="dxa" w:w="97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F-13</w:t>
            </w:r>
          </w:p>
        </w:tc>
        <w:tc>
          <w:tcPr>
            <w:tcW w:type="dxa" w:w="97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Medium</w:t>
            </w:r>
          </w:p>
        </w:tc>
        <w:tc>
          <w:tcPr>
            <w:tcW w:type="dxa" w:w="398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DPDP obligations commence about 13 May 2027, right after pilots</w:t>
            </w:r>
          </w:p>
        </w:tc>
        <w:tc>
          <w:tcPr>
            <w:tcW w:type="dxa" w:w="398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Consent and deletion built in; counsel review by February 2027</w:t>
            </w:r>
          </w:p>
        </w:tc>
      </w:tr>
      <w:tr>
        <w:trPr>
          <w:cantSplit/>
          <w:tblHeader w:val="false"/>
        </w:trPr>
        <w:tc>
          <w:tcPr>
            <w:tcW w:type="dxa" w:w="97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F-14</w:t>
            </w:r>
          </w:p>
        </w:tc>
        <w:tc>
          <w:tcPr>
            <w:tcW w:type="dxa" w:w="97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Medium</w:t>
            </w:r>
          </w:p>
        </w:tc>
        <w:tc>
          <w:tcPr>
            <w:tcW w:type="dxa" w:w="398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Servers in India but R2 has no India-only location</w:t>
            </w:r>
          </w:p>
        </w:tc>
        <w:tc>
          <w:tcPr>
            <w:tcW w:type="dxa" w:w="398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Do not claim India-only residency until decision D-2</w:t>
            </w:r>
          </w:p>
        </w:tc>
      </w:tr>
      <w:tr>
        <w:trPr>
          <w:cantSplit/>
          <w:tblHeader w:val="false"/>
        </w:trPr>
        <w:tc>
          <w:tcPr>
            <w:tcW w:type="dxa" w:w="97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F-15</w:t>
            </w:r>
          </w:p>
        </w:tc>
        <w:tc>
          <w:tcPr>
            <w:tcW w:type="dxa" w:w="97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Medium</w:t>
            </w:r>
          </w:p>
        </w:tc>
        <w:tc>
          <w:tcPr>
            <w:tcW w:type="dxa" w:w="398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AI on 2 OCPU is slower: expect minutes per document; licences differ by model size</w:t>
            </w:r>
          </w:p>
        </w:tc>
        <w:tc>
          <w:tcPr>
            <w:tcW w:type="dxa" w:w="398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Small model, rules-first, benchmark gate, licence check</w:t>
            </w:r>
          </w:p>
        </w:tc>
      </w:tr>
      <w:tr>
        <w:trPr>
          <w:cantSplit/>
          <w:tblHeader w:val="false"/>
        </w:trPr>
        <w:tc>
          <w:tcPr>
            <w:tcW w:type="dxa" w:w="97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F-16</w:t>
            </w:r>
          </w:p>
        </w:tc>
        <w:tc>
          <w:tcPr>
            <w:tcW w:type="dxa" w:w="97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Medium</w:t>
            </w:r>
          </w:p>
        </w:tc>
        <w:tc>
          <w:tcPr>
            <w:tcW w:type="dxa" w:w="398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Malware scanning, PDF and archive limits unspecified</w:t>
            </w:r>
          </w:p>
        </w:tc>
        <w:tc>
          <w:tcPr>
            <w:tcW w:type="dxa" w:w="398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Specified (ClamAV, sniffing, limits, quarantine bucket)</w:t>
            </w:r>
          </w:p>
        </w:tc>
      </w:tr>
      <w:tr>
        <w:trPr>
          <w:cantSplit/>
          <w:tblHeader w:val="false"/>
        </w:trPr>
        <w:tc>
          <w:tcPr>
            <w:tcW w:type="dxa" w:w="97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F-17</w:t>
            </w:r>
          </w:p>
        </w:tc>
        <w:tc>
          <w:tcPr>
            <w:tcW w:type="dxa" w:w="97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Medium</w:t>
            </w:r>
          </w:p>
        </w:tc>
        <w:tc>
          <w:tcPr>
            <w:tcW w:type="dxa" w:w="398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No RPO/RTO, no off-server backup</w:t>
            </w:r>
          </w:p>
        </w:tc>
        <w:tc>
          <w:tcPr>
            <w:tcW w:type="dxa" w:w="398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Nightly encrypted backups to R2, restore drill as a gate</w:t>
            </w:r>
          </w:p>
        </w:tc>
      </w:tr>
      <w:tr>
        <w:trPr>
          <w:cantSplit/>
          <w:tblHeader w:val="false"/>
        </w:trPr>
        <w:tc>
          <w:tcPr>
            <w:tcW w:type="dxa" w:w="97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F-18</w:t>
            </w:r>
          </w:p>
        </w:tc>
        <w:tc>
          <w:tcPr>
            <w:tcW w:type="dxa" w:w="97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Medium</w:t>
            </w:r>
          </w:p>
        </w:tc>
        <w:tc>
          <w:tcPr>
            <w:tcW w:type="dxa" w:w="398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Visual editor is a large build for one founder</w:t>
            </w:r>
          </w:p>
        </w:tc>
        <w:tc>
          <w:tcPr>
            <w:tcW w:type="dxa" w:w="398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b/>
                <w:bCs/>
                <w:sz w:val="17"/>
                <w:szCs w:val="17"/>
              </w:rPr>
              <w:t xml:space="preserve">Decision: kept</w:t>
            </w:r>
            <w:r>
              <w:rPr>
                <w:rFonts w:ascii="Calibri" w:cs="Calibri" w:eastAsia="Calibri" w:hAnsi="Calibri"/>
                <w:sz w:val="17"/>
                <w:szCs w:val="17"/>
              </w:rPr>
              <w:t xml:space="preserve"> (ADR-05). Scheduled as Phase 8; cut order in the slip rules</w:t>
            </w:r>
          </w:p>
        </w:tc>
      </w:tr>
      <w:tr>
        <w:trPr>
          <w:cantSplit/>
          <w:tblHeader w:val="false"/>
        </w:trPr>
        <w:tc>
          <w:tcPr>
            <w:tcW w:type="dxa" w:w="97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F-19</w:t>
            </w:r>
          </w:p>
        </w:tc>
        <w:tc>
          <w:tcPr>
            <w:tcW w:type="dxa" w:w="97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Low</w:t>
            </w:r>
          </w:p>
        </w:tc>
        <w:tc>
          <w:tcPr>
            <w:tcW w:type="dxa" w:w="398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"11 phases" versus 12 (0 to 11)</w:t>
            </w:r>
          </w:p>
        </w:tc>
        <w:tc>
          <w:tcPr>
            <w:tcW w:type="dxa" w:w="398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Corrected</w:t>
            </w:r>
          </w:p>
        </w:tc>
      </w:tr>
      <w:tr>
        <w:trPr>
          <w:cantSplit/>
          <w:tblHeader w:val="false"/>
        </w:trPr>
        <w:tc>
          <w:tcPr>
            <w:tcW w:type="dxa" w:w="97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F-20</w:t>
            </w:r>
          </w:p>
        </w:tc>
        <w:tc>
          <w:tcPr>
            <w:tcW w:type="dxa" w:w="97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Low</w:t>
            </w:r>
          </w:p>
        </w:tc>
        <w:tc>
          <w:tcPr>
            <w:tcW w:type="dxa" w:w="398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Wrong reference links and sandbox paths in the 2.0 documents</w:t>
            </w:r>
          </w:p>
        </w:tc>
        <w:tc>
          <w:tcPr>
            <w:tcW w:type="dxa" w:w="398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Replaced in the v2.1 documents</w:t>
            </w:r>
          </w:p>
        </w:tc>
      </w:tr>
      <w:tr>
        <w:trPr>
          <w:cantSplit/>
          <w:tblHeader w:val="false"/>
        </w:trPr>
        <w:tc>
          <w:tcPr>
            <w:tcW w:type="dxa" w:w="97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F-21</w:t>
            </w:r>
          </w:p>
        </w:tc>
        <w:tc>
          <w:tcPr>
            <w:tcW w:type="dxa" w:w="97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Low</w:t>
            </w:r>
          </w:p>
        </w:tc>
        <w:tc>
          <w:tcPr>
            <w:tcW w:type="dxa" w:w="398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Interview counts differ (15-20 versus 30)</w:t>
            </w:r>
          </w:p>
        </w:tc>
        <w:tc>
          <w:tcPr>
            <w:tcW w:type="dxa" w:w="398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Harmonised: 15-20 to validate, 30 before major expansion</w:t>
            </w:r>
          </w:p>
        </w:tc>
      </w:tr>
      <w:tr>
        <w:trPr>
          <w:cantSplit/>
          <w:tblHeader w:val="false"/>
        </w:trPr>
        <w:tc>
          <w:tcPr>
            <w:tcW w:type="dxa" w:w="97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F-22</w:t>
            </w:r>
          </w:p>
        </w:tc>
        <w:tc>
          <w:tcPr>
            <w:tcW w:type="dxa" w:w="97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Low</w:t>
            </w:r>
          </w:p>
        </w:tc>
        <w:tc>
          <w:tcPr>
            <w:tcW w:type="dxa" w:w="398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Diagram PDF unreadable and buggy</w:t>
            </w:r>
          </w:p>
        </w:tc>
        <w:tc>
          <w:tcPr>
            <w:tcW w:type="dxa" w:w="398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Redrawn</w:t>
            </w:r>
          </w:p>
        </w:tc>
      </w:tr>
      <w:tr>
        <w:trPr>
          <w:cantSplit/>
          <w:tblHeader w:val="false"/>
        </w:trPr>
        <w:tc>
          <w:tcPr>
            <w:tcW w:type="dxa" w:w="97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F-23</w:t>
            </w:r>
          </w:p>
        </w:tc>
        <w:tc>
          <w:tcPr>
            <w:tcW w:type="dxa" w:w="97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Medium</w:t>
            </w:r>
          </w:p>
        </w:tc>
        <w:tc>
          <w:tcPr>
            <w:tcW w:type="dxa" w:w="398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Free-tier service limits (Clerk, Resend, R2, monitoring) not verified</w:t>
            </w:r>
          </w:p>
        </w:tc>
        <w:tc>
          <w:tcPr>
            <w:tcW w:type="dxa" w:w="398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Verify at deployment; limits recorded in the cost model</w:t>
            </w:r>
          </w:p>
        </w:tc>
      </w:tr>
      <w:tr>
        <w:trPr>
          <w:cantSplit/>
          <w:tblHeader w:val="false"/>
        </w:trPr>
        <w:tc>
          <w:tcPr>
            <w:tcW w:type="dxa" w:w="97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F-24</w:t>
            </w:r>
          </w:p>
        </w:tc>
        <w:tc>
          <w:tcPr>
            <w:tcW w:type="dxa" w:w="97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Low</w:t>
            </w:r>
          </w:p>
        </w:tc>
        <w:tc>
          <w:tcPr>
            <w:tcW w:type="dxa" w:w="398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No method for a non-developer to review AI-generated code</w:t>
            </w:r>
          </w:p>
        </w:tc>
        <w:tc>
          <w:tcPr>
            <w:tcW w:type="dxa" w:w="398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Coding Plan section 4</w:t>
            </w:r>
          </w:p>
        </w:tc>
      </w:tr>
    </w:tbl>
    <w:p>
      <w:pPr>
        <w:spacing w:after="120"/>
      </w:pPr>
    </w:p>
    <w:p>
      <w:pPr>
        <w:pStyle w:val="Heading1"/>
        <w:keepNext/>
      </w:pPr>
      <w:bookmarkStart w:name="h8" w:id="8"/>
      <w:r>
        <w:rPr>
          <w:rFonts w:ascii="Calibri" w:cs="Calibri" w:eastAsia="Calibri" w:hAnsi="Calibri"/>
        </w:rPr>
        <w:t xml:space="preserve">4. Cost baseline (free tier only)</w:t>
      </w:r>
      <w:bookmarkEnd w:id="8"/>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73"/>
        <w:gridCol w:w="3566"/>
        <w:gridCol w:w="3567"/>
      </w:tblGrid>
      <w:tr>
        <w:trPr>
          <w:cantSplit/>
          <w:tblHeader/>
        </w:trPr>
        <w:tc>
          <w:tcPr>
            <w:tcW w:type="dxa" w:w="2773"/>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Item</w:t>
            </w:r>
          </w:p>
        </w:tc>
        <w:tc>
          <w:tcPr>
            <w:tcW w:type="dxa" w:w="3566"/>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Basis</w:t>
            </w:r>
          </w:p>
        </w:tc>
        <w:tc>
          <w:tcPr>
            <w:tcW w:type="dxa" w:w="3567"/>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Monthly</w:t>
            </w:r>
          </w:p>
        </w:tc>
      </w:tr>
      <w:tr>
        <w:trPr>
          <w:cantSplit/>
          <w:tblHeader w:val="false"/>
        </w:trPr>
        <w:tc>
          <w:tcPr>
            <w:tcW w:type="dxa" w:w="277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OCI compute and storage</w:t>
            </w:r>
          </w:p>
        </w:tc>
        <w:tc>
          <w:tcPr>
            <w:tcW w:type="dxa" w:w="356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Always Free Ampere A1 (as reported and to be verified), 200 GB total block storage, free egress allowance</w:t>
            </w:r>
          </w:p>
        </w:tc>
        <w:tc>
          <w:tcPr>
            <w:tcW w:type="dxa" w:w="3567"/>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b/>
                <w:bCs/>
                <w:sz w:val="17"/>
                <w:szCs w:val="17"/>
              </w:rPr>
              <w:t xml:space="preserve">INR 0</w:t>
            </w:r>
            <w:r>
              <w:rPr>
                <w:rFonts w:ascii="Calibri" w:cs="Calibri" w:eastAsia="Calibri" w:hAnsi="Calibri"/>
                <w:sz w:val="17"/>
                <w:szCs w:val="17"/>
              </w:rPr>
              <w:t xml:space="preserve"> if the check in Section 1.1 passes</w:t>
            </w:r>
          </w:p>
        </w:tc>
      </w:tr>
      <w:tr>
        <w:trPr>
          <w:cantSplit/>
          <w:tblHeader w:val="false"/>
        </w:trPr>
        <w:tc>
          <w:tcPr>
            <w:tcW w:type="dxa" w:w="277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Web hosting</w:t>
            </w:r>
          </w:p>
        </w:tc>
        <w:tc>
          <w:tcPr>
            <w:tcW w:type="dxa" w:w="356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Container on VM1, Cloudflare free plan for DNS, CDN and Tunnel</w:t>
            </w:r>
          </w:p>
        </w:tc>
        <w:tc>
          <w:tcPr>
            <w:tcW w:type="dxa" w:w="3567"/>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INR 0</w:t>
            </w:r>
          </w:p>
        </w:tc>
      </w:tr>
      <w:tr>
        <w:trPr>
          <w:cantSplit/>
          <w:tblHeader w:val="false"/>
        </w:trPr>
        <w:tc>
          <w:tcPr>
            <w:tcW w:type="dxa" w:w="277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Authentication, email, file storage</w:t>
            </w:r>
          </w:p>
        </w:tc>
        <w:tc>
          <w:tcPr>
            <w:tcW w:type="dxa" w:w="356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Clerk free tier, Resend free tier, Cloudflare R2 free tier</w:t>
            </w:r>
          </w:p>
        </w:tc>
        <w:tc>
          <w:tcPr>
            <w:tcW w:type="dxa" w:w="3567"/>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INR 0 at pilot volume (</w:t>
            </w:r>
            <w:r>
              <w:rPr>
                <w:rFonts w:ascii="Calibri" w:cs="Calibri" w:eastAsia="Calibri" w:hAnsi="Calibri"/>
                <w:b/>
                <w:bCs/>
                <w:sz w:val="17"/>
                <w:szCs w:val="17"/>
              </w:rPr>
              <w:t xml:space="preserve">verify each limit at deployment</w:t>
            </w:r>
            <w:r>
              <w:rPr>
                <w:rFonts w:ascii="Calibri" w:cs="Calibri" w:eastAsia="Calibri" w:hAnsi="Calibri"/>
                <w:sz w:val="17"/>
                <w:szCs w:val="17"/>
              </w:rPr>
              <w:t xml:space="preserve">)</w:t>
            </w:r>
          </w:p>
        </w:tc>
      </w:tr>
      <w:tr>
        <w:trPr>
          <w:cantSplit/>
          <w:tblHeader w:val="false"/>
        </w:trPr>
        <w:tc>
          <w:tcPr>
            <w:tcW w:type="dxa" w:w="277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Payments</w:t>
            </w:r>
          </w:p>
        </w:tc>
        <w:tc>
          <w:tcPr>
            <w:tcW w:type="dxa" w:w="356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Razorpay has no monthly fee (per-transaction fees only, disclosed to customers)</w:t>
            </w:r>
          </w:p>
        </w:tc>
        <w:tc>
          <w:tcPr>
            <w:tcW w:type="dxa" w:w="3567"/>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INR 0 fixed</w:t>
            </w:r>
          </w:p>
        </w:tc>
      </w:tr>
      <w:tr>
        <w:trPr>
          <w:cantSplit/>
          <w:tblHeader w:val="false"/>
        </w:trPr>
        <w:tc>
          <w:tcPr>
            <w:tcW w:type="dxa" w:w="277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Google Sheets connector</w:t>
            </w:r>
          </w:p>
        </w:tc>
        <w:tc>
          <w:tcPr>
            <w:tcW w:type="dxa" w:w="356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Free API quota</w:t>
            </w:r>
          </w:p>
        </w:tc>
        <w:tc>
          <w:tcPr>
            <w:tcW w:type="dxa" w:w="3567"/>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INR 0</w:t>
            </w:r>
          </w:p>
        </w:tc>
      </w:tr>
      <w:tr>
        <w:trPr>
          <w:cantSplit/>
          <w:tblHeader w:val="false"/>
        </w:trPr>
        <w:tc>
          <w:tcPr>
            <w:tcW w:type="dxa" w:w="277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Domain</w:t>
            </w:r>
          </w:p>
        </w:tc>
        <w:tc>
          <w:tcPr>
            <w:tcW w:type="dxa" w:w="356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vishyxtechie.in</w:t>
            </w:r>
          </w:p>
        </w:tc>
        <w:tc>
          <w:tcPr>
            <w:tcW w:type="dxa" w:w="3567"/>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about INR 1,000 per year</w:t>
            </w:r>
          </w:p>
        </w:tc>
      </w:tr>
      <w:tr>
        <w:trPr>
          <w:cantSplit/>
          <w:tblHeader w:val="false"/>
        </w:trPr>
        <w:tc>
          <w:tcPr>
            <w:tcW w:type="dxa" w:w="277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Monitoring</w:t>
            </w:r>
          </w:p>
        </w:tc>
        <w:tc>
          <w:tcPr>
            <w:tcW w:type="dxa" w:w="356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Free uptime and heartbeat tier</w:t>
            </w:r>
          </w:p>
        </w:tc>
        <w:tc>
          <w:tcPr>
            <w:tcW w:type="dxa" w:w="3567"/>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INR 0</w:t>
            </w:r>
          </w:p>
        </w:tc>
      </w:tr>
    </w:tbl>
    <w:p>
      <w:pPr>
        <w:spacing w:after="120"/>
      </w:pPr>
    </w:p>
    <w:p>
      <w:pPr>
        <w:spacing w:after="100" w:line="264"/>
      </w:pPr>
      <w:r>
        <w:rPr>
          <w:rFonts w:ascii="Calibri" w:cs="Calibri" w:eastAsia="Calibri" w:hAnsi="Calibri"/>
        </w:rPr>
        <w:t xml:space="preserve">The trade-off of "no paid infrastructure" is </w:t>
      </w:r>
      <w:r>
        <w:rPr>
          <w:rFonts w:ascii="Calibri" w:cs="Calibri" w:eastAsia="Calibri" w:hAnsi="Calibri"/>
          <w:b/>
          <w:bCs/>
        </w:rPr>
        <w:t xml:space="preserve">risk, not cost</w:t>
      </w:r>
      <w:r>
        <w:rPr>
          <w:rFonts w:ascii="Calibri" w:cs="Calibri" w:eastAsia="Calibri" w:hAnsi="Calibri"/>
        </w:rPr>
        <w:t xml:space="preserve">: the free tiers can change, and Oracle can reclaim capacity. The documents handle that with backups, the fallback ladder and a quarterly terms check. Do not advertise zero-cost operation to customers.</w:t>
      </w:r>
    </w:p>
    <w:p>
      <w:pPr>
        <w:pStyle w:val="Heading1"/>
        <w:keepNext/>
      </w:pPr>
      <w:bookmarkStart w:name="h9" w:id="9"/>
      <w:r>
        <w:rPr>
          <w:rFonts w:ascii="Calibri" w:cs="Calibri" w:eastAsia="Calibri" w:hAnsi="Calibri"/>
        </w:rPr>
        <w:t xml:space="preserve">5. Decisions applied (architecture decision records)</w:t>
      </w:r>
      <w:bookmarkEnd w:id="9"/>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78"/>
        <w:gridCol w:w="4413"/>
        <w:gridCol w:w="4415"/>
      </w:tblGrid>
      <w:tr>
        <w:trPr>
          <w:cantSplit/>
          <w:tblHeader/>
        </w:trPr>
        <w:tc>
          <w:tcPr>
            <w:tcW w:type="dxa" w:w="1078"/>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ADR</w:t>
            </w:r>
          </w:p>
        </w:tc>
        <w:tc>
          <w:tcPr>
            <w:tcW w:type="dxa" w:w="4413"/>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Decision</w:t>
            </w:r>
          </w:p>
        </w:tc>
        <w:tc>
          <w:tcPr>
            <w:tcW w:type="dxa" w:w="4415"/>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Status</w:t>
            </w:r>
          </w:p>
        </w:tc>
      </w:tr>
      <w:tr>
        <w:trPr>
          <w:cantSplit/>
          <w:tblHeader w:val="false"/>
        </w:trPr>
        <w:tc>
          <w:tcPr>
            <w:tcW w:type="dxa" w:w="1078"/>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ADR-01</w:t>
            </w:r>
          </w:p>
        </w:tc>
        <w:tc>
          <w:tcPr>
            <w:tcW w:type="dxa" w:w="441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VM1 (2 OCPU / 12 GB / 200 GB, account A) runs the API, workers, PostgreSQL and ClamAV. VM2 (2 OCPU / 12 GB / 200 GB, account B) runs the AI Engine only. No third VM</w:t>
            </w:r>
          </w:p>
        </w:tc>
        <w:tc>
          <w:tcPr>
            <w:tcW w:type="dxa" w:w="441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Applied with your sizes across two accounts</w:t>
            </w:r>
          </w:p>
        </w:tc>
      </w:tr>
      <w:tr>
        <w:trPr>
          <w:cantSplit/>
          <w:tblHeader w:val="false"/>
        </w:trPr>
        <w:tc>
          <w:tcPr>
            <w:tcW w:type="dxa" w:w="1078"/>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ADR-02</w:t>
            </w:r>
          </w:p>
        </w:tc>
        <w:tc>
          <w:tcPr>
            <w:tcW w:type="dxa" w:w="441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REST with OpenAPI 3.1</w:t>
            </w:r>
          </w:p>
        </w:tc>
        <w:tc>
          <w:tcPr>
            <w:tcW w:type="dxa" w:w="441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Kept</w:t>
            </w:r>
          </w:p>
        </w:tc>
      </w:tr>
      <w:tr>
        <w:trPr>
          <w:cantSplit/>
          <w:tblHeader w:val="false"/>
        </w:trPr>
        <w:tc>
          <w:tcPr>
            <w:tcW w:type="dxa" w:w="1078"/>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b/>
                <w:bCs/>
                <w:sz w:val="17"/>
                <w:szCs w:val="17"/>
              </w:rPr>
              <w:t xml:space="preserve">ADR-03</w:t>
            </w:r>
          </w:p>
        </w:tc>
        <w:tc>
          <w:tcPr>
            <w:tcW w:type="dxa" w:w="441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b/>
                <w:bCs/>
                <w:sz w:val="17"/>
                <w:szCs w:val="17"/>
              </w:rPr>
              <w:t xml:space="preserve">VM1 to VM2 over two independent Cloudflare Tunnels</w:t>
            </w:r>
            <w:r>
              <w:rPr>
                <w:rFonts w:ascii="Calibri" w:cs="Calibri" w:eastAsia="Calibri" w:hAnsi="Calibri"/>
                <w:sz w:val="17"/>
                <w:szCs w:val="17"/>
              </w:rPr>
              <w:t xml:space="preserve"> (not a private VCN — the accounts are separate). The AI Engine hostname is restricted by Cloudflare Access (service token / mTLS) and the existing HMAC request signing</w:t>
            </w:r>
          </w:p>
        </w:tc>
        <w:tc>
          <w:tcPr>
            <w:tcW w:type="dxa" w:w="441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b/>
                <w:bCs/>
                <w:sz w:val="17"/>
                <w:szCs w:val="17"/>
              </w:rPr>
              <w:t xml:space="preserve">Revised:</w:t>
            </w:r>
            <w:r>
              <w:rPr>
                <w:rFonts w:ascii="Calibri" w:cs="Calibri" w:eastAsia="Calibri" w:hAnsi="Calibri"/>
                <w:sz w:val="17"/>
                <w:szCs w:val="17"/>
              </w:rPr>
              <w:t xml:space="preserve"> private-VCN routing is no longer possible across two accounts</w:t>
            </w:r>
          </w:p>
        </w:tc>
      </w:tr>
      <w:tr>
        <w:trPr>
          <w:cantSplit/>
          <w:tblHeader w:val="false"/>
        </w:trPr>
        <w:tc>
          <w:tcPr>
            <w:tcW w:type="dxa" w:w="1078"/>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ADR-04</w:t>
            </w:r>
          </w:p>
        </w:tc>
        <w:tc>
          <w:tcPr>
            <w:tcW w:type="dxa" w:w="441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PostgreSQL dispatches jobs; Valkey optional</w:t>
            </w:r>
          </w:p>
        </w:tc>
        <w:tc>
          <w:tcPr>
            <w:tcW w:type="dxa" w:w="441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Kept</w:t>
            </w:r>
          </w:p>
        </w:tc>
      </w:tr>
      <w:tr>
        <w:trPr>
          <w:cantSplit/>
          <w:tblHeader w:val="false"/>
        </w:trPr>
        <w:tc>
          <w:tcPr>
            <w:tcW w:type="dxa" w:w="1078"/>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b/>
                <w:bCs/>
                <w:sz w:val="17"/>
                <w:szCs w:val="17"/>
              </w:rPr>
              <w:t xml:space="preserve">ADR-05</w:t>
            </w:r>
          </w:p>
        </w:tc>
        <w:tc>
          <w:tcPr>
            <w:tcW w:type="dxa" w:w="441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b/>
                <w:bCs/>
                <w:sz w:val="17"/>
                <w:szCs w:val="17"/>
              </w:rPr>
              <w:t xml:space="preserve">The visual workflow editor (Phase 8) and the integrations (Phase 9) are in scope, built after the POC and before hardening.</w:t>
            </w:r>
            <w:r>
              <w:rPr>
                <w:rFonts w:ascii="Calibri" w:cs="Calibri" w:eastAsia="Calibri" w:hAnsi="Calibri"/>
                <w:sz w:val="17"/>
                <w:szCs w:val="17"/>
              </w:rPr>
              <w:t xml:space="preserve"> Workflows are stored as versioned JSON; the editor produces that JSON</w:t>
            </w:r>
          </w:p>
        </w:tc>
        <w:tc>
          <w:tcPr>
            <w:tcW w:type="dxa" w:w="441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b/>
                <w:bCs/>
                <w:sz w:val="17"/>
                <w:szCs w:val="17"/>
              </w:rPr>
              <w:t xml:space="preserve">Revised (your decision)</w:t>
            </w:r>
          </w:p>
        </w:tc>
      </w:tr>
      <w:tr>
        <w:trPr>
          <w:cantSplit/>
          <w:tblHeader w:val="false"/>
        </w:trPr>
        <w:tc>
          <w:tcPr>
            <w:tcW w:type="dxa" w:w="1078"/>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ADR-06</w:t>
            </w:r>
          </w:p>
        </w:tc>
        <w:tc>
          <w:tcPr>
            <w:tcW w:type="dxa" w:w="441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One category sentence; retire "Universal Form-to-Workflow" wording</w:t>
            </w:r>
          </w:p>
        </w:tc>
        <w:tc>
          <w:tcPr>
            <w:tcW w:type="dxa" w:w="441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Kept</w:t>
            </w:r>
          </w:p>
        </w:tc>
      </w:tr>
      <w:tr>
        <w:trPr>
          <w:cantSplit/>
          <w:tblHeader w:val="false"/>
        </w:trPr>
        <w:tc>
          <w:tcPr>
            <w:tcW w:type="dxa" w:w="1078"/>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ADR-07</w:t>
            </w:r>
          </w:p>
        </w:tc>
        <w:tc>
          <w:tcPr>
            <w:tcW w:type="dxa" w:w="441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Build order: Phases 0-7, then 8, 9, 10, pilots, 11</w:t>
            </w:r>
          </w:p>
        </w:tc>
        <w:tc>
          <w:tcPr>
            <w:tcW w:type="dxa" w:w="441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Revised</w:t>
            </w:r>
          </w:p>
        </w:tc>
      </w:tr>
      <w:tr>
        <w:trPr>
          <w:cantSplit/>
          <w:tblHeader w:val="false"/>
        </w:trPr>
        <w:tc>
          <w:tcPr>
            <w:tcW w:type="dxa" w:w="1078"/>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b/>
                <w:bCs/>
                <w:sz w:val="17"/>
                <w:szCs w:val="17"/>
              </w:rPr>
              <w:t xml:space="preserve">ADR-08</w:t>
            </w:r>
          </w:p>
        </w:tc>
        <w:tc>
          <w:tcPr>
            <w:tcW w:type="dxa" w:w="441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b/>
                <w:bCs/>
                <w:sz w:val="17"/>
                <w:szCs w:val="17"/>
              </w:rPr>
              <w:t xml:space="preserve">Free tier and open source only.</w:t>
            </w:r>
            <w:r>
              <w:rPr>
                <w:rFonts w:ascii="Calibri" w:cs="Calibri" w:eastAsia="Calibri" w:hAnsi="Calibri"/>
                <w:sz w:val="17"/>
                <w:szCs w:val="17"/>
              </w:rPr>
              <w:t xml:space="preserve"> Free-tier fit check on day 1; fallback ladder; no paid service without your explicit decision</w:t>
            </w:r>
          </w:p>
        </w:tc>
        <w:tc>
          <w:tcPr>
            <w:tcW w:type="dxa" w:w="441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b/>
                <w:bCs/>
                <w:sz w:val="17"/>
                <w:szCs w:val="17"/>
              </w:rPr>
              <w:t xml:space="preserve">Revised (your decision)</w:t>
            </w:r>
          </w:p>
        </w:tc>
      </w:tr>
      <w:tr>
        <w:trPr>
          <w:cantSplit/>
          <w:tblHeader w:val="false"/>
        </w:trPr>
        <w:tc>
          <w:tcPr>
            <w:tcW w:type="dxa" w:w="1078"/>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ADR-09</w:t>
            </w:r>
          </w:p>
        </w:tc>
        <w:tc>
          <w:tcPr>
            <w:tcW w:type="dxa" w:w="441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Customer document content is processed only by the self-hosted AI Engine</w:t>
            </w:r>
          </w:p>
        </w:tc>
        <w:tc>
          <w:tcPr>
            <w:tcW w:type="dxa" w:w="441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Kept</w:t>
            </w:r>
          </w:p>
        </w:tc>
      </w:tr>
      <w:tr>
        <w:trPr>
          <w:cantSplit/>
          <w:tblHeader w:val="false"/>
        </w:trPr>
        <w:tc>
          <w:tcPr>
            <w:tcW w:type="dxa" w:w="1078"/>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ADR-10</w:t>
            </w:r>
          </w:p>
        </w:tc>
        <w:tc>
          <w:tcPr>
            <w:tcW w:type="dxa" w:w="441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SQL-first migrations, Drizzle for typed queries</w:t>
            </w:r>
          </w:p>
        </w:tc>
        <w:tc>
          <w:tcPr>
            <w:tcW w:type="dxa" w:w="441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Kept</w:t>
            </w:r>
          </w:p>
        </w:tc>
      </w:tr>
      <w:tr>
        <w:trPr>
          <w:cantSplit/>
          <w:tblHeader w:val="false"/>
        </w:trPr>
        <w:tc>
          <w:tcPr>
            <w:tcW w:type="dxa" w:w="1078"/>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ADR-11</w:t>
            </w:r>
          </w:p>
        </w:tc>
        <w:tc>
          <w:tcPr>
            <w:tcW w:type="dxa" w:w="441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Envelope encryption for highly sensitive values</w:t>
            </w:r>
          </w:p>
        </w:tc>
        <w:tc>
          <w:tcPr>
            <w:tcW w:type="dxa" w:w="441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Kept</w:t>
            </w:r>
          </w:p>
        </w:tc>
      </w:tr>
      <w:tr>
        <w:trPr>
          <w:cantSplit/>
          <w:tblHeader w:val="false"/>
        </w:trPr>
        <w:tc>
          <w:tcPr>
            <w:tcW w:type="dxa" w:w="1078"/>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ADR-12</w:t>
            </w:r>
          </w:p>
        </w:tc>
        <w:tc>
          <w:tcPr>
            <w:tcW w:type="dxa" w:w="441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The AI Engine holds no cloud credentials; the worker sends verified bytes</w:t>
            </w:r>
          </w:p>
        </w:tc>
        <w:tc>
          <w:tcPr>
            <w:tcW w:type="dxa" w:w="441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Kept</w:t>
            </w:r>
          </w:p>
        </w:tc>
      </w:tr>
      <w:tr>
        <w:trPr>
          <w:cantSplit/>
          <w:tblHeader w:val="false"/>
        </w:trPr>
        <w:tc>
          <w:tcPr>
            <w:tcW w:type="dxa" w:w="1078"/>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b/>
                <w:bCs/>
                <w:sz w:val="17"/>
                <w:szCs w:val="17"/>
              </w:rPr>
              <w:t xml:space="preserve">ADR-13</w:t>
            </w:r>
          </w:p>
        </w:tc>
        <w:tc>
          <w:tcPr>
            <w:tcW w:type="dxa" w:w="441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b/>
                <w:bCs/>
                <w:sz w:val="17"/>
                <w:szCs w:val="17"/>
              </w:rPr>
              <w:t xml:space="preserve">The frontend is hosted on Netlify's free tier</w:t>
            </w:r>
            <w:r>
              <w:rPr>
                <w:rFonts w:ascii="Calibri" w:cs="Calibri" w:eastAsia="Calibri" w:hAnsi="Calibri"/>
                <w:sz w:val="17"/>
                <w:szCs w:val="17"/>
              </w:rPr>
              <w:t xml:space="preserve"> (Netlify's free plan permits commercial use, verified July 2026; Vercel's free Hobby plan does not and is kept only as a non-commercial fallback). Not self-hosted on either VM</w:t>
            </w:r>
          </w:p>
        </w:tc>
        <w:tc>
          <w:tcPr>
            <w:tcW w:type="dxa" w:w="441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b/>
                <w:bCs/>
                <w:sz w:val="17"/>
                <w:szCs w:val="17"/>
              </w:rPr>
              <w:t xml:space="preserve">Revised (your decision)</w:t>
            </w:r>
          </w:p>
        </w:tc>
      </w:tr>
      <w:tr>
        <w:trPr>
          <w:cantSplit/>
          <w:tblHeader w:val="false"/>
        </w:trPr>
        <w:tc>
          <w:tcPr>
            <w:tcW w:type="dxa" w:w="1078"/>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b/>
                <w:bCs/>
                <w:sz w:val="17"/>
                <w:szCs w:val="17"/>
              </w:rPr>
              <w:t xml:space="preserve">ADR-14</w:t>
            </w:r>
          </w:p>
        </w:tc>
        <w:tc>
          <w:tcPr>
            <w:tcW w:type="dxa" w:w="441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b/>
                <w:bCs/>
                <w:sz w:val="17"/>
                <w:szCs w:val="17"/>
              </w:rPr>
              <w:t xml:space="preserve">Government Documents Policy:</w:t>
            </w:r>
            <w:r>
              <w:rPr>
                <w:rFonts w:ascii="Calibri" w:cs="Calibri" w:eastAsia="Calibri" w:hAnsi="Calibri"/>
                <w:sz w:val="17"/>
                <w:szCs w:val="17"/>
              </w:rPr>
              <w:t xml:space="preserve"> Formiva reads and extracts but does not verify authenticity; collection is opt-in per employer with a stated purpose; Aadhaar masked copies only; ID numbers ciphertext with last-four display; caste, community and police documents not collected by default and never sent to AI extraction; enforced by migration 007</w:t>
            </w:r>
          </w:p>
        </w:tc>
        <w:tc>
          <w:tcPr>
            <w:tcW w:type="dxa" w:w="441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New</w:t>
            </w:r>
          </w:p>
        </w:tc>
      </w:tr>
      <w:tr>
        <w:trPr>
          <w:cantSplit/>
          <w:tblHeader w:val="false"/>
        </w:trPr>
        <w:tc>
          <w:tcPr>
            <w:tcW w:type="dxa" w:w="1078"/>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b/>
                <w:bCs/>
                <w:sz w:val="17"/>
                <w:szCs w:val="17"/>
              </w:rPr>
              <w:t xml:space="preserve">ADR-15</w:t>
            </w:r>
          </w:p>
        </w:tc>
        <w:tc>
          <w:tcPr>
            <w:tcW w:type="dxa" w:w="441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b/>
                <w:bCs/>
                <w:sz w:val="17"/>
                <w:szCs w:val="17"/>
              </w:rPr>
              <w:t xml:space="preserve">Cross-account networking.</w:t>
            </w:r>
            <w:r>
              <w:rPr>
                <w:rFonts w:ascii="Calibri" w:cs="Calibri" w:eastAsia="Calibri" w:hAnsi="Calibri"/>
                <w:sz w:val="17"/>
                <w:szCs w:val="17"/>
              </w:rPr>
              <w:t xml:space="preserve"> VM1 and VM2 connect over two independent Cloudflare Tunnels rather than a private VCN, since they sit in separate OCI accounts. Access to the AI Engine hostname requires a Cloudflare Access service token in addition to HMAC request signing</w:t>
            </w:r>
          </w:p>
        </w:tc>
        <w:tc>
          <w:tcPr>
            <w:tcW w:type="dxa" w:w="441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New</w:t>
            </w:r>
          </w:p>
        </w:tc>
      </w:tr>
      <w:tr>
        <w:trPr>
          <w:cantSplit/>
          <w:tblHeader w:val="false"/>
        </w:trPr>
        <w:tc>
          <w:tcPr>
            <w:tcW w:type="dxa" w:w="1078"/>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b/>
                <w:bCs/>
                <w:sz w:val="17"/>
                <w:szCs w:val="17"/>
              </w:rPr>
              <w:t xml:space="preserve">ADR-16</w:t>
            </w:r>
          </w:p>
        </w:tc>
        <w:tc>
          <w:tcPr>
            <w:tcW w:type="dxa" w:w="441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b/>
                <w:bCs/>
                <w:sz w:val="17"/>
                <w:szCs w:val="17"/>
              </w:rPr>
              <w:t xml:space="preserve">Generic connector framework</w:t>
            </w:r>
            <w:r>
              <w:rPr>
                <w:rFonts w:ascii="Calibri" w:cs="Calibri" w:eastAsia="Calibri" w:hAnsi="Calibri"/>
                <w:sz w:val="17"/>
                <w:szCs w:val="17"/>
              </w:rPr>
              <w:t xml:space="preserve"> (migration 008): the fixed list of integration providers is replaced with a documented catalog of categories (ticketing, CRM, HRMS, LMS, university/SIS, and more) and free or open-source examples per category, so new integrations do not need a schema change</w:t>
            </w:r>
          </w:p>
        </w:tc>
        <w:tc>
          <w:tcPr>
            <w:tcW w:type="dxa" w:w="441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New</w:t>
            </w:r>
          </w:p>
        </w:tc>
      </w:tr>
    </w:tbl>
    <w:p>
      <w:pPr>
        <w:spacing w:after="120"/>
      </w:pPr>
    </w:p>
    <w:p>
      <w:pPr>
        <w:pStyle w:val="Heading1"/>
        <w:keepNext/>
      </w:pPr>
      <w:bookmarkStart w:name="h10" w:id="10"/>
      <w:r>
        <w:rPr>
          <w:rFonts w:ascii="Calibri" w:cs="Calibri" w:eastAsia="Calibri" w:hAnsi="Calibri"/>
        </w:rPr>
        <w:t xml:space="preserve">6. External facts checked on 20 September 2026</w:t>
      </w:r>
      <w:bookmarkEnd w:id="10"/>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cantSplit/>
          <w:tblHeader/>
        </w:trPr>
        <w:tc>
          <w:tcPr>
            <w:tcW w:type="dxa" w:w="3302"/>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Fact</w:t>
            </w:r>
          </w:p>
        </w:tc>
        <w:tc>
          <w:tcPr>
            <w:tcW w:type="dxa" w:w="3302"/>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Source</w:t>
            </w:r>
          </w:p>
        </w:tc>
        <w:tc>
          <w:tcPr>
            <w:tcW w:type="dxa" w:w="3302"/>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Confidence</w:t>
            </w:r>
          </w:p>
        </w:tc>
      </w:tr>
      <w:tr>
        <w:trPr>
          <w:cantSplit/>
          <w:tblHeader w:val="false"/>
        </w:trPr>
        <w:tc>
          <w:tcPr>
            <w:tcW w:type="dxa" w:w="330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Always Free Ampere A1 allowance reduced from 4 OCPU / 24 GB to 2 OCPU / 12 GB; documentation changed 15 June 2026</w:t>
            </w:r>
          </w:p>
        </w:tc>
        <w:tc>
          <w:tcPr>
            <w:tcW w:type="dxa" w:w="330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InfoQ (3 July 2026), Linuxiac (14 June 2026)</w:t>
            </w:r>
          </w:p>
        </w:tc>
        <w:tc>
          <w:tcPr>
            <w:tcW w:type="dxa" w:w="330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High that the documentation changed; Oracle's treatment of older tenancies is unconfirmed</w:t>
            </w:r>
          </w:p>
        </w:tc>
      </w:tr>
      <w:tr>
        <w:trPr>
          <w:cantSplit/>
          <w:tblHeader w:val="false"/>
        </w:trPr>
        <w:tc>
          <w:tcPr>
            <w:tcW w:type="dxa" w:w="330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Instances above the new limit on Always Free accounts reported to be terminated from 18 August 2026; enforcement uneven</w:t>
            </w:r>
          </w:p>
        </w:tc>
        <w:tc>
          <w:tcPr>
            <w:tcW w:type="dxa" w:w="330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Blog reporting a notification email</w:t>
            </w:r>
          </w:p>
        </w:tc>
        <w:tc>
          <w:tcPr>
            <w:tcW w:type="dxa" w:w="330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Medium</w:t>
            </w:r>
          </w:p>
        </w:tc>
      </w:tr>
      <w:tr>
        <w:trPr>
          <w:cantSplit/>
          <w:tblHeader w:val="false"/>
        </w:trPr>
        <w:tc>
          <w:tcPr>
            <w:tcW w:type="dxa" w:w="330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Unpaid Always Free instances that stay idle can be stopped or reclaimed</w:t>
            </w:r>
          </w:p>
        </w:tc>
        <w:tc>
          <w:tcPr>
            <w:tcW w:type="dxa" w:w="330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Oracle documentation as quoted by community sources</w:t>
            </w:r>
          </w:p>
        </w:tc>
        <w:tc>
          <w:tcPr>
            <w:tcW w:type="dxa" w:w="330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Medium</w:t>
            </w:r>
          </w:p>
        </w:tc>
      </w:tr>
      <w:tr>
        <w:trPr>
          <w:cantSplit/>
          <w:tblHeader w:val="false"/>
        </w:trPr>
        <w:tc>
          <w:tcPr>
            <w:tcW w:type="dxa" w:w="330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Always Free block storage is 200 GB in total</w:t>
            </w:r>
          </w:p>
        </w:tc>
        <w:tc>
          <w:tcPr>
            <w:tcW w:type="dxa" w:w="330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Oracle documentation as commonly stated; also in your own notes</w:t>
            </w:r>
          </w:p>
        </w:tc>
        <w:tc>
          <w:tcPr>
            <w:tcW w:type="dxa" w:w="330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Medium: verify in the console</w:t>
            </w:r>
          </w:p>
        </w:tc>
      </w:tr>
      <w:tr>
        <w:trPr>
          <w:cantSplit/>
          <w:tblHeader w:val="false"/>
        </w:trPr>
        <w:tc>
          <w:tcPr>
            <w:tcW w:type="dxa" w:w="330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Vercel Hobby is restricted to non-commercial personal use</w:t>
            </w:r>
          </w:p>
        </w:tc>
        <w:tc>
          <w:tcPr>
            <w:tcW w:type="dxa" w:w="330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Vercel Fair Use Guidelines (July 2026)</w:t>
            </w:r>
          </w:p>
        </w:tc>
        <w:tc>
          <w:tcPr>
            <w:tcW w:type="dxa" w:w="330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High</w:t>
            </w:r>
          </w:p>
        </w:tc>
      </w:tr>
      <w:tr>
        <w:trPr>
          <w:cantSplit/>
          <w:tblHeader w:val="false"/>
        </w:trPr>
        <w:tc>
          <w:tcPr>
            <w:tcW w:type="dxa" w:w="330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DPDP Rules 2025 notified November 2025; obligations commence about 13 May 2027; breach notification within 72 hours</w:t>
            </w:r>
          </w:p>
        </w:tc>
        <w:tc>
          <w:tcPr>
            <w:tcW w:type="dxa" w:w="330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Lexology, PIB, law-firm summaries</w:t>
            </w:r>
          </w:p>
        </w:tc>
        <w:tc>
          <w:tcPr>
            <w:tcW w:type="dxa" w:w="330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High on dates; counsel interprets your role</w:t>
            </w:r>
          </w:p>
        </w:tc>
      </w:tr>
    </w:tbl>
    <w:p>
      <w:pPr>
        <w:spacing w:after="120"/>
      </w:pPr>
    </w:p>
    <w:p>
      <w:pPr>
        <w:pStyle w:val="Heading1"/>
        <w:keepNext/>
      </w:pPr>
      <w:bookmarkStart w:name="h11" w:id="11"/>
      <w:r>
        <w:rPr>
          <w:rFonts w:ascii="Calibri" w:cs="Calibri" w:eastAsia="Calibri" w:hAnsi="Calibri"/>
        </w:rPr>
        <w:t xml:space="preserve">7. Changes made to the documents</w:t>
      </w:r>
      <w:bookmarkEnd w:id="11"/>
    </w:p>
    <w:p>
      <w:pPr>
        <w:spacing w:after="100" w:line="264"/>
      </w:pPr>
      <w:r>
        <w:rPr>
          <w:rFonts w:ascii="Calibri" w:cs="Calibri" w:eastAsia="Calibri" w:hAnsi="Calibri"/>
        </w:rPr>
        <w:t xml:space="preserve">Originals remain in your zip. Edited copies carry the suffix </w:t>
      </w:r>
      <w:r>
        <w:rPr>
          <w:rFonts w:ascii="Calibri" w:cs="Calibri" w:eastAsia="Calibri" w:hAnsi="Calibri"/>
          <w:b/>
          <w:bCs/>
        </w:rPr>
        <w:t xml:space="preserve">_v2.1</w:t>
      </w:r>
      <w:r>
        <w:rPr>
          <w:rFonts w:ascii="Calibri" w:cs="Calibri" w:eastAsia="Calibri" w:hAnsi="Calibri"/>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cantSplit/>
          <w:tblHeader/>
        </w:trPr>
        <w:tc>
          <w:tcPr>
            <w:tcW w:type="dxa" w:w="4953"/>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Document</w:t>
            </w:r>
          </w:p>
        </w:tc>
        <w:tc>
          <w:tcPr>
            <w:tcW w:type="dxa" w:w="4953"/>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Edit</w:t>
            </w:r>
          </w:p>
        </w:tc>
      </w:tr>
      <w:tr>
        <w:trPr>
          <w:cantSplit/>
          <w:tblHeader w:val="false"/>
        </w:trPr>
        <w:tc>
          <w:tcPr>
            <w:tcW w:type="dxa" w:w="49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Project Management Dashboard</w:t>
            </w:r>
          </w:p>
        </w:tc>
        <w:tc>
          <w:tcPr>
            <w:tcW w:type="dxa" w:w="49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Rebuilt: 94 tasks with PRD phase numbers; Phases 8 and 9 active; new government-document tasks; dates rebased from Monday 21 September 2026; milestones consistent</w:t>
            </w:r>
          </w:p>
        </w:tc>
      </w:tr>
      <w:tr>
        <w:trPr>
          <w:cantSplit/>
          <w:tblHeader w:val="false"/>
        </w:trPr>
        <w:tc>
          <w:tcPr>
            <w:tcW w:type="dxa" w:w="49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Business Plan</w:t>
            </w:r>
          </w:p>
        </w:tc>
        <w:tc>
          <w:tcPr>
            <w:tcW w:type="dxa" w:w="49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B2B-only scenario table; free-tier note; web app on VM1; phase count corrected; wording for synthetic data before the sensitive-pilot gate; Government Documents section added</w:t>
            </w:r>
          </w:p>
        </w:tc>
      </w:tr>
      <w:tr>
        <w:trPr>
          <w:cantSplit/>
          <w:tblHeader w:val="false"/>
        </w:trPr>
        <w:tc>
          <w:tcPr>
            <w:tcW w:type="dxa" w:w="49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PRD</w:t>
            </w:r>
          </w:p>
        </w:tc>
        <w:tc>
          <w:tcPr>
            <w:tcW w:type="dxa" w:w="49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Deployment table (PostgreSQL on VM1, web on VM1, VM sizes); REST decision; editor and integrations un-gated; Government Documents section added</w:t>
            </w:r>
          </w:p>
        </w:tc>
      </w:tr>
      <w:tr>
        <w:trPr>
          <w:cantSplit/>
          <w:tblHeader w:val="false"/>
        </w:trPr>
        <w:tc>
          <w:tcPr>
            <w:tcW w:type="dxa" w:w="49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POC</w:t>
            </w:r>
          </w:p>
        </w:tc>
        <w:tc>
          <w:tcPr>
            <w:tcW w:type="dxa" w:w="49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Environment table (VM sizes, VM1/VM2 split); memory and load wording; REST decision</w:t>
            </w:r>
          </w:p>
        </w:tc>
      </w:tr>
      <w:tr>
        <w:trPr>
          <w:cantSplit/>
          <w:tblHeader w:val="false"/>
        </w:trPr>
        <w:tc>
          <w:tcPr>
            <w:tcW w:type="dxa" w:w="49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SOP</w:t>
            </w:r>
          </w:p>
        </w:tc>
        <w:tc>
          <w:tcPr>
            <w:tcW w:type="dxa" w:w="49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VM1/VM2 procedures; web service checks; Government Document Handling procedure with a manual verification checklist</w:t>
            </w:r>
          </w:p>
        </w:tc>
      </w:tr>
      <w:tr>
        <w:trPr>
          <w:cantSplit/>
          <w:tblHeader w:val="false"/>
        </w:trPr>
        <w:tc>
          <w:tcPr>
            <w:tcW w:type="dxa" w:w="49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Coding Plan, Database Plan, Technical Documentation</w:t>
            </w:r>
          </w:p>
        </w:tc>
        <w:tc>
          <w:tcPr>
            <w:tcW w:type="dxa" w:w="49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Edited in place: free-tier baseline, editor and integration phases with full prompts, government-document prompts, recalculated calendar, migration 007</w:t>
            </w:r>
          </w:p>
        </w:tc>
      </w:tr>
      <w:tr>
        <w:trPr>
          <w:cantSplit/>
          <w:tblHeader w:val="false"/>
        </w:trPr>
        <w:tc>
          <w:tcPr>
            <w:tcW w:type="dxa" w:w="49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Database package</w:t>
            </w:r>
          </w:p>
        </w:tc>
        <w:tc>
          <w:tcPr>
            <w:tcW w:type="dxa" w:w="49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Migration 007 and its tests added; 99 automated checks pass</w:t>
            </w:r>
          </w:p>
        </w:tc>
      </w:tr>
      <w:tr>
        <w:trPr>
          <w:cantSplit/>
          <w:tblHeader w:val="false"/>
        </w:trPr>
        <w:tc>
          <w:tcPr>
            <w:tcW w:type="dxa" w:w="49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Architecture diagrams</w:t>
            </w:r>
          </w:p>
        </w:tc>
        <w:tc>
          <w:tcPr>
            <w:tcW w:type="dxa" w:w="49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Redrawn for the new topology</w:t>
            </w:r>
          </w:p>
        </w:tc>
      </w:tr>
      <w:tr>
        <w:trPr>
          <w:cantSplit/>
          <w:tblHeader w:val="false"/>
        </w:trPr>
        <w:tc>
          <w:tcPr>
            <w:tcW w:type="dxa" w:w="49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Use Cases and Sales Strategy</w:t>
            </w:r>
          </w:p>
        </w:tc>
        <w:tc>
          <w:tcPr>
            <w:tcW w:type="dxa" w:w="49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No change required</w:t>
            </w:r>
          </w:p>
        </w:tc>
      </w:tr>
    </w:tbl>
    <w:p>
      <w:pPr>
        <w:spacing w:after="120"/>
      </w:pPr>
    </w:p>
    <w:p>
      <w:pPr>
        <w:pStyle w:val="Heading1"/>
        <w:keepNext/>
      </w:pPr>
      <w:bookmarkStart w:name="h12" w:id="12"/>
      <w:r>
        <w:rPr>
          <w:rFonts w:ascii="Calibri" w:cs="Calibri" w:eastAsia="Calibri" w:hAnsi="Calibri"/>
        </w:rPr>
        <w:t xml:space="preserve">8. What you should do in the next seven days</w:t>
      </w:r>
      <w:bookmarkEnd w:id="12"/>
    </w:p>
    <w:p>
      <w:pPr>
        <w:pStyle w:val="ListParagraph"/>
        <w:numPr>
          <w:ilvl w:val="0"/>
          <w:numId w:val="2"/>
        </w:numPr>
        <w:spacing w:after="50" w:line="259"/>
      </w:pPr>
      <w:r>
        <w:rPr>
          <w:rFonts w:ascii="Calibri" w:cs="Calibri" w:eastAsia="Calibri" w:hAnsi="Calibri"/>
          <w:b/>
          <w:bCs/>
        </w:rPr>
        <w:t xml:space="preserve">Open the OCI console and check three things:</w:t>
      </w:r>
      <w:r>
        <w:rPr>
          <w:rFonts w:ascii="Calibri" w:cs="Calibri" w:eastAsia="Calibri" w:hAnsi="Calibri"/>
        </w:rPr>
        <w:t xml:space="preserve"> is Server #1 (instance-20260530-1135) running; what OCPU, memory and storage does your tenancy show; and does the console show the 2 OCPU / 12 GB limit or the older 4 / 24. Tell me the answer and I will adjust the sizes.</w:t>
      </w:r>
    </w:p>
    <w:p>
      <w:pPr>
        <w:pStyle w:val="ListParagraph"/>
        <w:numPr>
          <w:ilvl w:val="0"/>
          <w:numId w:val="2"/>
        </w:numPr>
        <w:spacing w:after="50" w:line="259"/>
      </w:pPr>
      <w:r>
        <w:rPr>
          <w:rFonts w:ascii="Calibri" w:cs="Calibri" w:eastAsia="Calibri" w:hAnsi="Calibri"/>
          <w:b/>
          <w:bCs/>
        </w:rPr>
        <w:t xml:space="preserve">Harden Server #1 today:</w:t>
      </w:r>
      <w:r>
        <w:rPr>
          <w:rFonts w:ascii="Calibri" w:cs="Calibri" w:eastAsia="Calibri" w:hAnsi="Calibri"/>
        </w:rPr>
        <w:t xml:space="preserve"> key-only SSH, disable password login, replace NOPASSWD:ALL, keep port 22 closed to the internet.</w:t>
      </w:r>
    </w:p>
    <w:p>
      <w:pPr>
        <w:pStyle w:val="ListParagraph"/>
        <w:numPr>
          <w:ilvl w:val="0"/>
          <w:numId w:val="2"/>
        </w:numPr>
        <w:spacing w:after="50" w:line="259"/>
      </w:pPr>
      <w:r>
        <w:rPr>
          <w:rFonts w:ascii="Calibri" w:cs="Calibri" w:eastAsia="Calibri" w:hAnsi="Calibri"/>
          <w:b/>
          <w:bCs/>
        </w:rPr>
        <w:t xml:space="preserve">Do not resize Server #1's disk or shape yet.</w:t>
      </w:r>
      <w:r>
        <w:rPr>
          <w:rFonts w:ascii="Calibri" w:cs="Calibri" w:eastAsia="Calibri" w:hAnsi="Calibri"/>
        </w:rPr>
        <w:t xml:space="preserve"> Wait for the check in step 1.</w:t>
      </w:r>
    </w:p>
    <w:p>
      <w:pPr>
        <w:pStyle w:val="ListParagraph"/>
        <w:numPr>
          <w:ilvl w:val="0"/>
          <w:numId w:val="2"/>
        </w:numPr>
        <w:spacing w:after="50" w:line="259"/>
      </w:pPr>
      <w:r>
        <w:rPr>
          <w:rFonts w:ascii="Calibri" w:cs="Calibri" w:eastAsia="Calibri" w:hAnsi="Calibri"/>
          <w:b/>
          <w:bCs/>
        </w:rPr>
        <w:t xml:space="preserve">Start the Phase 0 interviews</w:t>
      </w:r>
      <w:r>
        <w:rPr>
          <w:rFonts w:ascii="Calibri" w:cs="Calibri" w:eastAsia="Calibri" w:hAnsi="Calibri"/>
        </w:rPr>
        <w:t xml:space="preserve"> (15-20 target firms). The build is worthless without three committed pilots.</w:t>
      </w:r>
    </w:p>
    <w:p>
      <w:pPr>
        <w:pStyle w:val="ListParagraph"/>
        <w:numPr>
          <w:ilvl w:val="0"/>
          <w:numId w:val="2"/>
        </w:numPr>
        <w:spacing w:after="50" w:line="259"/>
      </w:pPr>
      <w:r>
        <w:rPr>
          <w:rFonts w:ascii="Calibri" w:cs="Calibri" w:eastAsia="Calibri" w:hAnsi="Calibri"/>
          <w:b/>
          <w:bCs/>
        </w:rPr>
        <w:t xml:space="preserve">Answer the open decisions</w:t>
      </w:r>
      <w:r>
        <w:rPr>
          <w:rFonts w:ascii="Calibri" w:cs="Calibri" w:eastAsia="Calibri" w:hAnsi="Calibri"/>
        </w:rPr>
        <w:t xml:space="preserve"> in Technical Documentation section 12.</w:t>
      </w:r>
    </w:p>
    <w:p>
      <w:pPr>
        <w:pStyle w:val="ListParagraph"/>
        <w:numPr>
          <w:ilvl w:val="0"/>
          <w:numId w:val="2"/>
        </w:numPr>
        <w:spacing w:after="50" w:line="259"/>
      </w:pPr>
      <w:r>
        <w:rPr>
          <w:rFonts w:ascii="Calibri" w:cs="Calibri" w:eastAsia="Calibri" w:hAnsi="Calibri"/>
          <w:b/>
          <w:bCs/>
        </w:rPr>
        <w:t xml:space="preserve">Never paste customer documents, real ID numbers or secrets into any AI coding tool.</w:t>
      </w:r>
    </w:p>
    <w:p>
      <w:pPr>
        <w:pStyle w:val="Heading1"/>
        <w:keepNext/>
      </w:pPr>
      <w:bookmarkStart w:name="h13" w:id="13"/>
      <w:r>
        <w:rPr>
          <w:rFonts w:ascii="Calibri" w:cs="Calibri" w:eastAsia="Calibri" w:hAnsi="Calibri"/>
        </w:rPr>
        <w:t xml:space="preserve">9. What would change this verdict</w:t>
      </w:r>
      <w:bookmarkEnd w:id="13"/>
    </w:p>
    <w:p>
      <w:pPr>
        <w:pStyle w:val="ListParagraph"/>
        <w:numPr>
          <w:ilvl w:val="0"/>
          <w:numId w:val="3"/>
        </w:numPr>
        <w:spacing w:after="50" w:line="259"/>
      </w:pPr>
      <w:r>
        <w:rPr>
          <w:rFonts w:ascii="Calibri" w:cs="Calibri" w:eastAsia="Calibri" w:hAnsi="Calibri"/>
        </w:rPr>
        <w:t xml:space="preserve">If fewer than eight of the first 15 interviews describe the same onboarding rework, the wedge is wrong.</w:t>
      </w:r>
    </w:p>
    <w:p>
      <w:pPr>
        <w:pStyle w:val="ListParagraph"/>
        <w:numPr>
          <w:ilvl w:val="0"/>
          <w:numId w:val="3"/>
        </w:numPr>
        <w:spacing w:after="50" w:line="259"/>
      </w:pPr>
      <w:r>
        <w:rPr>
          <w:rFonts w:ascii="Calibri" w:cs="Calibri" w:eastAsia="Calibri" w:hAnsi="Calibri"/>
        </w:rPr>
        <w:t xml:space="preserve">If the CPU benchmark shows the model cannot classify documents in a time HR accepts, the plan runs in "AI-lite" mode with human review by default. That is still a valid product.</w:t>
      </w:r>
    </w:p>
    <w:p>
      <w:pPr>
        <w:pStyle w:val="ListParagraph"/>
        <w:numPr>
          <w:ilvl w:val="0"/>
          <w:numId w:val="3"/>
        </w:numPr>
        <w:spacing w:after="50" w:line="259"/>
      </w:pPr>
      <w:r>
        <w:rPr>
          <w:rFonts w:ascii="Calibri" w:cs="Calibri" w:eastAsia="Calibri" w:hAnsi="Calibri"/>
        </w:rPr>
        <w:t xml:space="preserve">If counsel concludes Formiva cannot handle employee identity documents as a processor, the sensitive-pilot gate stays closed and pilots stay on synthetic or redacted data.</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t xml:space="preserve">Confidential planning document  |  Page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of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1DC" w:sz="4" w:space="2"/>
      </w:pBdr>
      <w:jc w:val="right"/>
    </w:pPr>
    <w:r>
      <w:rPr>
        <w:rFonts w:ascii="Calibri" w:cs="Calibri" w:eastAsia="Calibri" w:hAnsi="Calibri"/>
        <w:color w:val="6B7280"/>
        <w:sz w:val="16"/>
        <w:szCs w:val="16"/>
      </w:rPr>
      <w:t xml:space="preserve">Formiva 2.0 Plan Review, Verdict and Change Register  |  Formiva CaseFlow v2.1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lvl w:ilvl="2" w15:tentative="1">
      <w:start w:val="1"/>
      <w:numFmt w:val="bullet"/>
      <w:lvlText w:val="·"/>
      <w:lvlJc w:val="left"/>
      <w:pPr>
        <w:ind w:left="1180" w:hanging="260"/>
      </w:pPr>
    </w:lvl>
  </w:abstractNum>
  <w:abstractNum w:abstractNumId="3" w15:restartNumberingAfterBreak="0">
    <w:multiLevelType w:val="hybridMultilevel"/>
    <w:lvl w:ilvl="0" w15:tentative="1">
      <w:start w:val="1"/>
      <w:numFmt w:val="decimal"/>
      <w:lvlText w:val="%1."/>
      <w:lvlJc w:val="left"/>
      <w:pPr>
        <w:ind w:left="500" w:hanging="340"/>
      </w:pPr>
    </w:lvl>
    <w:lvl w:ilvl="1" w15:tentative="1">
      <w:start w:val="1"/>
      <w:numFmt w:val="decimal"/>
      <w:lvlText w:val="%2."/>
      <w:lvlJc w:val="left"/>
      <w:pPr>
        <w:ind w:left="860" w:hanging="340"/>
      </w:pPr>
    </w:lvl>
    <w:lvl w:ilvl="2" w15:tentative="1">
      <w:start w:val="1"/>
      <w:numFmt w:val="decimal"/>
      <w:lvlText w:val="%3."/>
      <w:lvlJc w:val="left"/>
      <w:pPr>
        <w:ind w:left="1220" w:hanging="3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Calibri" w:cs="Calibri" w:eastAsia="Calibri" w:hAnsi="Calibri"/>
      <w:b/>
      <w:bCs/>
      <w:color w:val="1F3A5F"/>
      <w:sz w:val="34"/>
      <w:szCs w:val="34"/>
    </w:rPr>
  </w:style>
  <w:style w:type="paragraph" w:styleId="Heading2">
    <w:name w:val="Heading 2"/>
    <w:basedOn w:val="Normal"/>
    <w:next w:val="Normal"/>
    <w:qFormat/>
    <w:pPr>
      <w:spacing w:after="100" w:before="260"/>
      <w:outlineLvl w:val="1"/>
    </w:pPr>
    <w:rPr>
      <w:rFonts w:ascii="Calibri" w:cs="Calibri" w:eastAsia="Calibri" w:hAnsi="Calibri"/>
      <w:b/>
      <w:bCs/>
      <w:color w:val="1A56DB"/>
      <w:sz w:val="27"/>
      <w:szCs w:val="27"/>
    </w:rPr>
  </w:style>
  <w:style w:type="paragraph" w:styleId="Heading3">
    <w:name w:val="Heading 3"/>
    <w:basedOn w:val="Normal"/>
    <w:next w:val="Normal"/>
    <w:qFormat/>
    <w:pPr>
      <w:spacing w:after="80" w:before="200"/>
      <w:outlineLvl w:val="2"/>
    </w:pPr>
    <w:rPr>
      <w:rFonts w:ascii="Calibri" w:cs="Calibri" w:eastAsia="Calibri" w:hAnsi="Calibri"/>
      <w:b/>
      <w:bCs/>
      <w:color w:val="111827"/>
      <w:sz w:val="23"/>
      <w:szCs w:val="23"/>
    </w:rPr>
  </w:style>
  <w:style w:type="paragraph" w:styleId="Heading4">
    <w:name w:val="Heading 4"/>
    <w:basedOn w:val="Normal"/>
    <w:next w:val="Normal"/>
    <w:qFormat/>
    <w:pPr>
      <w:spacing w:after="60" w:before="140"/>
      <w:outlineLvl w:val="3"/>
    </w:pPr>
    <w:rPr>
      <w:rFonts w:ascii="Calibri" w:cs="Calibri" w:eastAsia="Calibri" w:hAnsi="Calibri"/>
      <w:b/>
      <w:bCs/>
      <w:i/>
      <w:iCs/>
      <w:color w:val="374151"/>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Formiva 2.0 Plan Review, Verdict and Change Register</dc:title>
  <dc:creator>Formiva</dc:creator>
  <cp:lastModifiedBy>Un-named</cp:lastModifiedBy>
  <cp:revision>1</cp:revision>
  <dcterms:created xsi:type="dcterms:W3CDTF">2026-10-03T08:12:11.553Z</dcterms:created>
  <dcterms:modified xsi:type="dcterms:W3CDTF">2026-10-03T08:12:11.558Z</dcterms:modified>
</cp:coreProperties>
</file>

<file path=docProps/custom.xml><?xml version="1.0" encoding="utf-8"?>
<Properties xmlns="http://schemas.openxmlformats.org/officeDocument/2006/custom-properties" xmlns:vt="http://schemas.openxmlformats.org/officeDocument/2006/docPropsVTypes"/>
</file>