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Formiva 2.0 Redesigned Business Plan</w:t>
      </w:r>
    </w:p>
    <w:p>
      <w:pPr>
        <w:jc w:val="center"/>
      </w:pPr>
      <w:r>
        <w:rPr>
          <w:color w:val="2F5597"/>
          <w:sz w:val="26"/>
        </w:rPr>
        <w:t>Focused Intake-to-Outcome CaseFlow Strategy</w:t>
      </w:r>
    </w:p>
    <w:p/>
    <w:p/>
    <w:p>
      <w:pPr>
        <w:jc w:val="center"/>
      </w:pPr>
      <w:r>
        <w:rPr>
          <w:color w:val="646464"/>
          <w:sz w:val="20"/>
        </w:rPr>
        <w:t>Prepared by Manus AI | September 2026</w:t>
      </w:r>
    </w:p>
    <w:p>
      <w:pPr>
        <w:jc w:val="center"/>
      </w:pPr>
      <w:r>
        <w:rPr>
          <w:i/>
          <w:sz w:val="18"/>
        </w:rPr>
        <w:t>Confidential internal planning document</w:t>
      </w:r>
    </w:p>
    <w:p>
      <w:r>
        <w:br w:type="page"/>
      </w:r>
    </w:p>
    <w:p>
      <w:pPr>
        <w:pStyle w:val="Heading1"/>
      </w:pPr>
      <w:r>
        <w:t>Table of Contents</w:t>
      </w:r>
    </w:p>
    <w:p>
      <w:fldSimple w:instr="TOC \o &quot;1-3&quot; \h \z \u"/>
    </w:p>
    <w:p>
      <w:pPr>
        <w:spacing w:after="80"/>
      </w:pPr>
      <w:r>
        <w:t>The table of contents is a clickable Word field. If page numbers do not appear immediately, open the document in Microsoft Word, select the table, and choose Update Field.</w:t>
      </w:r>
    </w:p>
    <w:p>
      <w:pPr>
        <w:spacing w:after="80"/>
      </w:pPr>
      <w:r>
        <w:rPr>
          <w:b/>
        </w:rPr>
        <w:t>Version 2.1 patch note (20 September 2026): this document was updated to match the twelve architecture decision records in the Formiva 2.0 Plan Review and Change Register. Main changes: PostgreSQL and backups run on VM1 and VM2 is AI-only; PostgreSQL dispatches jobs; REST with OpenAPI; Pay-As-You-Go infrastructure; visual editor and extra adapters are gated behind three paid pilots.</w:t>
      </w:r>
    </w:p>
    <w:p>
      <w:pPr>
        <w:spacing w:after="100" w:line="259" w:lineRule="auto"/>
      </w:pPr>
      <w:r>
        <w:rPr>
          <w:b/>
          <w:sz w:val="19"/>
        </w:rPr>
        <w:t>Document type:</w:t>
      </w:r>
      <w:r>
        <w:rPr>
          <w:sz w:val="19"/>
        </w:rPr>
        <w:t xml:space="preserve"> Final strategy draft  </w:t>
      </w:r>
    </w:p>
    <w:p>
      <w:pPr>
        <w:spacing w:after="100" w:line="259" w:lineRule="auto"/>
      </w:pPr>
      <w:r>
        <w:rPr>
          <w:b/>
          <w:sz w:val="19"/>
        </w:rPr>
        <w:t>Version:</w:t>
      </w:r>
      <w:r>
        <w:rPr>
          <w:sz w:val="19"/>
        </w:rPr>
        <w:t xml:space="preserve"> 2.0  </w:t>
      </w:r>
    </w:p>
    <w:p>
      <w:pPr>
        <w:spacing w:after="100" w:line="259" w:lineRule="auto"/>
      </w:pPr>
      <w:r>
        <w:rPr>
          <w:b/>
          <w:sz w:val="19"/>
        </w:rPr>
        <w:t>Prepared by:</w:t>
      </w:r>
      <w:r>
        <w:rPr>
          <w:sz w:val="19"/>
        </w:rPr>
        <w:t xml:space="preserve"> Manus AI  </w:t>
      </w:r>
    </w:p>
    <w:p>
      <w:pPr>
        <w:spacing w:after="100" w:line="259" w:lineRule="auto"/>
      </w:pPr>
      <w:r>
        <w:rPr>
          <w:b/>
          <w:sz w:val="19"/>
        </w:rPr>
        <w:t>Date:</w:t>
      </w:r>
      <w:r>
        <w:rPr>
          <w:sz w:val="19"/>
        </w:rPr>
        <w:t xml:space="preserve"> September 2026  </w:t>
      </w:r>
    </w:p>
    <w:p>
      <w:pPr>
        <w:spacing w:after="100" w:line="259" w:lineRule="auto"/>
      </w:pPr>
      <w:r>
        <w:rPr>
          <w:b/>
          <w:sz w:val="19"/>
        </w:rPr>
        <w:t>Status:</w:t>
      </w:r>
      <w:r>
        <w:rPr>
          <w:sz w:val="19"/>
        </w:rPr>
        <w:t xml:space="preserve"> Decision-ready planning document; not a financial forecast or legal opinion  </w:t>
      </w:r>
    </w:p>
    <w:p>
      <w:pPr>
        <w:spacing w:after="100" w:line="259" w:lineRule="auto"/>
      </w:pPr>
      <w:r>
        <w:rPr>
          <w:b/>
          <w:sz w:val="19"/>
        </w:rPr>
        <w:t>Confidentiality:</w:t>
      </w:r>
      <w:r>
        <w:rPr>
          <w:sz w:val="19"/>
        </w:rPr>
        <w:t xml:space="preserve"> Internal working document  </w:t>
      </w:r>
    </w:p>
    <w:p>
      <w:pPr>
        <w:spacing w:after="100" w:line="259" w:lineRule="auto"/>
      </w:pPr>
      <w:r>
        <w:rPr>
          <w:b/>
          <w:sz w:val="19"/>
        </w:rPr>
        <w:t>Approved launch scope:</w:t>
      </w:r>
      <w:r>
        <w:rPr>
          <w:sz w:val="19"/>
        </w:rPr>
        <w:t xml:space="preserve"> Employee onboarding and document collection for Indian IT and professional-services SMBs with 10–100 employees</w:t>
      </w:r>
    </w:p>
    <w:p>
      <w:pPr>
        <w:pStyle w:val="Heading1"/>
      </w:pPr>
      <w:r>
        <w:t>1. Executive decision</w:t>
      </w:r>
    </w:p>
    <w:p>
      <w:pPr>
        <w:spacing w:after="100" w:line="259" w:lineRule="auto"/>
      </w:pPr>
      <w:r>
        <w:rPr>
          <w:sz w:val="19"/>
        </w:rPr>
        <w:t xml:space="preserve">Formiva will launch as a focused, AI-assisted </w:t>
      </w:r>
      <w:r>
        <w:rPr>
          <w:b/>
          <w:sz w:val="19"/>
        </w:rPr>
        <w:t>intake-to-outcome CaseFlow platform</w:t>
      </w:r>
      <w:r>
        <w:rPr>
          <w:sz w:val="19"/>
        </w:rPr>
        <w:t>, not as a universal form builder. The first product converts an employee-onboarding submission into a controlled case: it collects structured information and documents, validates them, classifies them, routes exceptions to a human, obtains approval, performs one authorized downstream action, and preserves an auditable record.</w:t>
      </w:r>
    </w:p>
    <w:p>
      <w:pPr>
        <w:spacing w:after="100" w:line="259" w:lineRule="auto"/>
      </w:pPr>
      <w:r>
        <w:rPr>
          <w:sz w:val="19"/>
        </w:rPr>
        <w:t xml:space="preserve">The beachhead is an Indian IT or professional-services firm with </w:t>
      </w:r>
      <w:r>
        <w:rPr>
          <w:b/>
          <w:sz w:val="19"/>
        </w:rPr>
        <w:t>10–100 employees</w:t>
      </w:r>
      <w:r>
        <w:rPr>
          <w:sz w:val="19"/>
        </w:rPr>
        <w:t xml:space="preserve">, recurring hiring, and a named HR or operations owner. The first workflow is </w:t>
      </w:r>
      <w:r>
        <w:rPr>
          <w:b/>
          <w:sz w:val="19"/>
        </w:rPr>
        <w:t>employee onboarding and document collection</w:t>
      </w:r>
      <w:r>
        <w:rPr>
          <w:sz w:val="19"/>
        </w:rPr>
        <w:t>. The initial buyer is a founder, HR generalist, operations lead, or an MSP serving these firms. The respondent is the new hire. Reviewers are HR or operations staff. Finance, payroll, IT, and hiring managers are downstream actors.</w:t>
      </w:r>
    </w:p>
    <w:p>
      <w:pPr>
        <w:spacing w:after="100" w:line="259" w:lineRule="auto"/>
      </w:pPr>
      <w:r>
        <w:rPr>
          <w:sz w:val="19"/>
        </w:rPr>
        <w:t xml:space="preserve">The 12-month management objective is evidence of repeatable paid use, not breadth. The base planning case is 35 paying B2B organizations at approximately ₹3,200 blended monthly recurring revenue per organization, with 70% or more activation within 14 days, 50% or more month-six logo retention, and at least 30% of retained accounts using three workflows. These are </w:t>
      </w:r>
      <w:r>
        <w:rPr>
          <w:b/>
          <w:sz w:val="19"/>
        </w:rPr>
        <w:t>internal scenario assumptions</w:t>
      </w:r>
      <w:r>
        <w:rPr>
          <w:sz w:val="19"/>
        </w:rPr>
        <w:t>, not commitments or forecasts.</w:t>
      </w:r>
    </w:p>
    <w:p>
      <w:pPr>
        <w:spacing w:after="100" w:line="259" w:lineRule="auto"/>
      </w:pPr>
      <w:r>
        <w:rPr>
          <w:sz w:val="19"/>
        </w:rPr>
        <w:t xml:space="preserve">The strategic sequence is </w:t>
      </w:r>
      <w:r>
        <w:rPr>
          <w:b/>
          <w:sz w:val="19"/>
        </w:rPr>
        <w:t>build → deploy → launch and market → earn real customer traction → consider external strategic financing or acquisition work only after evidence exists</w:t>
      </w:r>
      <w:r>
        <w:rPr>
          <w:sz w:val="19"/>
        </w:rPr>
        <w:t>. No financing process is underway. WhatsApp commerce is not a launch pillar. It is a separately governed experiment that may be considered only after the B2B product demonstrates paid, repeat use and a candidate store passes readiness gates.</w:t>
      </w:r>
    </w:p>
    <w:p>
      <w:pPr>
        <w:pStyle w:val="Heading1"/>
      </w:pPr>
      <w:r>
        <w:t>2. Evidence and confidence discipline</w:t>
      </w:r>
    </w:p>
    <w:p>
      <w:pPr>
        <w:spacing w:after="100" w:line="259" w:lineRule="auto"/>
      </w:pPr>
      <w:r>
        <w:rPr>
          <w:sz w:val="19"/>
        </w:rPr>
        <w:t xml:space="preserve">Every material statement in this plan uses one of four labels. A </w:t>
      </w:r>
      <w:r>
        <w:rPr>
          <w:b/>
          <w:sz w:val="19"/>
        </w:rPr>
        <w:t>vendor claim</w:t>
      </w:r>
      <w:r>
        <w:rPr>
          <w:sz w:val="19"/>
        </w:rPr>
        <w:t xml:space="preserve"> is a statement published by a provider and is not independently treated as proof of performance. An </w:t>
      </w:r>
      <w:r>
        <w:rPr>
          <w:b/>
          <w:sz w:val="19"/>
        </w:rPr>
        <w:t>analyst inference</w:t>
      </w:r>
      <w:r>
        <w:rPr>
          <w:sz w:val="19"/>
        </w:rPr>
        <w:t xml:space="preserve"> is a reasoned conclusion from the evidence base. An </w:t>
      </w:r>
      <w:r>
        <w:rPr>
          <w:b/>
          <w:sz w:val="19"/>
        </w:rPr>
        <w:t>internal assumption</w:t>
      </w:r>
      <w:r>
        <w:rPr>
          <w:sz w:val="19"/>
        </w:rPr>
        <w:t xml:space="preserve"> is a planning input that must be measured. A </w:t>
      </w:r>
      <w:r>
        <w:rPr>
          <w:b/>
          <w:sz w:val="19"/>
        </w:rPr>
        <w:t>legal caveat</w:t>
      </w:r>
      <w:r>
        <w:rPr>
          <w:sz w:val="19"/>
        </w:rPr>
        <w:t xml:space="preserve"> identifies an obligation or boundary requiring counsel, contracts, or an independent assessment.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Label</w:t>
            </w:r>
          </w:p>
        </w:tc>
        <w:tc>
          <w:tcPr>
            <w:tcW w:type="dxa" w:w="3389"/>
            <w:shd w:fill="1F4E79"/>
            <w:vAlign w:val="center"/>
          </w:tcPr>
          <w:p>
            <w:pPr>
              <w:spacing w:after="0"/>
            </w:pPr>
            <w:r>
              <w:rPr>
                <w:b/>
                <w:color w:val="FFFFFF"/>
              </w:rPr>
            </w:r>
            <w:r>
              <w:rPr>
                <w:b/>
                <w:color w:val="FFFFFF"/>
                <w:sz w:val="16"/>
              </w:rPr>
              <w:t>Meaning in this plan</w:t>
            </w:r>
          </w:p>
        </w:tc>
        <w:tc>
          <w:tcPr>
            <w:tcW w:type="dxa" w:w="3389"/>
            <w:shd w:fill="1F4E79"/>
            <w:vAlign w:val="center"/>
          </w:tcPr>
          <w:p>
            <w:pPr>
              <w:spacing w:after="0"/>
            </w:pPr>
            <w:r>
              <w:rPr>
                <w:b/>
                <w:color w:val="FFFFFF"/>
              </w:rPr>
            </w:r>
            <w:r>
              <w:rPr>
                <w:b/>
                <w:color w:val="FFFFFF"/>
                <w:sz w:val="16"/>
              </w:rPr>
              <w:t>Required treatment</w:t>
            </w:r>
          </w:p>
        </w:tc>
      </w:tr>
      <w:tr>
        <w:tc>
          <w:tcPr>
            <w:tcW w:type="dxa" w:w="3389"/>
            <w:vAlign w:val="center"/>
          </w:tcPr>
          <w:p>
            <w:pPr>
              <w:spacing w:after="0"/>
            </w:pPr>
            <w:r/>
            <w:r>
              <w:rPr>
                <w:sz w:val="16"/>
              </w:rPr>
              <w:t>Vendor claim</w:t>
            </w:r>
          </w:p>
        </w:tc>
        <w:tc>
          <w:tcPr>
            <w:tcW w:type="dxa" w:w="3389"/>
            <w:vAlign w:val="center"/>
          </w:tcPr>
          <w:p>
            <w:pPr>
              <w:spacing w:after="0"/>
            </w:pPr>
            <w:r/>
            <w:r>
              <w:rPr>
                <w:sz w:val="16"/>
              </w:rPr>
              <w:t>Provider-reported capability, limit, price, certification, or customer count</w:t>
            </w:r>
          </w:p>
        </w:tc>
        <w:tc>
          <w:tcPr>
            <w:tcW w:type="dxa" w:w="3389"/>
            <w:vAlign w:val="center"/>
          </w:tcPr>
          <w:p>
            <w:pPr>
              <w:spacing w:after="0"/>
            </w:pPr>
            <w:r/>
            <w:r>
              <w:rPr>
                <w:sz w:val="16"/>
              </w:rPr>
              <w:t>Recheck before external publication and do not use as a Formiva performance promise</w:t>
            </w:r>
          </w:p>
        </w:tc>
      </w:tr>
      <w:tr>
        <w:tc>
          <w:tcPr>
            <w:tcW w:type="dxa" w:w="3389"/>
            <w:shd w:fill="EAF2F8"/>
            <w:vAlign w:val="center"/>
          </w:tcPr>
          <w:p>
            <w:pPr>
              <w:spacing w:after="0"/>
            </w:pPr>
            <w:r/>
            <w:r>
              <w:rPr>
                <w:sz w:val="16"/>
              </w:rPr>
              <w:t>Analyst inference</w:t>
            </w:r>
          </w:p>
        </w:tc>
        <w:tc>
          <w:tcPr>
            <w:tcW w:type="dxa" w:w="3389"/>
            <w:shd w:fill="EAF2F8"/>
            <w:vAlign w:val="center"/>
          </w:tcPr>
          <w:p>
            <w:pPr>
              <w:spacing w:after="0"/>
            </w:pPr>
            <w:r/>
            <w:r>
              <w:rPr>
                <w:sz w:val="16"/>
              </w:rPr>
              <w:t>Strategic interpretation of market or product evidence</w:t>
            </w:r>
          </w:p>
        </w:tc>
        <w:tc>
          <w:tcPr>
            <w:tcW w:type="dxa" w:w="3389"/>
            <w:shd w:fill="EAF2F8"/>
            <w:vAlign w:val="center"/>
          </w:tcPr>
          <w:p>
            <w:pPr>
              <w:spacing w:after="0"/>
            </w:pPr>
            <w:r/>
            <w:r>
              <w:rPr>
                <w:sz w:val="16"/>
              </w:rPr>
              <w:t>Validate through interviews, configured comparisons, or paid pilots</w:t>
            </w:r>
          </w:p>
        </w:tc>
      </w:tr>
      <w:tr>
        <w:tc>
          <w:tcPr>
            <w:tcW w:type="dxa" w:w="3389"/>
            <w:vAlign w:val="center"/>
          </w:tcPr>
          <w:p>
            <w:pPr>
              <w:spacing w:after="0"/>
            </w:pPr>
            <w:r/>
            <w:r>
              <w:rPr>
                <w:sz w:val="16"/>
              </w:rPr>
              <w:t>Internal assumption</w:t>
            </w:r>
          </w:p>
        </w:tc>
        <w:tc>
          <w:tcPr>
            <w:tcW w:type="dxa" w:w="3389"/>
            <w:vAlign w:val="center"/>
          </w:tcPr>
          <w:p>
            <w:pPr>
              <w:spacing w:after="0"/>
            </w:pPr>
            <w:r/>
            <w:r>
              <w:rPr>
                <w:sz w:val="16"/>
              </w:rPr>
              <w:t>A numerical, operational, or commercial planning input</w:t>
            </w:r>
          </w:p>
        </w:tc>
        <w:tc>
          <w:tcPr>
            <w:tcW w:type="dxa" w:w="3389"/>
            <w:vAlign w:val="center"/>
          </w:tcPr>
          <w:p>
            <w:pPr>
              <w:spacing w:after="0"/>
            </w:pPr>
            <w:r/>
            <w:r>
              <w:rPr>
                <w:sz w:val="16"/>
              </w:rPr>
              <w:t>Instrument it, state its range, and update it from observed cohorts</w:t>
            </w:r>
          </w:p>
        </w:tc>
      </w:tr>
      <w:tr>
        <w:tc>
          <w:tcPr>
            <w:tcW w:type="dxa" w:w="3389"/>
            <w:shd w:fill="EAF2F8"/>
            <w:vAlign w:val="center"/>
          </w:tcPr>
          <w:p>
            <w:pPr>
              <w:spacing w:after="0"/>
            </w:pPr>
            <w:r/>
            <w:r>
              <w:rPr>
                <w:sz w:val="16"/>
              </w:rPr>
              <w:t>Legal caveat</w:t>
            </w:r>
          </w:p>
        </w:tc>
        <w:tc>
          <w:tcPr>
            <w:tcW w:type="dxa" w:w="3389"/>
            <w:shd w:fill="EAF2F8"/>
            <w:vAlign w:val="center"/>
          </w:tcPr>
          <w:p>
            <w:pPr>
              <w:spacing w:after="0"/>
            </w:pPr>
            <w:r/>
            <w:r>
              <w:rPr>
                <w:sz w:val="16"/>
              </w:rPr>
              <w:t>A legal, privacy, regulatory, or assurance boundary</w:t>
            </w:r>
          </w:p>
        </w:tc>
        <w:tc>
          <w:tcPr>
            <w:tcW w:type="dxa" w:w="3389"/>
            <w:shd w:fill="EAF2F8"/>
            <w:vAlign w:val="center"/>
          </w:tcPr>
          <w:p>
            <w:pPr>
              <w:spacing w:after="0"/>
            </w:pPr>
            <w:r/>
            <w:r>
              <w:rPr>
                <w:sz w:val="16"/>
              </w:rPr>
              <w:t>Obtain jurisdiction-specific advice and do not market a compliance conclusion from architecture alone</w:t>
            </w:r>
          </w:p>
        </w:tc>
      </w:tr>
    </w:tbl>
    <w:p>
      <w:pPr>
        <w:spacing w:after="0"/>
      </w:pPr>
    </w:p>
    <w:p>
      <w:pPr>
        <w:spacing w:after="100" w:line="259" w:lineRule="auto"/>
      </w:pPr>
      <w:r>
        <w:rPr>
          <w:sz w:val="19"/>
        </w:rPr>
        <w:t>The strongest evidence supports the existence of capable competitors, the importance of trust controls, and the need for a narrow wedge. Evidence is weaker on Formiva-specific demand, conversion, retention, price elasticity, and market share. The plan therefore treats customer outcomes and economics as experiments.</w:t>
      </w:r>
    </w:p>
    <w:p>
      <w:pPr>
        <w:pStyle w:val="Heading1"/>
      </w:pPr>
      <w:r>
        <w:t>3. Market and competition</w:t>
      </w:r>
    </w:p>
    <w:p>
      <w:pPr>
        <w:pStyle w:val="Heading2"/>
      </w:pPr>
      <w:r>
        <w:t>3.1 Category decision</w:t>
      </w:r>
    </w:p>
    <w:p>
      <w:pPr>
        <w:spacing w:after="100" w:line="259" w:lineRule="auto"/>
      </w:pPr>
      <w:r>
        <w:rPr>
          <w:sz w:val="19"/>
        </w:rPr>
        <w:t xml:space="preserve">Formiva should describe itself as an </w:t>
      </w:r>
      <w:r>
        <w:rPr>
          <w:b/>
          <w:sz w:val="19"/>
        </w:rPr>
        <w:t>India-ready, document-aware operational intake and approval product for small and mid-sized teams</w:t>
      </w:r>
      <w:r>
        <w:rPr>
          <w:sz w:val="19"/>
        </w:rPr>
        <w:t>. The category includes five elements: a respondent-facing intake surface; structured validation and document handling; routing, review, approval, and SLA control; authorized downstream action; and a complete, exportable record of what happened and why.</w:t>
      </w:r>
    </w:p>
    <w:p>
      <w:pPr>
        <w:spacing w:after="100" w:line="259" w:lineRule="auto"/>
      </w:pPr>
      <w:r>
        <w:rPr>
          <w:sz w:val="19"/>
        </w:rPr>
        <w:t>This positioning avoids the unsupported claims that Formiva is the world’s first, the only product, or a zero-cost alternative. It also establishes a product boundary. Formiva is not initially a CRM, HRIS, ERP, general project-management suite, universal intelligent document-processing platform, or autonomous agent platform.</w:t>
      </w:r>
    </w:p>
    <w:p>
      <w:pPr>
        <w:pStyle w:val="Heading2"/>
      </w:pPr>
      <w:r>
        <w:t>3.2 Bottom-up market model</w:t>
      </w:r>
    </w:p>
    <w:p>
      <w:pPr>
        <w:spacing w:after="100" w:line="259" w:lineRule="auto"/>
      </w:pPr>
      <w:r>
        <w:rPr>
          <w:sz w:val="19"/>
        </w:rPr>
        <w:t xml:space="preserve">Published category estimates vary because definitions of forms, workflow automation, and document processing differ. They are directional context only. The planning model below is an </w:t>
      </w:r>
      <w:r>
        <w:rPr>
          <w:b/>
          <w:sz w:val="19"/>
        </w:rPr>
        <w:t>internal assumption</w:t>
      </w:r>
      <w:r>
        <w:rPr>
          <w:sz w:val="19"/>
        </w:rPr>
        <w:t>, not a total-addressable-market forecast.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pPr>
              <w:spacing w:after="0"/>
            </w:pPr>
            <w:r>
              <w:rPr>
                <w:b/>
                <w:color w:val="FFFFFF"/>
              </w:rPr>
            </w:r>
            <w:r>
              <w:rPr>
                <w:b/>
                <w:color w:val="FFFFFF"/>
                <w:sz w:val="16"/>
              </w:rPr>
              <w:t>Layer</w:t>
            </w:r>
          </w:p>
        </w:tc>
        <w:tc>
          <w:tcPr>
            <w:tcW w:type="dxa" w:w="2541"/>
            <w:shd w:fill="1F4E79"/>
            <w:vAlign w:val="center"/>
          </w:tcPr>
          <w:p>
            <w:pPr>
              <w:spacing w:after="0"/>
            </w:pPr>
            <w:r>
              <w:rPr>
                <w:b/>
                <w:color w:val="FFFFFF"/>
              </w:rPr>
            </w:r>
            <w:r>
              <w:rPr>
                <w:b/>
                <w:color w:val="FFFFFF"/>
                <w:sz w:val="16"/>
              </w:rPr>
              <w:t>Conservative</w:t>
            </w:r>
          </w:p>
        </w:tc>
        <w:tc>
          <w:tcPr>
            <w:tcW w:type="dxa" w:w="2541"/>
            <w:shd w:fill="1F4E79"/>
            <w:vAlign w:val="center"/>
          </w:tcPr>
          <w:p>
            <w:pPr>
              <w:spacing w:after="0"/>
            </w:pPr>
            <w:r>
              <w:rPr>
                <w:b/>
                <w:color w:val="FFFFFF"/>
              </w:rPr>
            </w:r>
            <w:r>
              <w:rPr>
                <w:b/>
                <w:color w:val="FFFFFF"/>
                <w:sz w:val="16"/>
              </w:rPr>
              <w:t>Base</w:t>
            </w:r>
          </w:p>
        </w:tc>
        <w:tc>
          <w:tcPr>
            <w:tcW w:type="dxa" w:w="2541"/>
            <w:shd w:fill="1F4E79"/>
            <w:vAlign w:val="center"/>
          </w:tcPr>
          <w:p>
            <w:pPr>
              <w:spacing w:after="0"/>
            </w:pPr>
            <w:r>
              <w:rPr>
                <w:b/>
                <w:color w:val="FFFFFF"/>
              </w:rPr>
            </w:r>
            <w:r>
              <w:rPr>
                <w:b/>
                <w:color w:val="FFFFFF"/>
                <w:sz w:val="16"/>
              </w:rPr>
              <w:t>Upside</w:t>
            </w:r>
          </w:p>
        </w:tc>
      </w:tr>
      <w:tr>
        <w:tc>
          <w:tcPr>
            <w:tcW w:type="dxa" w:w="2541"/>
            <w:vAlign w:val="center"/>
          </w:tcPr>
          <w:p>
            <w:pPr>
              <w:spacing w:after="0"/>
            </w:pPr>
            <w:r/>
            <w:r>
              <w:rPr>
                <w:sz w:val="16"/>
              </w:rPr>
              <w:t>Qualifying organizations in India and near-reach English markets</w:t>
            </w:r>
          </w:p>
        </w:tc>
        <w:tc>
          <w:tcPr>
            <w:tcW w:type="dxa" w:w="2541"/>
            <w:vAlign w:val="center"/>
          </w:tcPr>
          <w:p>
            <w:pPr>
              <w:spacing w:after="0"/>
            </w:pPr>
            <w:r/>
            <w:r>
              <w:rPr>
                <w:sz w:val="16"/>
              </w:rPr>
              <w:t>25,000–100,000</w:t>
            </w:r>
          </w:p>
        </w:tc>
        <w:tc>
          <w:tcPr>
            <w:tcW w:type="dxa" w:w="2541"/>
            <w:vAlign w:val="center"/>
          </w:tcPr>
          <w:p>
            <w:pPr>
              <w:spacing w:after="0"/>
            </w:pPr>
            <w:r/>
            <w:r>
              <w:rPr>
                <w:sz w:val="16"/>
              </w:rPr>
              <w:t>100,000–400,000</w:t>
            </w:r>
          </w:p>
        </w:tc>
        <w:tc>
          <w:tcPr>
            <w:tcW w:type="dxa" w:w="2541"/>
            <w:vAlign w:val="center"/>
          </w:tcPr>
          <w:p>
            <w:pPr>
              <w:spacing w:after="0"/>
            </w:pPr>
            <w:r/>
            <w:r>
              <w:rPr>
                <w:sz w:val="16"/>
              </w:rPr>
              <w:t>400,000–1,000,000</w:t>
            </w:r>
          </w:p>
        </w:tc>
      </w:tr>
      <w:tr>
        <w:tc>
          <w:tcPr>
            <w:tcW w:type="dxa" w:w="2541"/>
            <w:shd w:fill="EAF2F8"/>
            <w:vAlign w:val="center"/>
          </w:tcPr>
          <w:p>
            <w:pPr>
              <w:spacing w:after="0"/>
            </w:pPr>
            <w:r/>
            <w:r>
              <w:rPr>
                <w:sz w:val="16"/>
              </w:rPr>
              <w:t>Annual contract value per organization</w:t>
            </w:r>
          </w:p>
        </w:tc>
        <w:tc>
          <w:tcPr>
            <w:tcW w:type="dxa" w:w="2541"/>
            <w:shd w:fill="EAF2F8"/>
            <w:vAlign w:val="center"/>
          </w:tcPr>
          <w:p>
            <w:pPr>
              <w:spacing w:after="0"/>
            </w:pPr>
            <w:r/>
            <w:r>
              <w:rPr>
                <w:sz w:val="16"/>
              </w:rPr>
              <w:t>₹12,000–36,000</w:t>
            </w:r>
          </w:p>
        </w:tc>
        <w:tc>
          <w:tcPr>
            <w:tcW w:type="dxa" w:w="2541"/>
            <w:shd w:fill="EAF2F8"/>
            <w:vAlign w:val="center"/>
          </w:tcPr>
          <w:p>
            <w:pPr>
              <w:spacing w:after="0"/>
            </w:pPr>
            <w:r/>
            <w:r>
              <w:rPr>
                <w:sz w:val="16"/>
              </w:rPr>
              <w:t>₹36,000–120,000</w:t>
            </w:r>
          </w:p>
        </w:tc>
        <w:tc>
          <w:tcPr>
            <w:tcW w:type="dxa" w:w="2541"/>
            <w:shd w:fill="EAF2F8"/>
            <w:vAlign w:val="center"/>
          </w:tcPr>
          <w:p>
            <w:pPr>
              <w:spacing w:after="0"/>
            </w:pPr>
            <w:r/>
            <w:r>
              <w:rPr>
                <w:sz w:val="16"/>
              </w:rPr>
              <w:t>₹120,000–360,000</w:t>
            </w:r>
          </w:p>
        </w:tc>
      </w:tr>
      <w:tr>
        <w:tc>
          <w:tcPr>
            <w:tcW w:type="dxa" w:w="2541"/>
            <w:vAlign w:val="center"/>
          </w:tcPr>
          <w:p>
            <w:pPr>
              <w:spacing w:after="0"/>
            </w:pPr>
            <w:r/>
            <w:r>
              <w:rPr>
                <w:sz w:val="16"/>
              </w:rPr>
              <w:t>36-month serviceable logos</w:t>
            </w:r>
          </w:p>
        </w:tc>
        <w:tc>
          <w:tcPr>
            <w:tcW w:type="dxa" w:w="2541"/>
            <w:vAlign w:val="center"/>
          </w:tcPr>
          <w:p>
            <w:pPr>
              <w:spacing w:after="0"/>
            </w:pPr>
            <w:r/>
            <w:r>
              <w:rPr>
                <w:sz w:val="16"/>
              </w:rPr>
              <w:t>100–300</w:t>
            </w:r>
          </w:p>
        </w:tc>
        <w:tc>
          <w:tcPr>
            <w:tcW w:type="dxa" w:w="2541"/>
            <w:vAlign w:val="center"/>
          </w:tcPr>
          <w:p>
            <w:pPr>
              <w:spacing w:after="0"/>
            </w:pPr>
            <w:r/>
            <w:r>
              <w:rPr>
                <w:sz w:val="16"/>
              </w:rPr>
              <w:t>300–1,500</w:t>
            </w:r>
          </w:p>
        </w:tc>
        <w:tc>
          <w:tcPr>
            <w:tcW w:type="dxa" w:w="2541"/>
            <w:vAlign w:val="center"/>
          </w:tcPr>
          <w:p>
            <w:pPr>
              <w:spacing w:after="0"/>
            </w:pPr>
            <w:r/>
            <w:r>
              <w:rPr>
                <w:sz w:val="16"/>
              </w:rPr>
              <w:t>1,500–5,000</w:t>
            </w:r>
          </w:p>
        </w:tc>
      </w:tr>
      <w:tr>
        <w:tc>
          <w:tcPr>
            <w:tcW w:type="dxa" w:w="2541"/>
            <w:shd w:fill="EAF2F8"/>
            <w:vAlign w:val="center"/>
          </w:tcPr>
          <w:p>
            <w:pPr>
              <w:spacing w:after="0"/>
            </w:pPr>
            <w:r/>
            <w:r>
              <w:rPr>
                <w:sz w:val="16"/>
              </w:rPr>
              <w:t>36-month ARR at the serviceable logo range</w:t>
            </w:r>
          </w:p>
        </w:tc>
        <w:tc>
          <w:tcPr>
            <w:tcW w:type="dxa" w:w="2541"/>
            <w:shd w:fill="EAF2F8"/>
            <w:vAlign w:val="center"/>
          </w:tcPr>
          <w:p>
            <w:pPr>
              <w:spacing w:after="0"/>
            </w:pPr>
            <w:r/>
            <w:r>
              <w:rPr>
                <w:sz w:val="16"/>
              </w:rPr>
              <w:t>₹1.2M–10.8M</w:t>
            </w:r>
          </w:p>
        </w:tc>
        <w:tc>
          <w:tcPr>
            <w:tcW w:type="dxa" w:w="2541"/>
            <w:shd w:fill="EAF2F8"/>
            <w:vAlign w:val="center"/>
          </w:tcPr>
          <w:p>
            <w:pPr>
              <w:spacing w:after="0"/>
            </w:pPr>
            <w:r/>
            <w:r>
              <w:rPr>
                <w:sz w:val="16"/>
              </w:rPr>
              <w:t>₹10.8M–180M</w:t>
            </w:r>
          </w:p>
        </w:tc>
        <w:tc>
          <w:tcPr>
            <w:tcW w:type="dxa" w:w="2541"/>
            <w:shd w:fill="EAF2F8"/>
            <w:vAlign w:val="center"/>
          </w:tcPr>
          <w:p>
            <w:pPr>
              <w:spacing w:after="0"/>
            </w:pPr>
            <w:r/>
            <w:r>
              <w:rPr>
                <w:sz w:val="16"/>
              </w:rPr>
              <w:t>₹180M–1,800M</w:t>
            </w:r>
          </w:p>
        </w:tc>
      </w:tr>
    </w:tbl>
    <w:p>
      <w:pPr>
        <w:spacing w:after="0"/>
      </w:pPr>
    </w:p>
    <w:p>
      <w:pPr>
        <w:spacing w:after="100" w:line="259" w:lineRule="auto"/>
      </w:pPr>
      <w:r>
        <w:rPr>
          <w:sz w:val="19"/>
        </w:rPr>
        <w:t>The model must be re-estimated quarterly using qualifying-firm rate, hiring cadence, willingness to pay, win rate, retention, and implementation capacity. It must not be updated from category headlines alone.</w:t>
      </w:r>
    </w:p>
    <w:p>
      <w:pPr>
        <w:pStyle w:val="Heading2"/>
      </w:pPr>
      <w:r>
        <w:t>3.3 Competitive landscape</w:t>
      </w:r>
    </w:p>
    <w:p>
      <w:pPr>
        <w:spacing w:after="100" w:line="259" w:lineRule="auto"/>
      </w:pPr>
      <w:r>
        <w:rPr>
          <w:sz w:val="19"/>
        </w:rPr>
        <w:t>The category is crowded. Formstack, Cognito Forms, Jotform, Typeform, Zapier, monday.com, Formsflow.ai, Microsoft Power Automate, UiPath, Conga, Zoho, Kissflow, and messaging providers each cover portions of forms, workflow, documents, approvals, integrations, analytics, or AI.</w:t>
      </w:r>
      <w:r>
        <w:rPr>
          <w:color w:val="1F4E79"/>
          <w:sz w:val="19"/>
        </w:rPr>
        <w:t>[1]</w:t>
      </w:r>
      <w:r>
        <w:rPr>
          <w:sz w:val="19"/>
        </w:rPr>
        <w:t xml:space="preserve"> </w:t>
      </w:r>
      <w:r>
        <w:rPr>
          <w:color w:val="1F4E79"/>
          <w:sz w:val="19"/>
        </w:rPr>
        <w:t>[2]</w:t>
      </w:r>
      <w:r>
        <w:rPr>
          <w:sz w:val="19"/>
        </w:rPr>
        <w:t xml:space="preserve"> </w:t>
      </w:r>
      <w:r>
        <w:rPr>
          <w:color w:val="1F4E79"/>
          <w:sz w:val="19"/>
        </w:rPr>
        <w:t>[3]</w:t>
      </w:r>
      <w:r>
        <w:rPr>
          <w:sz w:val="19"/>
        </w:rPr>
        <w:t xml:space="preserve"> </w:t>
      </w:r>
      <w:r>
        <w:rPr>
          <w:color w:val="1F4E79"/>
          <w:sz w:val="19"/>
        </w:rPr>
        <w:t>[4]</w:t>
      </w:r>
      <w:r>
        <w:rPr>
          <w:sz w:val="19"/>
        </w:rPr>
        <w:t xml:space="preserve"> </w:t>
      </w:r>
      <w:r>
        <w:rPr>
          <w:color w:val="1F4E79"/>
          <w:sz w:val="19"/>
        </w:rPr>
        <w:t>[5]</w:t>
      </w:r>
      <w:r>
        <w:rPr>
          <w:sz w:val="19"/>
        </w:rPr>
        <w:t xml:space="preserve"> </w:t>
      </w:r>
      <w:r>
        <w:rPr>
          <w:color w:val="1F4E79"/>
          <w:sz w:val="19"/>
        </w:rPr>
        <w:t>[6]</w:t>
      </w:r>
      <w:r>
        <w:rPr>
          <w:sz w:val="19"/>
        </w:rPr>
        <w:t xml:space="preserve"> </w:t>
      </w:r>
      <w:r>
        <w:rPr>
          <w:color w:val="1F4E79"/>
          <w:sz w:val="19"/>
        </w:rPr>
        <w:t>[7]</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pPr>
              <w:spacing w:after="0"/>
            </w:pPr>
            <w:r>
              <w:rPr>
                <w:b/>
                <w:color w:val="FFFFFF"/>
              </w:rPr>
            </w:r>
            <w:r>
              <w:rPr>
                <w:b/>
                <w:color w:val="FFFFFF"/>
                <w:sz w:val="16"/>
              </w:rPr>
              <w:t>Competitor class</w:t>
            </w:r>
          </w:p>
        </w:tc>
        <w:tc>
          <w:tcPr>
            <w:tcW w:type="dxa" w:w="2541"/>
            <w:shd w:fill="1F4E79"/>
            <w:vAlign w:val="center"/>
          </w:tcPr>
          <w:p>
            <w:pPr>
              <w:spacing w:after="0"/>
            </w:pPr>
            <w:r>
              <w:rPr>
                <w:b/>
                <w:color w:val="FFFFFF"/>
              </w:rPr>
            </w:r>
            <w:r>
              <w:rPr>
                <w:b/>
                <w:color w:val="FFFFFF"/>
                <w:sz w:val="16"/>
              </w:rPr>
              <w:t>Examples</w:t>
            </w:r>
          </w:p>
        </w:tc>
        <w:tc>
          <w:tcPr>
            <w:tcW w:type="dxa" w:w="2541"/>
            <w:shd w:fill="1F4E79"/>
            <w:vAlign w:val="center"/>
          </w:tcPr>
          <w:p>
            <w:pPr>
              <w:spacing w:after="0"/>
            </w:pPr>
            <w:r>
              <w:rPr>
                <w:b/>
                <w:color w:val="FFFFFF"/>
              </w:rPr>
            </w:r>
            <w:r>
              <w:rPr>
                <w:b/>
                <w:color w:val="FFFFFF"/>
                <w:sz w:val="16"/>
              </w:rPr>
              <w:t>Established strength</w:t>
            </w:r>
          </w:p>
        </w:tc>
        <w:tc>
          <w:tcPr>
            <w:tcW w:type="dxa" w:w="2541"/>
            <w:shd w:fill="1F4E79"/>
            <w:vAlign w:val="center"/>
          </w:tcPr>
          <w:p>
            <w:pPr>
              <w:spacing w:after="0"/>
            </w:pPr>
            <w:r>
              <w:rPr>
                <w:b/>
                <w:color w:val="FFFFFF"/>
              </w:rPr>
            </w:r>
            <w:r>
              <w:rPr>
                <w:b/>
                <w:color w:val="FFFFFF"/>
                <w:sz w:val="16"/>
              </w:rPr>
              <w:t>Formiva response</w:t>
            </w:r>
          </w:p>
        </w:tc>
      </w:tr>
      <w:tr>
        <w:tc>
          <w:tcPr>
            <w:tcW w:type="dxa" w:w="2541"/>
            <w:vAlign w:val="center"/>
          </w:tcPr>
          <w:p>
            <w:pPr>
              <w:spacing w:after="0"/>
            </w:pPr>
            <w:r/>
            <w:r>
              <w:rPr>
                <w:sz w:val="16"/>
              </w:rPr>
              <w:t>Free and general forms</w:t>
            </w:r>
          </w:p>
        </w:tc>
        <w:tc>
          <w:tcPr>
            <w:tcW w:type="dxa" w:w="2541"/>
            <w:vAlign w:val="center"/>
          </w:tcPr>
          <w:p>
            <w:pPr>
              <w:spacing w:after="0"/>
            </w:pPr>
            <w:r/>
            <w:r>
              <w:rPr>
                <w:sz w:val="16"/>
              </w:rPr>
              <w:t>Google Forms, Microsoft Forms, Tally, Fillout</w:t>
            </w:r>
          </w:p>
        </w:tc>
        <w:tc>
          <w:tcPr>
            <w:tcW w:type="dxa" w:w="2541"/>
            <w:vAlign w:val="center"/>
          </w:tcPr>
          <w:p>
            <w:pPr>
              <w:spacing w:after="0"/>
            </w:pPr>
            <w:r/>
            <w:r>
              <w:rPr>
                <w:sz w:val="16"/>
              </w:rPr>
              <w:t>Distribution, low price, simple collection</w:t>
            </w:r>
          </w:p>
        </w:tc>
        <w:tc>
          <w:tcPr>
            <w:tcW w:type="dxa" w:w="2541"/>
            <w:vAlign w:val="center"/>
          </w:tcPr>
          <w:p>
            <w:pPr>
              <w:spacing w:after="0"/>
            </w:pPr>
            <w:r/>
            <w:r>
              <w:rPr>
                <w:sz w:val="16"/>
              </w:rPr>
              <w:t>Become the upgrade when manual routing, review, and audit become painful</w:t>
            </w:r>
          </w:p>
        </w:tc>
      </w:tr>
      <w:tr>
        <w:tc>
          <w:tcPr>
            <w:tcW w:type="dxa" w:w="2541"/>
            <w:shd w:fill="EAF2F8"/>
            <w:vAlign w:val="center"/>
          </w:tcPr>
          <w:p>
            <w:pPr>
              <w:spacing w:after="0"/>
            </w:pPr>
            <w:r/>
            <w:r>
              <w:rPr>
                <w:sz w:val="16"/>
              </w:rPr>
              <w:t>Form-led suites</w:t>
            </w:r>
          </w:p>
        </w:tc>
        <w:tc>
          <w:tcPr>
            <w:tcW w:type="dxa" w:w="2541"/>
            <w:shd w:fill="EAF2F8"/>
            <w:vAlign w:val="center"/>
          </w:tcPr>
          <w:p>
            <w:pPr>
              <w:spacing w:after="0"/>
            </w:pPr>
            <w:r/>
            <w:r>
              <w:rPr>
                <w:sz w:val="16"/>
              </w:rPr>
              <w:t>Jotform, Formstack, Cognito Forms, Typeform</w:t>
            </w:r>
          </w:p>
        </w:tc>
        <w:tc>
          <w:tcPr>
            <w:tcW w:type="dxa" w:w="2541"/>
            <w:shd w:fill="EAF2F8"/>
            <w:vAlign w:val="center"/>
          </w:tcPr>
          <w:p>
            <w:pPr>
              <w:spacing w:after="0"/>
            </w:pPr>
            <w:r/>
            <w:r>
              <w:rPr>
                <w:sz w:val="16"/>
              </w:rPr>
              <w:t>Templates, respondent UX, payments, integrations, AI assistance</w:t>
            </w:r>
          </w:p>
        </w:tc>
        <w:tc>
          <w:tcPr>
            <w:tcW w:type="dxa" w:w="2541"/>
            <w:shd w:fill="EAF2F8"/>
            <w:vAlign w:val="center"/>
          </w:tcPr>
          <w:p>
            <w:pPr>
              <w:spacing w:after="0"/>
            </w:pPr>
            <w:r/>
            <w:r>
              <w:rPr>
                <w:sz w:val="16"/>
              </w:rPr>
              <w:t>Sell a defined operational outcome with implementation, not generic feature breadth</w:t>
            </w:r>
          </w:p>
        </w:tc>
      </w:tr>
      <w:tr>
        <w:tc>
          <w:tcPr>
            <w:tcW w:type="dxa" w:w="2541"/>
            <w:vAlign w:val="center"/>
          </w:tcPr>
          <w:p>
            <w:pPr>
              <w:spacing w:after="0"/>
            </w:pPr>
            <w:r/>
            <w:r>
              <w:rPr>
                <w:sz w:val="16"/>
              </w:rPr>
              <w:t>Workflow and iPaaS</w:t>
            </w:r>
          </w:p>
        </w:tc>
        <w:tc>
          <w:tcPr>
            <w:tcW w:type="dxa" w:w="2541"/>
            <w:vAlign w:val="center"/>
          </w:tcPr>
          <w:p>
            <w:pPr>
              <w:spacing w:after="0"/>
            </w:pPr>
            <w:r/>
            <w:r>
              <w:rPr>
                <w:sz w:val="16"/>
              </w:rPr>
              <w:t>Zapier, Make, Power Automate, monday.com</w:t>
            </w:r>
          </w:p>
        </w:tc>
        <w:tc>
          <w:tcPr>
            <w:tcW w:type="dxa" w:w="2541"/>
            <w:vAlign w:val="center"/>
          </w:tcPr>
          <w:p>
            <w:pPr>
              <w:spacing w:after="0"/>
            </w:pPr>
            <w:r/>
            <w:r>
              <w:rPr>
                <w:sz w:val="16"/>
              </w:rPr>
              <w:t>App ecosystems, automation, broad configuration</w:t>
            </w:r>
          </w:p>
        </w:tc>
        <w:tc>
          <w:tcPr>
            <w:tcW w:type="dxa" w:w="2541"/>
            <w:vAlign w:val="center"/>
          </w:tcPr>
          <w:p>
            <w:pPr>
              <w:spacing w:after="0"/>
            </w:pPr>
            <w:r/>
            <w:r>
              <w:rPr>
                <w:sz w:val="16"/>
              </w:rPr>
              <w:t>Provide a packaged intake-to-outcome experience with visible exception handling</w:t>
            </w:r>
          </w:p>
        </w:tc>
      </w:tr>
      <w:tr>
        <w:tc>
          <w:tcPr>
            <w:tcW w:type="dxa" w:w="2541"/>
            <w:shd w:fill="EAF2F8"/>
            <w:vAlign w:val="center"/>
          </w:tcPr>
          <w:p>
            <w:pPr>
              <w:spacing w:after="0"/>
            </w:pPr>
            <w:r/>
            <w:r>
              <w:rPr>
                <w:sz w:val="16"/>
              </w:rPr>
              <w:t>Enterprise document/workflow</w:t>
            </w:r>
          </w:p>
        </w:tc>
        <w:tc>
          <w:tcPr>
            <w:tcW w:type="dxa" w:w="2541"/>
            <w:shd w:fill="EAF2F8"/>
            <w:vAlign w:val="center"/>
          </w:tcPr>
          <w:p>
            <w:pPr>
              <w:spacing w:after="0"/>
            </w:pPr>
            <w:r/>
            <w:r>
              <w:rPr>
                <w:sz w:val="16"/>
              </w:rPr>
              <w:t>Conga, UiPath, FormAssembly</w:t>
            </w:r>
          </w:p>
        </w:tc>
        <w:tc>
          <w:tcPr>
            <w:tcW w:type="dxa" w:w="2541"/>
            <w:shd w:fill="EAF2F8"/>
            <w:vAlign w:val="center"/>
          </w:tcPr>
          <w:p>
            <w:pPr>
              <w:spacing w:after="0"/>
            </w:pPr>
            <w:r/>
            <w:r>
              <w:rPr>
                <w:sz w:val="16"/>
              </w:rPr>
              <w:t>Governance, document controls, enterprise integrations</w:t>
            </w:r>
          </w:p>
        </w:tc>
        <w:tc>
          <w:tcPr>
            <w:tcW w:type="dxa" w:w="2541"/>
            <w:shd w:fill="EAF2F8"/>
            <w:vAlign w:val="center"/>
          </w:tcPr>
          <w:p>
            <w:pPr>
              <w:spacing w:after="0"/>
            </w:pPr>
            <w:r/>
            <w:r>
              <w:rPr>
                <w:sz w:val="16"/>
              </w:rPr>
              <w:t>Use as trust and capability benchmarks; avoid their initial implementation breadth</w:t>
            </w:r>
          </w:p>
        </w:tc>
      </w:tr>
      <w:tr>
        <w:tc>
          <w:tcPr>
            <w:tcW w:type="dxa" w:w="2541"/>
            <w:vAlign w:val="center"/>
          </w:tcPr>
          <w:p>
            <w:pPr>
              <w:spacing w:after="0"/>
            </w:pPr>
            <w:r/>
            <w:r>
              <w:rPr>
                <w:sz w:val="16"/>
              </w:rPr>
              <w:t>Open-source/case management</w:t>
            </w:r>
          </w:p>
        </w:tc>
        <w:tc>
          <w:tcPr>
            <w:tcW w:type="dxa" w:w="2541"/>
            <w:vAlign w:val="center"/>
          </w:tcPr>
          <w:p>
            <w:pPr>
              <w:spacing w:after="0"/>
            </w:pPr>
            <w:r/>
            <w:r>
              <w:rPr>
                <w:sz w:val="16"/>
              </w:rPr>
              <w:t>Formsflow.ai</w:t>
            </w:r>
          </w:p>
        </w:tc>
        <w:tc>
          <w:tcPr>
            <w:tcW w:type="dxa" w:w="2541"/>
            <w:vAlign w:val="center"/>
          </w:tcPr>
          <w:p>
            <w:pPr>
              <w:spacing w:after="0"/>
            </w:pPr>
            <w:r/>
            <w:r>
              <w:rPr>
                <w:sz w:val="16"/>
              </w:rPr>
              <w:t>Customization and ownership</w:t>
            </w:r>
          </w:p>
        </w:tc>
        <w:tc>
          <w:tcPr>
            <w:tcW w:type="dxa" w:w="2541"/>
            <w:vAlign w:val="center"/>
          </w:tcPr>
          <w:p>
            <w:pPr>
              <w:spacing w:after="0"/>
            </w:pPr>
            <w:r/>
            <w:r>
              <w:rPr>
                <w:sz w:val="16"/>
              </w:rPr>
              <w:t>Differentiate with managed SaaS simplicity and deployable onboarding templates</w:t>
            </w:r>
          </w:p>
        </w:tc>
      </w:tr>
      <w:tr>
        <w:tc>
          <w:tcPr>
            <w:tcW w:type="dxa" w:w="2541"/>
            <w:shd w:fill="EAF2F8"/>
            <w:vAlign w:val="center"/>
          </w:tcPr>
          <w:p>
            <w:pPr>
              <w:spacing w:after="0"/>
            </w:pPr>
            <w:r/>
            <w:r>
              <w:rPr>
                <w:sz w:val="16"/>
              </w:rPr>
              <w:t>India-relevant suites</w:t>
            </w:r>
          </w:p>
        </w:tc>
        <w:tc>
          <w:tcPr>
            <w:tcW w:type="dxa" w:w="2541"/>
            <w:shd w:fill="EAF2F8"/>
            <w:vAlign w:val="center"/>
          </w:tcPr>
          <w:p>
            <w:pPr>
              <w:spacing w:after="0"/>
            </w:pPr>
            <w:r/>
            <w:r>
              <w:rPr>
                <w:sz w:val="16"/>
              </w:rPr>
              <w:t>Zoho Forms/People, Kissflow</w:t>
            </w:r>
          </w:p>
        </w:tc>
        <w:tc>
          <w:tcPr>
            <w:tcW w:type="dxa" w:w="2541"/>
            <w:shd w:fill="EAF2F8"/>
            <w:vAlign w:val="center"/>
          </w:tcPr>
          <w:p>
            <w:pPr>
              <w:spacing w:after="0"/>
            </w:pPr>
            <w:r/>
            <w:r>
              <w:rPr>
                <w:sz w:val="16"/>
              </w:rPr>
              <w:t>Local distribution and suite bundling</w:t>
            </w:r>
          </w:p>
        </w:tc>
        <w:tc>
          <w:tcPr>
            <w:tcW w:type="dxa" w:w="2541"/>
            <w:shd w:fill="EAF2F8"/>
            <w:vAlign w:val="center"/>
          </w:tcPr>
          <w:p>
            <w:pPr>
              <w:spacing w:after="0"/>
            </w:pPr>
            <w:r/>
            <w:r>
              <w:rPr>
                <w:sz w:val="16"/>
              </w:rPr>
              <w:t>Be materially faster to deploy for the selected onboarding workflow</w:t>
            </w:r>
          </w:p>
        </w:tc>
      </w:tr>
      <w:tr>
        <w:tc>
          <w:tcPr>
            <w:tcW w:type="dxa" w:w="2541"/>
            <w:vAlign w:val="center"/>
          </w:tcPr>
          <w:p>
            <w:pPr>
              <w:spacing w:after="0"/>
            </w:pPr>
            <w:r/>
            <w:r>
              <w:rPr>
                <w:sz w:val="16"/>
              </w:rPr>
              <w:t>WhatsApp automation</w:t>
            </w:r>
          </w:p>
        </w:tc>
        <w:tc>
          <w:tcPr>
            <w:tcW w:type="dxa" w:w="2541"/>
            <w:vAlign w:val="center"/>
          </w:tcPr>
          <w:p>
            <w:pPr>
              <w:spacing w:after="0"/>
            </w:pPr>
            <w:r/>
            <w:r>
              <w:rPr>
                <w:sz w:val="16"/>
              </w:rPr>
              <w:t>Wati, Interakt, DoubleTick</w:t>
            </w:r>
          </w:p>
        </w:tc>
        <w:tc>
          <w:tcPr>
            <w:tcW w:type="dxa" w:w="2541"/>
            <w:vAlign w:val="center"/>
          </w:tcPr>
          <w:p>
            <w:pPr>
              <w:spacing w:after="0"/>
            </w:pPr>
            <w:r/>
            <w:r>
              <w:rPr>
                <w:sz w:val="16"/>
              </w:rPr>
              <w:t>Messaging and campaigns</w:t>
            </w:r>
          </w:p>
        </w:tc>
        <w:tc>
          <w:tcPr>
            <w:tcW w:type="dxa" w:w="2541"/>
            <w:vAlign w:val="center"/>
          </w:tcPr>
          <w:p>
            <w:pPr>
              <w:spacing w:after="0"/>
            </w:pPr>
            <w:r/>
            <w:r>
              <w:rPr>
                <w:sz w:val="16"/>
              </w:rPr>
              <w:t>Relevant only to a separately governed commerce experiment</w:t>
            </w:r>
          </w:p>
        </w:tc>
      </w:tr>
    </w:tbl>
    <w:p>
      <w:pPr>
        <w:spacing w:after="0"/>
      </w:pPr>
    </w:p>
    <w:p>
      <w:pPr>
        <w:spacing w:after="100" w:line="259" w:lineRule="auto"/>
      </w:pPr>
      <w:r>
        <w:rPr>
          <w:sz w:val="19"/>
        </w:rPr>
        <w:t xml:space="preserve">The defensible opportunity is an </w:t>
      </w:r>
      <w:r>
        <w:rPr>
          <w:b/>
          <w:sz w:val="19"/>
        </w:rPr>
        <w:t>analyst inference</w:t>
      </w:r>
      <w:r>
        <w:rPr>
          <w:sz w:val="19"/>
        </w:rPr>
        <w:t>: a defined operational job, localized implementation, bounded document intelligence, human review, visible reliability, and auditable evidence. It is not a proven moat and must be tested through configured bake-offs and paid pilots.</w:t>
      </w:r>
    </w:p>
    <w:p>
      <w:pPr>
        <w:pStyle w:val="Heading1"/>
      </w:pPr>
      <w:r>
        <w:t>4. Product strategy</w:t>
      </w:r>
    </w:p>
    <w:p>
      <w:pPr>
        <w:pStyle w:val="Heading2"/>
      </w:pPr>
      <w:r>
        <w:t>4.1 Product promise</w:t>
      </w:r>
    </w:p>
    <w:p>
      <w:pPr>
        <w:spacing w:after="100" w:line="259" w:lineRule="auto"/>
      </w:pPr>
      <w:r>
        <w:rPr>
          <w:sz w:val="19"/>
        </w:rPr>
        <w:t xml:space="preserve">The product promise is: </w:t>
      </w:r>
      <w:r>
        <w:rPr>
          <w:b/>
          <w:sz w:val="19"/>
        </w:rPr>
        <w:t>make one operational workflow reliable from submission to resolution</w:t>
      </w:r>
      <w:r>
        <w:rPr>
          <w:sz w:val="19"/>
        </w:rPr>
        <w:t>. The launch demonstration should show a new hire completing a form, uploading documents, receiving field-level validation, entering human review when confidence or policy requires it, obtaining approval, updating an authorized system, and leaving an immutable audit record.</w:t>
      </w:r>
    </w:p>
    <w:p>
      <w:pPr>
        <w:spacing w:after="100" w:line="259" w:lineRule="auto"/>
      </w:pPr>
      <w:r>
        <w:rPr>
          <w:sz w:val="19"/>
        </w:rPr>
        <w:t xml:space="preserve">Every submission becomes a </w:t>
      </w:r>
      <w:r>
        <w:rPr>
          <w:b/>
          <w:sz w:val="19"/>
        </w:rPr>
        <w:t>case</w:t>
      </w:r>
      <w:r>
        <w:rPr>
          <w:sz w:val="19"/>
        </w:rPr>
        <w:t>. A case has a schema, files, validation results, an owner, a versioned workflow, approvals, an SLA, integrations, and an activity history. The form is the entry point. The paid value is controlled execution and proof of completion.</w:t>
      </w:r>
    </w:p>
    <w:p>
      <w:pPr>
        <w:pStyle w:val="Heading2"/>
      </w:pPr>
      <w:r>
        <w:t>4.2 Launch capability set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Capability</w:t>
            </w:r>
          </w:p>
        </w:tc>
        <w:tc>
          <w:tcPr>
            <w:tcW w:type="dxa" w:w="3389"/>
            <w:shd w:fill="1F4E79"/>
            <w:vAlign w:val="center"/>
          </w:tcPr>
          <w:p>
            <w:pPr>
              <w:spacing w:after="0"/>
            </w:pPr>
            <w:r>
              <w:rPr>
                <w:b/>
                <w:color w:val="FFFFFF"/>
              </w:rPr>
            </w:r>
            <w:r>
              <w:rPr>
                <w:b/>
                <w:color w:val="FFFFFF"/>
                <w:sz w:val="16"/>
              </w:rPr>
              <w:t>Launch standard</w:t>
            </w:r>
          </w:p>
        </w:tc>
        <w:tc>
          <w:tcPr>
            <w:tcW w:type="dxa" w:w="3389"/>
            <w:shd w:fill="1F4E79"/>
            <w:vAlign w:val="center"/>
          </w:tcPr>
          <w:p>
            <w:pPr>
              <w:spacing w:after="0"/>
            </w:pPr>
            <w:r>
              <w:rPr>
                <w:b/>
                <w:color w:val="FFFFFF"/>
              </w:rPr>
            </w:r>
            <w:r>
              <w:rPr>
                <w:b/>
                <w:color w:val="FFFFFF"/>
                <w:sz w:val="16"/>
              </w:rPr>
              <w:t>Boundary</w:t>
            </w:r>
          </w:p>
        </w:tc>
      </w:tr>
      <w:tr>
        <w:tc>
          <w:tcPr>
            <w:tcW w:type="dxa" w:w="3389"/>
            <w:vAlign w:val="center"/>
          </w:tcPr>
          <w:p>
            <w:pPr>
              <w:spacing w:after="0"/>
            </w:pPr>
            <w:r/>
            <w:r>
              <w:rPr>
                <w:sz w:val="16"/>
              </w:rPr>
              <w:t>Guided intake</w:t>
            </w:r>
          </w:p>
        </w:tc>
        <w:tc>
          <w:tcPr>
            <w:tcW w:type="dxa" w:w="3389"/>
            <w:vAlign w:val="center"/>
          </w:tcPr>
          <w:p>
            <w:pPr>
              <w:spacing w:after="0"/>
            </w:pPr>
            <w:r/>
            <w:r>
              <w:rPr>
                <w:sz w:val="16"/>
              </w:rPr>
              <w:t>Versioned onboarding form, save/resume, conditional logic, mobile access, plain-language instructions, required documents</w:t>
            </w:r>
          </w:p>
        </w:tc>
        <w:tc>
          <w:tcPr>
            <w:tcW w:type="dxa" w:w="3389"/>
            <w:vAlign w:val="center"/>
          </w:tcPr>
          <w:p>
            <w:pPr>
              <w:spacing w:after="0"/>
            </w:pPr>
            <w:r/>
            <w:r>
              <w:rPr>
                <w:sz w:val="16"/>
              </w:rPr>
              <w:t>No blank-canvas promise as the primary offer</w:t>
            </w:r>
          </w:p>
        </w:tc>
      </w:tr>
      <w:tr>
        <w:tc>
          <w:tcPr>
            <w:tcW w:type="dxa" w:w="3389"/>
            <w:shd w:fill="EAF2F8"/>
            <w:vAlign w:val="center"/>
          </w:tcPr>
          <w:p>
            <w:pPr>
              <w:spacing w:after="0"/>
            </w:pPr>
            <w:r/>
            <w:r>
              <w:rPr>
                <w:sz w:val="16"/>
              </w:rPr>
              <w:t>Document intelligence</w:t>
            </w:r>
          </w:p>
        </w:tc>
        <w:tc>
          <w:tcPr>
            <w:tcW w:type="dxa" w:w="3389"/>
            <w:shd w:fill="EAF2F8"/>
            <w:vAlign w:val="center"/>
          </w:tcPr>
          <w:p>
            <w:pPr>
              <w:spacing w:after="0"/>
            </w:pPr>
            <w:r/>
            <w:r>
              <w:rPr>
                <w:sz w:val="16"/>
              </w:rPr>
              <w:t>OCR or text extraction, document classification, completeness checks, duplicate detection, field-level confidence and source evidence</w:t>
            </w:r>
          </w:p>
        </w:tc>
        <w:tc>
          <w:tcPr>
            <w:tcW w:type="dxa" w:w="3389"/>
            <w:shd w:fill="EAF2F8"/>
            <w:vAlign w:val="center"/>
          </w:tcPr>
          <w:p>
            <w:pPr>
              <w:spacing w:after="0"/>
            </w:pPr>
            <w:r/>
            <w:r>
              <w:rPr>
                <w:sz w:val="16"/>
              </w:rPr>
              <w:t>Unsupported classes and uncertain outputs go to review</w:t>
            </w:r>
          </w:p>
        </w:tc>
      </w:tr>
      <w:tr>
        <w:tc>
          <w:tcPr>
            <w:tcW w:type="dxa" w:w="3389"/>
            <w:vAlign w:val="center"/>
          </w:tcPr>
          <w:p>
            <w:pPr>
              <w:spacing w:after="0"/>
            </w:pPr>
            <w:r/>
            <w:r>
              <w:rPr>
                <w:sz w:val="16"/>
              </w:rPr>
              <w:t>Case orchestration</w:t>
            </w:r>
          </w:p>
        </w:tc>
        <w:tc>
          <w:tcPr>
            <w:tcW w:type="dxa" w:w="3389"/>
            <w:vAlign w:val="center"/>
          </w:tcPr>
          <w:p>
            <w:pPr>
              <w:spacing w:after="0"/>
            </w:pPr>
            <w:r/>
            <w:r>
              <w:rPr>
                <w:sz w:val="16"/>
              </w:rPr>
              <w:t>Queues, assignment, parallel or serial tasks, timers, escalation, retries, and a case timeline</w:t>
            </w:r>
          </w:p>
        </w:tc>
        <w:tc>
          <w:tcPr>
            <w:tcW w:type="dxa" w:w="3389"/>
            <w:vAlign w:val="center"/>
          </w:tcPr>
          <w:p>
            <w:pPr>
              <w:spacing w:after="0"/>
            </w:pPr>
            <w:r/>
            <w:r>
              <w:rPr>
                <w:sz w:val="16"/>
              </w:rPr>
              <w:t>No autonomous general-purpose agent</w:t>
            </w:r>
          </w:p>
        </w:tc>
      </w:tr>
      <w:tr>
        <w:tc>
          <w:tcPr>
            <w:tcW w:type="dxa" w:w="3389"/>
            <w:shd w:fill="EAF2F8"/>
            <w:vAlign w:val="center"/>
          </w:tcPr>
          <w:p>
            <w:pPr>
              <w:spacing w:after="0"/>
            </w:pPr>
            <w:r/>
            <w:r>
              <w:rPr>
                <w:sz w:val="16"/>
              </w:rPr>
              <w:t>Review and approval</w:t>
            </w:r>
          </w:p>
        </w:tc>
        <w:tc>
          <w:tcPr>
            <w:tcW w:type="dxa" w:w="3389"/>
            <w:shd w:fill="EAF2F8"/>
            <w:vAlign w:val="center"/>
          </w:tcPr>
          <w:p>
            <w:pPr>
              <w:spacing w:after="0"/>
            </w:pPr>
            <w:r/>
            <w:r>
              <w:rPr>
                <w:sz w:val="16"/>
              </w:rPr>
              <w:t>Evidence-first reviewer queue, corrections, approvals, rejection/rework, delegation where configured</w:t>
            </w:r>
          </w:p>
        </w:tc>
        <w:tc>
          <w:tcPr>
            <w:tcW w:type="dxa" w:w="3389"/>
            <w:shd w:fill="EAF2F8"/>
            <w:vAlign w:val="center"/>
          </w:tcPr>
          <w:p>
            <w:pPr>
              <w:spacing w:after="0"/>
            </w:pPr>
            <w:r/>
            <w:r>
              <w:rPr>
                <w:sz w:val="16"/>
              </w:rPr>
              <w:t>Sensitive or irreversible actions require human or deterministic authorization</w:t>
            </w:r>
          </w:p>
        </w:tc>
      </w:tr>
      <w:tr>
        <w:tc>
          <w:tcPr>
            <w:tcW w:type="dxa" w:w="3389"/>
            <w:vAlign w:val="center"/>
          </w:tcPr>
          <w:p>
            <w:pPr>
              <w:spacing w:after="0"/>
            </w:pPr>
            <w:r/>
            <w:r>
              <w:rPr>
                <w:sz w:val="16"/>
              </w:rPr>
              <w:t>Integration fabric</w:t>
            </w:r>
          </w:p>
        </w:tc>
        <w:tc>
          <w:tcPr>
            <w:tcW w:type="dxa" w:w="3389"/>
            <w:vAlign w:val="center"/>
          </w:tcPr>
          <w:p>
            <w:pPr>
              <w:spacing w:after="0"/>
            </w:pPr>
            <w:r/>
            <w:r>
              <w:rPr>
                <w:sz w:val="16"/>
              </w:rPr>
              <w:t>Resend, Google Workspace/Sheets, signed webhooks, Razorpay events where billing is enabled, Cloudflare R2 file boundary</w:t>
            </w:r>
          </w:p>
        </w:tc>
        <w:tc>
          <w:tcPr>
            <w:tcW w:type="dxa" w:w="3389"/>
            <w:vAlign w:val="center"/>
          </w:tcPr>
          <w:p>
            <w:pPr>
              <w:spacing w:after="0"/>
            </w:pPr>
            <w:r/>
            <w:r>
              <w:rPr>
                <w:sz w:val="16"/>
              </w:rPr>
              <w:t>Connector scopes, health, idempotency, replay, and audit are mandatory</w:t>
            </w:r>
          </w:p>
        </w:tc>
      </w:tr>
      <w:tr>
        <w:tc>
          <w:tcPr>
            <w:tcW w:type="dxa" w:w="3389"/>
            <w:shd w:fill="EAF2F8"/>
            <w:vAlign w:val="center"/>
          </w:tcPr>
          <w:p>
            <w:pPr>
              <w:spacing w:after="0"/>
            </w:pPr>
            <w:r/>
            <w:r>
              <w:rPr>
                <w:sz w:val="16"/>
              </w:rPr>
              <w:t>Governance</w:t>
            </w:r>
          </w:p>
        </w:tc>
        <w:tc>
          <w:tcPr>
            <w:tcW w:type="dxa" w:w="3389"/>
            <w:shd w:fill="EAF2F8"/>
            <w:vAlign w:val="center"/>
          </w:tcPr>
          <w:p>
            <w:pPr>
              <w:spacing w:after="0"/>
            </w:pPr>
            <w:r/>
            <w:r>
              <w:rPr>
                <w:sz w:val="16"/>
              </w:rPr>
              <w:t>Roles, tenant authorization, audit trail, retention, export, consent hooks, encryption in transit and at rest</w:t>
            </w:r>
          </w:p>
        </w:tc>
        <w:tc>
          <w:tcPr>
            <w:tcW w:type="dxa" w:w="3389"/>
            <w:shd w:fill="EAF2F8"/>
            <w:vAlign w:val="center"/>
          </w:tcPr>
          <w:p>
            <w:pPr>
              <w:spacing w:after="0"/>
            </w:pPr>
            <w:r/>
            <w:r>
              <w:rPr>
                <w:sz w:val="16"/>
              </w:rPr>
              <w:t>Architecture alone is not a compliance certification</w:t>
            </w:r>
          </w:p>
        </w:tc>
      </w:tr>
      <w:tr>
        <w:tc>
          <w:tcPr>
            <w:tcW w:type="dxa" w:w="3389"/>
            <w:vAlign w:val="center"/>
          </w:tcPr>
          <w:p>
            <w:pPr>
              <w:spacing w:after="0"/>
            </w:pPr>
            <w:r/>
            <w:r>
              <w:rPr>
                <w:sz w:val="16"/>
              </w:rPr>
              <w:t>Outcome analytics</w:t>
            </w:r>
          </w:p>
        </w:tc>
        <w:tc>
          <w:tcPr>
            <w:tcW w:type="dxa" w:w="3389"/>
            <w:vAlign w:val="center"/>
          </w:tcPr>
          <w:p>
            <w:pPr>
              <w:spacing w:after="0"/>
            </w:pPr>
            <w:r/>
            <w:r>
              <w:rPr>
                <w:sz w:val="16"/>
              </w:rPr>
              <w:t>Completion time, first-pass completeness, review rate, SLA compliance, failed action rate, and cost-per-case</w:t>
            </w:r>
          </w:p>
        </w:tc>
        <w:tc>
          <w:tcPr>
            <w:tcW w:type="dxa" w:w="3389"/>
            <w:vAlign w:val="center"/>
          </w:tcPr>
          <w:p>
            <w:pPr>
              <w:spacing w:after="0"/>
            </w:pPr>
            <w:r/>
            <w:r>
              <w:rPr>
                <w:sz w:val="16"/>
              </w:rPr>
              <w:t>Metrics must be based on actual event and cost data</w:t>
            </w:r>
          </w:p>
        </w:tc>
      </w:tr>
    </w:tbl>
    <w:p>
      <w:pPr>
        <w:spacing w:after="0"/>
      </w:pPr>
    </w:p>
    <w:p>
      <w:pPr>
        <w:pStyle w:val="Heading2"/>
      </w:pPr>
      <w:r>
        <w:t>4.3 AI control plane</w:t>
      </w:r>
    </w:p>
    <w:p>
      <w:pPr>
        <w:spacing w:after="100" w:line="259" w:lineRule="auto"/>
      </w:pPr>
      <w:r>
        <w:rPr>
          <w:sz w:val="19"/>
        </w:rPr>
        <w:t xml:space="preserve">AI is bounded to extraction, classification, language detection, completeness checking, confidence scoring, and routing recommendation. A global 85% threshold is only a starting </w:t>
      </w:r>
      <w:r>
        <w:rPr>
          <w:b/>
          <w:sz w:val="19"/>
        </w:rPr>
        <w:t>internal assumption</w:t>
      </w:r>
      <w:r>
        <w:rPr>
          <w:sz w:val="19"/>
        </w:rPr>
        <w:t>. Thresholds must be calibrated by document class, language, and action risk.</w:t>
      </w:r>
    </w:p>
    <w:p>
      <w:pPr>
        <w:spacing w:after="100" w:line="259" w:lineRule="auto"/>
      </w:pPr>
      <w:r>
        <w:rPr>
          <w:sz w:val="19"/>
        </w:rPr>
        <w:t>The exact routing rule is: AI classifies first and returns confidence components, extracted values, source evidence, model/runtime versions, and a routing recommendation. The backend then recomputes routing deterministically. Automatic execution is allowed only when confidence exceeds the workspace and class threshold, deterministic low-risk checks pass, sensitivity policy permits the action, no AI/rule conflict exists, evidence is sufficient, the action is allowed, safe mode permits it, and an idempotency key exists. Low confidence, sensitive documents or actions, conflicting signals, insufficient evidence, file-safety failure, unknown outcome, or policy restriction creates human review. After approval or correction, the system routes, notifies, creates approvals, invokes authorized integrations, updates records, confirms the outcome, and audits every transition.</w:t>
      </w:r>
      <w:r>
        <w:rPr>
          <w:color w:val="1F4E79"/>
          <w:sz w:val="19"/>
        </w:rPr>
        <w:t>[8]</w:t>
      </w:r>
    </w:p>
    <w:p>
      <w:pPr>
        <w:spacing w:after="100" w:line="259" w:lineRule="auto"/>
      </w:pPr>
      <w:r>
        <w:rPr>
          <w:sz w:val="19"/>
        </w:rPr>
        <w:t>No autonomous irreversible external action is permitted by default for identity, payroll, bank, admission, health, legal, or employment-sensitive data. AI output is untrusted data, not a command. Each result must expose schema, confidence, provenance, rule outcome, model record, human decision, action boundary, and data-handling policy.</w:t>
      </w:r>
    </w:p>
    <w:p>
      <w:pPr>
        <w:pStyle w:val="Heading1"/>
      </w:pPr>
      <w:r>
        <w:t>5. Ideal customer profile and buying motion</w:t>
      </w:r>
    </w:p>
    <w:p>
      <w:pPr>
        <w:spacing w:after="100" w:line="259" w:lineRule="auto"/>
      </w:pPr>
      <w:r>
        <w:rPr>
          <w:sz w:val="19"/>
        </w:rPr>
        <w:t>The primary ICP is an Indian IT or professional-services firm with 10–100 employees, recurring hiring, a named HR or operations owner, and onboarding spread across email, spreadsheets, shared folders, and manual reminders. Firms with a well-integrated HRIS and onboarding stack are excluded unless a specific exception-management or integration gap is identified.</w:t>
      </w:r>
    </w:p>
    <w:p>
      <w:pPr>
        <w:spacing w:after="100" w:line="259" w:lineRule="auto"/>
      </w:pPr>
      <w:r>
        <w:rPr>
          <w:sz w:val="19"/>
        </w:rPr>
        <w:t>The buying motion is implementation-assisted. The first offer is a diagnostic and time-boxed pilot that establishes a baseline for time-to-ready, first-pass completeness, HR/operations minutes per hire, reminder count, rework loops, approval SLA, human-review rate, and failed integration writes. Self-serve discovery remains useful through a free sandbox, but generic SEO, a large template library, or a “Powered by Formiva” badge is not assumed to create retained demand.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Role</w:t>
            </w:r>
          </w:p>
        </w:tc>
        <w:tc>
          <w:tcPr>
            <w:tcW w:type="dxa" w:w="3389"/>
            <w:shd w:fill="1F4E79"/>
            <w:vAlign w:val="center"/>
          </w:tcPr>
          <w:p>
            <w:pPr>
              <w:spacing w:after="0"/>
            </w:pPr>
            <w:r>
              <w:rPr>
                <w:b/>
                <w:color w:val="FFFFFF"/>
              </w:rPr>
            </w:r>
            <w:r>
              <w:rPr>
                <w:b/>
                <w:color w:val="FFFFFF"/>
                <w:sz w:val="16"/>
              </w:rPr>
              <w:t>Job to be done</w:t>
            </w:r>
          </w:p>
        </w:tc>
        <w:tc>
          <w:tcPr>
            <w:tcW w:type="dxa" w:w="3389"/>
            <w:shd w:fill="1F4E79"/>
            <w:vAlign w:val="center"/>
          </w:tcPr>
          <w:p>
            <w:pPr>
              <w:spacing w:after="0"/>
            </w:pPr>
            <w:r>
              <w:rPr>
                <w:b/>
                <w:color w:val="FFFFFF"/>
              </w:rPr>
            </w:r>
            <w:r>
              <w:rPr>
                <w:b/>
                <w:color w:val="FFFFFF"/>
                <w:sz w:val="16"/>
              </w:rPr>
              <w:t>Evidence of value</w:t>
            </w:r>
          </w:p>
        </w:tc>
      </w:tr>
      <w:tr>
        <w:tc>
          <w:tcPr>
            <w:tcW w:type="dxa" w:w="3389"/>
            <w:vAlign w:val="center"/>
          </w:tcPr>
          <w:p>
            <w:pPr>
              <w:spacing w:after="0"/>
            </w:pPr>
            <w:r/>
            <w:r>
              <w:rPr>
                <w:sz w:val="16"/>
              </w:rPr>
              <w:t>Founder/owner</w:t>
            </w:r>
          </w:p>
        </w:tc>
        <w:tc>
          <w:tcPr>
            <w:tcW w:type="dxa" w:w="3389"/>
            <w:vAlign w:val="center"/>
          </w:tcPr>
          <w:p>
            <w:pPr>
              <w:spacing w:after="0"/>
            </w:pPr>
            <w:r/>
            <w:r>
              <w:rPr>
                <w:sz w:val="16"/>
              </w:rPr>
              <w:t>Reduce operational drag without buying an enterprise suite</w:t>
            </w:r>
          </w:p>
        </w:tc>
        <w:tc>
          <w:tcPr>
            <w:tcW w:type="dxa" w:w="3389"/>
            <w:vAlign w:val="center"/>
          </w:tcPr>
          <w:p>
            <w:pPr>
              <w:spacing w:after="0"/>
            </w:pPr>
            <w:r/>
            <w:r>
              <w:rPr>
                <w:sz w:val="16"/>
              </w:rPr>
              <w:t>Time-to-ready, labor minutes, predictable cost, audit export</w:t>
            </w:r>
          </w:p>
        </w:tc>
      </w:tr>
      <w:tr>
        <w:tc>
          <w:tcPr>
            <w:tcW w:type="dxa" w:w="3389"/>
            <w:shd w:fill="EAF2F8"/>
            <w:vAlign w:val="center"/>
          </w:tcPr>
          <w:p>
            <w:pPr>
              <w:spacing w:after="0"/>
            </w:pPr>
            <w:r/>
            <w:r>
              <w:rPr>
                <w:sz w:val="16"/>
              </w:rPr>
              <w:t>HR/operations lead</w:t>
            </w:r>
          </w:p>
        </w:tc>
        <w:tc>
          <w:tcPr>
            <w:tcW w:type="dxa" w:w="3389"/>
            <w:shd w:fill="EAF2F8"/>
            <w:vAlign w:val="center"/>
          </w:tcPr>
          <w:p>
            <w:pPr>
              <w:spacing w:after="0"/>
            </w:pPr>
            <w:r/>
            <w:r>
              <w:rPr>
                <w:sz w:val="16"/>
              </w:rPr>
              <w:t>Collect complete documents and resolve exceptions quickly</w:t>
            </w:r>
          </w:p>
        </w:tc>
        <w:tc>
          <w:tcPr>
            <w:tcW w:type="dxa" w:w="3389"/>
            <w:shd w:fill="EAF2F8"/>
            <w:vAlign w:val="center"/>
          </w:tcPr>
          <w:p>
            <w:pPr>
              <w:spacing w:after="0"/>
            </w:pPr>
            <w:r/>
            <w:r>
              <w:rPr>
                <w:sz w:val="16"/>
              </w:rPr>
              <w:t>First-pass completeness, review queue age, reminders, SLA attainment</w:t>
            </w:r>
          </w:p>
        </w:tc>
      </w:tr>
      <w:tr>
        <w:tc>
          <w:tcPr>
            <w:tcW w:type="dxa" w:w="3389"/>
            <w:vAlign w:val="center"/>
          </w:tcPr>
          <w:p>
            <w:pPr>
              <w:spacing w:after="0"/>
            </w:pPr>
            <w:r/>
            <w:r>
              <w:rPr>
                <w:sz w:val="16"/>
              </w:rPr>
              <w:t>New hire/respondent</w:t>
            </w:r>
          </w:p>
        </w:tc>
        <w:tc>
          <w:tcPr>
            <w:tcW w:type="dxa" w:w="3389"/>
            <w:vAlign w:val="center"/>
          </w:tcPr>
          <w:p>
            <w:pPr>
              <w:spacing w:after="0"/>
            </w:pPr>
            <w:r/>
            <w:r>
              <w:rPr>
                <w:sz w:val="16"/>
              </w:rPr>
              <w:t>Submit correct information and documents with clear instructions</w:t>
            </w:r>
          </w:p>
        </w:tc>
        <w:tc>
          <w:tcPr>
            <w:tcW w:type="dxa" w:w="3389"/>
            <w:vAlign w:val="center"/>
          </w:tcPr>
          <w:p>
            <w:pPr>
              <w:spacing w:after="0"/>
            </w:pPr>
            <w:r/>
            <w:r>
              <w:rPr>
                <w:sz w:val="16"/>
              </w:rPr>
              <w:t>Completion rate, save/resume success, upload rejection clarity</w:t>
            </w:r>
          </w:p>
        </w:tc>
      </w:tr>
      <w:tr>
        <w:tc>
          <w:tcPr>
            <w:tcW w:type="dxa" w:w="3389"/>
            <w:shd w:fill="EAF2F8"/>
            <w:vAlign w:val="center"/>
          </w:tcPr>
          <w:p>
            <w:pPr>
              <w:spacing w:after="0"/>
            </w:pPr>
            <w:r/>
            <w:r>
              <w:rPr>
                <w:sz w:val="16"/>
              </w:rPr>
              <w:t>Finance/payroll/IT</w:t>
            </w:r>
          </w:p>
        </w:tc>
        <w:tc>
          <w:tcPr>
            <w:tcW w:type="dxa" w:w="3389"/>
            <w:shd w:fill="EAF2F8"/>
            <w:vAlign w:val="center"/>
          </w:tcPr>
          <w:p>
            <w:pPr>
              <w:spacing w:after="0"/>
            </w:pPr>
            <w:r/>
            <w:r>
              <w:rPr>
                <w:sz w:val="16"/>
              </w:rPr>
              <w:t>Receive an approved, usable record</w:t>
            </w:r>
          </w:p>
        </w:tc>
        <w:tc>
          <w:tcPr>
            <w:tcW w:type="dxa" w:w="3389"/>
            <w:shd w:fill="EAF2F8"/>
            <w:vAlign w:val="center"/>
          </w:tcPr>
          <w:p>
            <w:pPr>
              <w:spacing w:after="0"/>
            </w:pPr>
            <w:r/>
            <w:r>
              <w:rPr>
                <w:sz w:val="16"/>
              </w:rPr>
              <w:t>Authorized downstream action, field mapping, correction rate</w:t>
            </w:r>
          </w:p>
        </w:tc>
      </w:tr>
      <w:tr>
        <w:tc>
          <w:tcPr>
            <w:tcW w:type="dxa" w:w="3389"/>
            <w:vAlign w:val="center"/>
          </w:tcPr>
          <w:p>
            <w:pPr>
              <w:spacing w:after="0"/>
            </w:pPr>
            <w:r/>
            <w:r>
              <w:rPr>
                <w:sz w:val="16"/>
              </w:rPr>
              <w:t>MSP channel partner</w:t>
            </w:r>
          </w:p>
        </w:tc>
        <w:tc>
          <w:tcPr>
            <w:tcW w:type="dxa" w:w="3389"/>
            <w:vAlign w:val="center"/>
          </w:tcPr>
          <w:p>
            <w:pPr>
              <w:spacing w:after="0"/>
            </w:pPr>
            <w:r/>
            <w:r>
              <w:rPr>
                <w:sz w:val="16"/>
              </w:rPr>
              <w:t>Repeat a deployable onboarding pattern across SMB tenants</w:t>
            </w:r>
          </w:p>
        </w:tc>
        <w:tc>
          <w:tcPr>
            <w:tcW w:type="dxa" w:w="3389"/>
            <w:vAlign w:val="center"/>
          </w:tcPr>
          <w:p>
            <w:pPr>
              <w:spacing w:after="0"/>
            </w:pPr>
            <w:r/>
            <w:r>
              <w:rPr>
                <w:sz w:val="16"/>
              </w:rPr>
              <w:t>Tenant isolation, connector reliability, deployment time, support burden</w:t>
            </w:r>
          </w:p>
        </w:tc>
      </w:tr>
    </w:tbl>
    <w:p>
      <w:pPr>
        <w:spacing w:after="0"/>
      </w:pPr>
    </w:p>
    <w:p>
      <w:pPr>
        <w:pStyle w:val="Heading1"/>
      </w:pPr>
      <w:r>
        <w:t>6. Expansion sequence and gates</w:t>
      </w:r>
    </w:p>
    <w:p>
      <w:pPr>
        <w:spacing w:after="100" w:line="259" w:lineRule="auto"/>
      </w:pPr>
      <w:r>
        <w:rPr>
          <w:sz w:val="19"/>
        </w:rPr>
        <w:t>Expansion is earned by evidence and does not change the approved launch scope.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Sequence</w:t>
            </w:r>
          </w:p>
        </w:tc>
        <w:tc>
          <w:tcPr>
            <w:tcW w:type="dxa" w:w="3389"/>
            <w:shd w:fill="1F4E79"/>
            <w:vAlign w:val="center"/>
          </w:tcPr>
          <w:p>
            <w:pPr>
              <w:spacing w:after="0"/>
            </w:pPr>
            <w:r>
              <w:rPr>
                <w:b/>
                <w:color w:val="FFFFFF"/>
              </w:rPr>
            </w:r>
            <w:r>
              <w:rPr>
                <w:b/>
                <w:color w:val="FFFFFF"/>
                <w:sz w:val="16"/>
              </w:rPr>
              <w:t>Workflow or pack</w:t>
            </w:r>
          </w:p>
        </w:tc>
        <w:tc>
          <w:tcPr>
            <w:tcW w:type="dxa" w:w="3389"/>
            <w:shd w:fill="1F4E79"/>
            <w:vAlign w:val="center"/>
          </w:tcPr>
          <w:p>
            <w:pPr>
              <w:spacing w:after="0"/>
            </w:pPr>
            <w:r>
              <w:rPr>
                <w:b/>
                <w:color w:val="FFFFFF"/>
              </w:rPr>
            </w:r>
            <w:r>
              <w:rPr>
                <w:b/>
                <w:color w:val="FFFFFF"/>
                <w:sz w:val="16"/>
              </w:rPr>
              <w:t>Gate to enter</w:t>
            </w:r>
          </w:p>
        </w:tc>
      </w:tr>
      <w:tr>
        <w:tc>
          <w:tcPr>
            <w:tcW w:type="dxa" w:w="3389"/>
            <w:vAlign w:val="center"/>
          </w:tcPr>
          <w:p>
            <w:pPr>
              <w:spacing w:after="0"/>
            </w:pPr>
            <w:r/>
            <w:r>
              <w:rPr>
                <w:sz w:val="16"/>
              </w:rPr>
              <w:t>1</w:t>
            </w:r>
          </w:p>
        </w:tc>
        <w:tc>
          <w:tcPr>
            <w:tcW w:type="dxa" w:w="3389"/>
            <w:vAlign w:val="center"/>
          </w:tcPr>
          <w:p>
            <w:pPr>
              <w:spacing w:after="0"/>
            </w:pPr>
            <w:r/>
            <w:r>
              <w:rPr>
                <w:sz w:val="16"/>
              </w:rPr>
              <w:t>Employee onboarding and document collection</w:t>
            </w:r>
          </w:p>
        </w:tc>
        <w:tc>
          <w:tcPr>
            <w:tcW w:type="dxa" w:w="3389"/>
            <w:vAlign w:val="center"/>
          </w:tcPr>
          <w:p>
            <w:pPr>
              <w:spacing w:after="0"/>
            </w:pPr>
            <w:r/>
            <w:r>
              <w:rPr>
                <w:sz w:val="16"/>
              </w:rPr>
              <w:t>Three paid or strongly committed pilots and repeat use across at least two hiring cycles where possible</w:t>
            </w:r>
          </w:p>
        </w:tc>
      </w:tr>
      <w:tr>
        <w:tc>
          <w:tcPr>
            <w:tcW w:type="dxa" w:w="3389"/>
            <w:shd w:fill="EAF2F8"/>
            <w:vAlign w:val="center"/>
          </w:tcPr>
          <w:p>
            <w:pPr>
              <w:spacing w:after="0"/>
            </w:pPr>
            <w:r/>
            <w:r>
              <w:rPr>
                <w:sz w:val="16"/>
              </w:rPr>
              <w:t>2</w:t>
            </w:r>
          </w:p>
        </w:tc>
        <w:tc>
          <w:tcPr>
            <w:tcW w:type="dxa" w:w="3389"/>
            <w:shd w:fill="EAF2F8"/>
            <w:vAlign w:val="center"/>
          </w:tcPr>
          <w:p>
            <w:pPr>
              <w:spacing w:after="0"/>
            </w:pPr>
            <w:r/>
            <w:r>
              <w:rPr>
                <w:sz w:val="16"/>
              </w:rPr>
              <w:t>Leave, expense, and IT requests for the same customer base</w:t>
            </w:r>
          </w:p>
        </w:tc>
        <w:tc>
          <w:tcPr>
            <w:tcW w:type="dxa" w:w="3389"/>
            <w:shd w:fill="EAF2F8"/>
            <w:vAlign w:val="center"/>
          </w:tcPr>
          <w:p>
            <w:pPr>
              <w:spacing w:after="0"/>
            </w:pPr>
            <w:r/>
            <w:r>
              <w:rPr>
                <w:sz w:val="16"/>
              </w:rPr>
              <w:t>At least 60% of pilot customers activate or request a second workflow in writing</w:t>
            </w:r>
          </w:p>
        </w:tc>
      </w:tr>
      <w:tr>
        <w:tc>
          <w:tcPr>
            <w:tcW w:type="dxa" w:w="3389"/>
            <w:vAlign w:val="center"/>
          </w:tcPr>
          <w:p>
            <w:pPr>
              <w:spacing w:after="0"/>
            </w:pPr>
            <w:r/>
            <w:r>
              <w:rPr>
                <w:sz w:val="16"/>
              </w:rPr>
              <w:t>3</w:t>
            </w:r>
          </w:p>
        </w:tc>
        <w:tc>
          <w:tcPr>
            <w:tcW w:type="dxa" w:w="3389"/>
            <w:vAlign w:val="center"/>
          </w:tcPr>
          <w:p>
            <w:pPr>
              <w:spacing w:after="0"/>
            </w:pPr>
            <w:r/>
            <w:r>
              <w:rPr>
                <w:sz w:val="16"/>
              </w:rPr>
              <w:t>Vendor onboarding and procurement intake</w:t>
            </w:r>
          </w:p>
        </w:tc>
        <w:tc>
          <w:tcPr>
            <w:tcW w:type="dxa" w:w="3389"/>
            <w:vAlign w:val="center"/>
          </w:tcPr>
          <w:p>
            <w:pPr>
              <w:spacing w:after="0"/>
            </w:pPr>
            <w:r/>
            <w:r>
              <w:rPr>
                <w:sz w:val="16"/>
              </w:rPr>
              <w:t>Document controls, retention, approval evidence, and accounting/procurement connector demand are demonstrated</w:t>
            </w:r>
          </w:p>
        </w:tc>
      </w:tr>
      <w:tr>
        <w:tc>
          <w:tcPr>
            <w:tcW w:type="dxa" w:w="3389"/>
            <w:shd w:fill="EAF2F8"/>
            <w:vAlign w:val="center"/>
          </w:tcPr>
          <w:p>
            <w:pPr>
              <w:spacing w:after="0"/>
            </w:pPr>
            <w:r/>
            <w:r>
              <w:rPr>
                <w:sz w:val="16"/>
              </w:rPr>
              <w:t>4</w:t>
            </w:r>
          </w:p>
        </w:tc>
        <w:tc>
          <w:tcPr>
            <w:tcW w:type="dxa" w:w="3389"/>
            <w:shd w:fill="EAF2F8"/>
            <w:vAlign w:val="center"/>
          </w:tcPr>
          <w:p>
            <w:pPr>
              <w:spacing w:after="0"/>
            </w:pPr>
            <w:r/>
            <w:r>
              <w:rPr>
                <w:sz w:val="16"/>
              </w:rPr>
              <w:t>School or coaching-centre admissions</w:t>
            </w:r>
          </w:p>
        </w:tc>
        <w:tc>
          <w:tcPr>
            <w:tcW w:type="dxa" w:w="3389"/>
            <w:shd w:fill="EAF2F8"/>
            <w:vAlign w:val="center"/>
          </w:tcPr>
          <w:p>
            <w:pPr>
              <w:spacing w:after="0"/>
            </w:pPr>
            <w:r/>
            <w:r>
              <w:rPr>
                <w:sz w:val="16"/>
              </w:rPr>
              <w:t>One paid, time-boxed pilot outside peak-season pressure with consent and completion metrics</w:t>
            </w:r>
          </w:p>
        </w:tc>
      </w:tr>
      <w:tr>
        <w:tc>
          <w:tcPr>
            <w:tcW w:type="dxa" w:w="3389"/>
            <w:vAlign w:val="center"/>
          </w:tcPr>
          <w:p>
            <w:pPr>
              <w:spacing w:after="0"/>
            </w:pPr>
            <w:r/>
            <w:r>
              <w:rPr>
                <w:sz w:val="16"/>
              </w:rPr>
              <w:t>5</w:t>
            </w:r>
          </w:p>
        </w:tc>
        <w:tc>
          <w:tcPr>
            <w:tcW w:type="dxa" w:w="3389"/>
            <w:vAlign w:val="center"/>
          </w:tcPr>
          <w:p>
            <w:pPr>
              <w:spacing w:after="0"/>
            </w:pPr>
            <w:r/>
            <w:r>
              <w:rPr>
                <w:sz w:val="16"/>
              </w:rPr>
              <w:t>MSP-managed Microsoft 365 onboarding</w:t>
            </w:r>
          </w:p>
        </w:tc>
        <w:tc>
          <w:tcPr>
            <w:tcW w:type="dxa" w:w="3389"/>
            <w:vAlign w:val="center"/>
          </w:tcPr>
          <w:p>
            <w:pPr>
              <w:spacing w:after="0"/>
            </w:pPr>
            <w:r/>
            <w:r>
              <w:rPr>
                <w:sz w:val="16"/>
              </w:rPr>
              <w:t>Graph/Entra connector, least privilege, tenant isolation, and ticket write-back proven in two tenants</w:t>
            </w:r>
          </w:p>
        </w:tc>
      </w:tr>
      <w:tr>
        <w:tc>
          <w:tcPr>
            <w:tcW w:type="dxa" w:w="3389"/>
            <w:shd w:fill="EAF2F8"/>
            <w:vAlign w:val="center"/>
          </w:tcPr>
          <w:p>
            <w:pPr>
              <w:spacing w:after="0"/>
            </w:pPr>
            <w:r/>
            <w:r>
              <w:rPr>
                <w:sz w:val="16"/>
              </w:rPr>
              <w:t>6</w:t>
            </w:r>
          </w:p>
        </w:tc>
        <w:tc>
          <w:tcPr>
            <w:tcW w:type="dxa" w:w="3389"/>
            <w:shd w:fill="EAF2F8"/>
            <w:vAlign w:val="center"/>
          </w:tcPr>
          <w:p>
            <w:pPr>
              <w:spacing w:after="0"/>
            </w:pPr>
            <w:r/>
            <w:r>
              <w:rPr>
                <w:sz w:val="16"/>
              </w:rPr>
              <w:t>Manufacturing, professional-services, real estate, clinics, and finance-adjacent gated packs</w:t>
            </w:r>
          </w:p>
        </w:tc>
        <w:tc>
          <w:tcPr>
            <w:tcW w:type="dxa" w:w="3389"/>
            <w:shd w:fill="EAF2F8"/>
            <w:vAlign w:val="center"/>
          </w:tcPr>
          <w:p>
            <w:pPr>
              <w:spacing w:after="0"/>
            </w:pPr>
            <w:r/>
            <w:r>
              <w:rPr>
                <w:sz w:val="16"/>
              </w:rPr>
              <w:t>Each pack requires a separate demand, risk, data, and integration review; manufacturing remains later scope</w:t>
            </w:r>
          </w:p>
        </w:tc>
      </w:tr>
      <w:tr>
        <w:tc>
          <w:tcPr>
            <w:tcW w:type="dxa" w:w="3389"/>
            <w:vAlign w:val="center"/>
          </w:tcPr>
          <w:p>
            <w:pPr>
              <w:spacing w:after="0"/>
            </w:pPr>
            <w:r/>
            <w:r>
              <w:rPr>
                <w:sz w:val="16"/>
              </w:rPr>
              <w:t>7</w:t>
            </w:r>
          </w:p>
        </w:tc>
        <w:tc>
          <w:tcPr>
            <w:tcW w:type="dxa" w:w="3389"/>
            <w:vAlign w:val="center"/>
          </w:tcPr>
          <w:p>
            <w:pPr>
              <w:spacing w:after="0"/>
            </w:pPr>
            <w:r/>
            <w:r>
              <w:rPr>
                <w:sz w:val="16"/>
              </w:rPr>
              <w:t>WhatsApp supermarket ordering</w:t>
            </w:r>
          </w:p>
        </w:tc>
        <w:tc>
          <w:tcPr>
            <w:tcW w:type="dxa" w:w="3389"/>
            <w:vAlign w:val="center"/>
          </w:tcPr>
          <w:p>
            <w:pPr>
              <w:spacing w:after="0"/>
            </w:pPr>
            <w:r/>
            <w:r>
              <w:rPr>
                <w:sz w:val="16"/>
              </w:rPr>
              <w:t>Separate product package, budget, P&amp;L, consent model, message-cost tracking, fresh catalog/stock, payment reconciliation, and named fulfillment owner</w:t>
            </w:r>
          </w:p>
        </w:tc>
      </w:tr>
    </w:tbl>
    <w:p>
      <w:pPr>
        <w:spacing w:after="0"/>
      </w:pPr>
    </w:p>
    <w:p>
      <w:pPr>
        <w:spacing w:after="100" w:line="259" w:lineRule="auto"/>
      </w:pPr>
      <w:r>
        <w:rPr>
          <w:sz w:val="19"/>
        </w:rPr>
        <w:t>WhatsApp is a fully separate gated experiment. It must not enter the B2B base-case forecast before it demonstrates baseline-relative completed-order economics, payment completion, fulfillment reliability, support burden, and repeat behavior.</w:t>
      </w:r>
      <w:r>
        <w:rPr>
          <w:color w:val="1F4E79"/>
          <w:sz w:val="19"/>
        </w:rPr>
        <w:t>[9]</w:t>
      </w:r>
    </w:p>
    <w:p>
      <w:pPr>
        <w:pStyle w:val="Heading1"/>
      </w:pPr>
      <w:r>
        <w:t>7. Go-to-market</w:t>
      </w:r>
    </w:p>
    <w:p>
      <w:pPr>
        <w:pStyle w:val="Heading2"/>
      </w:pPr>
      <w:r>
        <w:t>7.1 Acquisition sequence</w:t>
      </w:r>
    </w:p>
    <w:p>
      <w:pPr>
        <w:spacing w:after="100" w:line="259" w:lineRule="auto"/>
      </w:pPr>
      <w:r>
        <w:rPr>
          <w:sz w:val="19"/>
        </w:rPr>
        <w:t>The first acquisition channel is founder-led outreach to the defined ICP, followed by implementation-assisted pilots. The founder should diagnose one onboarding bottleneck, configure one opinionated workflow, establish a baseline, and charge for implementation when the pilot requires meaningful process mapping or migration.</w:t>
      </w:r>
    </w:p>
    <w:p>
      <w:pPr>
        <w:spacing w:after="100" w:line="259" w:lineRule="auto"/>
      </w:pPr>
      <w:r>
        <w:rPr>
          <w:sz w:val="19"/>
        </w:rPr>
        <w:t>Secondary channels are HR and operations communities, selected implementation or MSP partners, customer referrals, and focused content built around the onboarding problem. Product-led discovery may use a free sandbox with sample data, but production use of sensitive data is excluded from the free tier.</w:t>
      </w:r>
    </w:p>
    <w:p>
      <w:pPr>
        <w:pStyle w:val="Heading2"/>
      </w:pPr>
      <w:r>
        <w:t>7.2 Sales stages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Stage</w:t>
            </w:r>
          </w:p>
        </w:tc>
        <w:tc>
          <w:tcPr>
            <w:tcW w:type="dxa" w:w="3389"/>
            <w:shd w:fill="1F4E79"/>
            <w:vAlign w:val="center"/>
          </w:tcPr>
          <w:p>
            <w:pPr>
              <w:spacing w:after="0"/>
            </w:pPr>
            <w:r>
              <w:rPr>
                <w:b/>
                <w:color w:val="FFFFFF"/>
              </w:rPr>
            </w:r>
            <w:r>
              <w:rPr>
                <w:b/>
                <w:color w:val="FFFFFF"/>
                <w:sz w:val="16"/>
              </w:rPr>
              <w:t>Required evidence</w:t>
            </w:r>
          </w:p>
        </w:tc>
        <w:tc>
          <w:tcPr>
            <w:tcW w:type="dxa" w:w="3389"/>
            <w:shd w:fill="1F4E79"/>
            <w:vAlign w:val="center"/>
          </w:tcPr>
          <w:p>
            <w:pPr>
              <w:spacing w:after="0"/>
            </w:pPr>
            <w:r>
              <w:rPr>
                <w:b/>
                <w:color w:val="FFFFFF"/>
              </w:rPr>
            </w:r>
            <w:r>
              <w:rPr>
                <w:b/>
                <w:color w:val="FFFFFF"/>
                <w:sz w:val="16"/>
              </w:rPr>
              <w:t>Exit condition</w:t>
            </w:r>
          </w:p>
        </w:tc>
      </w:tr>
      <w:tr>
        <w:tc>
          <w:tcPr>
            <w:tcW w:type="dxa" w:w="3389"/>
            <w:vAlign w:val="center"/>
          </w:tcPr>
          <w:p>
            <w:pPr>
              <w:spacing w:after="0"/>
            </w:pPr>
            <w:r/>
            <w:r>
              <w:rPr>
                <w:sz w:val="16"/>
              </w:rPr>
              <w:t>Diagnose</w:t>
            </w:r>
          </w:p>
        </w:tc>
        <w:tc>
          <w:tcPr>
            <w:tcW w:type="dxa" w:w="3389"/>
            <w:vAlign w:val="center"/>
          </w:tcPr>
          <w:p>
            <w:pPr>
              <w:spacing w:after="0"/>
            </w:pPr>
            <w:r/>
            <w:r>
              <w:rPr>
                <w:sz w:val="16"/>
              </w:rPr>
              <w:t>Named owner, recurring hiring, current process map, baseline measures</w:t>
            </w:r>
          </w:p>
        </w:tc>
        <w:tc>
          <w:tcPr>
            <w:tcW w:type="dxa" w:w="3389"/>
            <w:vAlign w:val="center"/>
          </w:tcPr>
          <w:p>
            <w:pPr>
              <w:spacing w:after="0"/>
            </w:pPr>
            <w:r/>
            <w:r>
              <w:rPr>
                <w:sz w:val="16"/>
              </w:rPr>
              <w:t>Customer confirms a costly document or rework problem</w:t>
            </w:r>
          </w:p>
        </w:tc>
      </w:tr>
      <w:tr>
        <w:tc>
          <w:tcPr>
            <w:tcW w:type="dxa" w:w="3389"/>
            <w:shd w:fill="EAF2F8"/>
            <w:vAlign w:val="center"/>
          </w:tcPr>
          <w:p>
            <w:pPr>
              <w:spacing w:after="0"/>
            </w:pPr>
            <w:r/>
            <w:r>
              <w:rPr>
                <w:sz w:val="16"/>
              </w:rPr>
              <w:t>Design</w:t>
            </w:r>
          </w:p>
        </w:tc>
        <w:tc>
          <w:tcPr>
            <w:tcW w:type="dxa" w:w="3389"/>
            <w:shd w:fill="EAF2F8"/>
            <w:vAlign w:val="center"/>
          </w:tcPr>
          <w:p>
            <w:pPr>
              <w:spacing w:after="0"/>
            </w:pPr>
            <w:r/>
            <w:r>
              <w:rPr>
                <w:sz w:val="16"/>
              </w:rPr>
              <w:t>Onboarding template, roles, documents, policy boundaries, integration target</w:t>
            </w:r>
          </w:p>
        </w:tc>
        <w:tc>
          <w:tcPr>
            <w:tcW w:type="dxa" w:w="3389"/>
            <w:shd w:fill="EAF2F8"/>
            <w:vAlign w:val="center"/>
          </w:tcPr>
          <w:p>
            <w:pPr>
              <w:spacing w:after="0"/>
            </w:pPr>
            <w:r/>
            <w:r>
              <w:rPr>
                <w:sz w:val="16"/>
              </w:rPr>
              <w:t>Customer approves a written pilot scope</w:t>
            </w:r>
          </w:p>
        </w:tc>
      </w:tr>
      <w:tr>
        <w:tc>
          <w:tcPr>
            <w:tcW w:type="dxa" w:w="3389"/>
            <w:vAlign w:val="center"/>
          </w:tcPr>
          <w:p>
            <w:pPr>
              <w:spacing w:after="0"/>
            </w:pPr>
            <w:r/>
            <w:r>
              <w:rPr>
                <w:sz w:val="16"/>
              </w:rPr>
              <w:t>Pilot</w:t>
            </w:r>
          </w:p>
        </w:tc>
        <w:tc>
          <w:tcPr>
            <w:tcW w:type="dxa" w:w="3389"/>
            <w:vAlign w:val="center"/>
          </w:tcPr>
          <w:p>
            <w:pPr>
              <w:spacing w:after="0"/>
            </w:pPr>
            <w:r/>
            <w:r>
              <w:rPr>
                <w:sz w:val="16"/>
              </w:rPr>
              <w:t>Realistic synthetic, redacted, or approved production data; support and review plan</w:t>
            </w:r>
          </w:p>
        </w:tc>
        <w:tc>
          <w:tcPr>
            <w:tcW w:type="dxa" w:w="3389"/>
            <w:vAlign w:val="center"/>
          </w:tcPr>
          <w:p>
            <w:pPr>
              <w:spacing w:after="0"/>
            </w:pPr>
            <w:r/>
            <w:r>
              <w:rPr>
                <w:sz w:val="16"/>
              </w:rPr>
              <w:t>Cases complete with measured outcomes and no critical data-loss defect</w:t>
            </w:r>
          </w:p>
        </w:tc>
      </w:tr>
      <w:tr>
        <w:tc>
          <w:tcPr>
            <w:tcW w:type="dxa" w:w="3389"/>
            <w:shd w:fill="EAF2F8"/>
            <w:vAlign w:val="center"/>
          </w:tcPr>
          <w:p>
            <w:pPr>
              <w:spacing w:after="0"/>
            </w:pPr>
            <w:r/>
            <w:r>
              <w:rPr>
                <w:sz w:val="16"/>
              </w:rPr>
              <w:t>Convert</w:t>
            </w:r>
          </w:p>
        </w:tc>
        <w:tc>
          <w:tcPr>
            <w:tcW w:type="dxa" w:w="3389"/>
            <w:shd w:fill="EAF2F8"/>
            <w:vAlign w:val="center"/>
          </w:tcPr>
          <w:p>
            <w:pPr>
              <w:spacing w:after="0"/>
            </w:pPr>
            <w:r/>
            <w:r>
              <w:rPr>
                <w:sz w:val="16"/>
              </w:rPr>
              <w:t>Paid plan, implementation scope, usage limits, data terms, support model</w:t>
            </w:r>
          </w:p>
        </w:tc>
        <w:tc>
          <w:tcPr>
            <w:tcW w:type="dxa" w:w="3389"/>
            <w:shd w:fill="EAF2F8"/>
            <w:vAlign w:val="center"/>
          </w:tcPr>
          <w:p>
            <w:pPr>
              <w:spacing w:after="0"/>
            </w:pPr>
            <w:r/>
            <w:r>
              <w:rPr>
                <w:sz w:val="16"/>
              </w:rPr>
              <w:t>Payment and production gate complete</w:t>
            </w:r>
          </w:p>
        </w:tc>
      </w:tr>
      <w:tr>
        <w:tc>
          <w:tcPr>
            <w:tcW w:type="dxa" w:w="3389"/>
            <w:vAlign w:val="center"/>
          </w:tcPr>
          <w:p>
            <w:pPr>
              <w:spacing w:after="0"/>
            </w:pPr>
            <w:r/>
            <w:r>
              <w:rPr>
                <w:sz w:val="16"/>
              </w:rPr>
              <w:t>Expand</w:t>
            </w:r>
          </w:p>
        </w:tc>
        <w:tc>
          <w:tcPr>
            <w:tcW w:type="dxa" w:w="3389"/>
            <w:vAlign w:val="center"/>
          </w:tcPr>
          <w:p>
            <w:pPr>
              <w:spacing w:after="0"/>
            </w:pPr>
            <w:r/>
            <w:r>
              <w:rPr>
                <w:sz w:val="16"/>
              </w:rPr>
              <w:t>Second workflow request, repeat hiring, referenceable case study</w:t>
            </w:r>
          </w:p>
        </w:tc>
        <w:tc>
          <w:tcPr>
            <w:tcW w:type="dxa" w:w="3389"/>
            <w:vAlign w:val="center"/>
          </w:tcPr>
          <w:p>
            <w:pPr>
              <w:spacing w:after="0"/>
            </w:pPr>
            <w:r/>
            <w:r>
              <w:rPr>
                <w:sz w:val="16"/>
              </w:rPr>
              <w:t>Expansion gate in Section 6 passes</w:t>
            </w:r>
          </w:p>
        </w:tc>
      </w:tr>
    </w:tbl>
    <w:p>
      <w:pPr>
        <w:spacing w:after="0"/>
      </w:pPr>
    </w:p>
    <w:p>
      <w:pPr>
        <w:pStyle w:val="Heading2"/>
      </w:pPr>
      <w:r>
        <w:t>7.3 Trust as a sales gate</w:t>
      </w:r>
    </w:p>
    <w:p>
      <w:pPr>
        <w:spacing w:after="100" w:line="259" w:lineRule="auto"/>
      </w:pPr>
      <w:r>
        <w:rPr>
          <w:sz w:val="19"/>
        </w:rPr>
        <w:t>Before processing meaningful sensitive personal data, Formiva must provide a trust-evidence pack containing data-flow and architecture diagrams, processing-role analysis, subprocessor list, encryption description, tenant-isolation evidence, RBAC/MFA design, retention/deletion and backup behavior, audit-log schema, incident process, and the status of controls as implemented, planned, or assessment-required. DPDP, GDPR, SOC 2, and ISO/IEC 27001 are distinct regimes and must not be used interchangeably.</w:t>
      </w:r>
      <w:r>
        <w:rPr>
          <w:color w:val="1F4E79"/>
          <w:sz w:val="19"/>
        </w:rPr>
        <w:t>[10]</w:t>
      </w:r>
      <w:r>
        <w:rPr>
          <w:sz w:val="19"/>
        </w:rPr>
        <w:t xml:space="preserve"> </w:t>
      </w:r>
      <w:r>
        <w:rPr>
          <w:color w:val="1F4E79"/>
          <w:sz w:val="19"/>
        </w:rPr>
        <w:t>[11]</w:t>
      </w:r>
      <w:r>
        <w:rPr>
          <w:sz w:val="19"/>
        </w:rPr>
        <w:t xml:space="preserve"> </w:t>
      </w:r>
      <w:r>
        <w:rPr>
          <w:color w:val="1F4E79"/>
          <w:sz w:val="19"/>
        </w:rPr>
        <w:t>[12]</w:t>
      </w:r>
      <w:r>
        <w:rPr>
          <w:sz w:val="19"/>
        </w:rPr>
        <w:t xml:space="preserve"> </w:t>
      </w:r>
      <w:r>
        <w:rPr>
          <w:color w:val="1F4E79"/>
          <w:sz w:val="19"/>
        </w:rPr>
        <w:t>[13]</w:t>
      </w:r>
    </w:p>
    <w:p>
      <w:pPr>
        <w:pStyle w:val="Heading1"/>
      </w:pPr>
      <w:r>
        <w:t>8. Pricing hypotheses</w:t>
      </w:r>
    </w:p>
    <w:p>
      <w:pPr>
        <w:spacing w:after="100" w:line="259" w:lineRule="auto"/>
      </w:pPr>
      <w:r>
        <w:rPr>
          <w:sz w:val="19"/>
        </w:rPr>
        <w:t xml:space="preserve">The following prices are </w:t>
      </w:r>
      <w:r>
        <w:rPr>
          <w:b/>
          <w:sz w:val="19"/>
        </w:rPr>
        <w:t>internal assumptions to test</w:t>
      </w:r>
      <w:r>
        <w:rPr>
          <w:sz w:val="19"/>
        </w:rPr>
        <w:t>, not commitments. They should be tested through 15–20 willingness-to-pay interviews per segment and then paid pilots. Prices must be compared with avoided labor, implementation effort, support minutes, and variable processing costs.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pPr>
              <w:spacing w:after="0"/>
            </w:pPr>
            <w:r>
              <w:rPr>
                <w:b/>
                <w:color w:val="FFFFFF"/>
              </w:rPr>
            </w:r>
            <w:r>
              <w:rPr>
                <w:b/>
                <w:color w:val="FFFFFF"/>
                <w:sz w:val="16"/>
              </w:rPr>
              <w:t>Package</w:t>
            </w:r>
          </w:p>
        </w:tc>
        <w:tc>
          <w:tcPr>
            <w:tcW w:type="dxa" w:w="2541"/>
            <w:shd w:fill="1F4E79"/>
            <w:vAlign w:val="center"/>
          </w:tcPr>
          <w:p>
            <w:pPr>
              <w:spacing w:after="0"/>
            </w:pPr>
            <w:r>
              <w:rPr>
                <w:b/>
                <w:color w:val="FFFFFF"/>
              </w:rPr>
            </w:r>
            <w:r>
              <w:rPr>
                <w:b/>
                <w:color w:val="FFFFFF"/>
                <w:sz w:val="16"/>
              </w:rPr>
              <w:t>Starting hypothesis</w:t>
            </w:r>
          </w:p>
        </w:tc>
        <w:tc>
          <w:tcPr>
            <w:tcW w:type="dxa" w:w="2541"/>
            <w:shd w:fill="1F4E79"/>
            <w:vAlign w:val="center"/>
          </w:tcPr>
          <w:p>
            <w:pPr>
              <w:spacing w:after="0"/>
            </w:pPr>
            <w:r>
              <w:rPr>
                <w:b/>
                <w:color w:val="FFFFFF"/>
              </w:rPr>
            </w:r>
            <w:r>
              <w:rPr>
                <w:b/>
                <w:color w:val="FFFFFF"/>
                <w:sz w:val="16"/>
              </w:rPr>
              <w:t>Intended customer</w:t>
            </w:r>
          </w:p>
        </w:tc>
        <w:tc>
          <w:tcPr>
            <w:tcW w:type="dxa" w:w="2541"/>
            <w:shd w:fill="1F4E79"/>
            <w:vAlign w:val="center"/>
          </w:tcPr>
          <w:p>
            <w:pPr>
              <w:spacing w:after="0"/>
            </w:pPr>
            <w:r>
              <w:rPr>
                <w:b/>
                <w:color w:val="FFFFFF"/>
              </w:rPr>
            </w:r>
            <w:r>
              <w:rPr>
                <w:b/>
                <w:color w:val="FFFFFF"/>
                <w:sz w:val="16"/>
              </w:rPr>
              <w:t>Included boundary</w:t>
            </w:r>
          </w:p>
        </w:tc>
      </w:tr>
      <w:tr>
        <w:tc>
          <w:tcPr>
            <w:tcW w:type="dxa" w:w="2541"/>
            <w:vAlign w:val="center"/>
          </w:tcPr>
          <w:p>
            <w:pPr>
              <w:spacing w:after="0"/>
            </w:pPr>
            <w:r/>
            <w:r>
              <w:rPr>
                <w:sz w:val="16"/>
              </w:rPr>
              <w:t>Free sandbox</w:t>
            </w:r>
          </w:p>
        </w:tc>
        <w:tc>
          <w:tcPr>
            <w:tcW w:type="dxa" w:w="2541"/>
            <w:vAlign w:val="center"/>
          </w:tcPr>
          <w:p>
            <w:pPr>
              <w:spacing w:after="0"/>
            </w:pPr>
            <w:r/>
            <w:r>
              <w:rPr>
                <w:sz w:val="16"/>
              </w:rPr>
              <w:t>₹0</w:t>
            </w:r>
          </w:p>
        </w:tc>
        <w:tc>
          <w:tcPr>
            <w:tcW w:type="dxa" w:w="2541"/>
            <w:vAlign w:val="center"/>
          </w:tcPr>
          <w:p>
            <w:pPr>
              <w:spacing w:after="0"/>
            </w:pPr>
            <w:r/>
            <w:r>
              <w:rPr>
                <w:sz w:val="16"/>
              </w:rPr>
              <w:t>Evaluation only</w:t>
            </w:r>
          </w:p>
        </w:tc>
        <w:tc>
          <w:tcPr>
            <w:tcW w:type="dxa" w:w="2541"/>
            <w:vAlign w:val="center"/>
          </w:tcPr>
          <w:p>
            <w:pPr>
              <w:spacing w:after="0"/>
            </w:pPr>
            <w:r/>
            <w:r>
              <w:rPr>
                <w:sz w:val="16"/>
              </w:rPr>
              <w:t>One workflow, low volume, sample data, no sensitive production use</w:t>
            </w:r>
          </w:p>
        </w:tc>
      </w:tr>
      <w:tr>
        <w:tc>
          <w:tcPr>
            <w:tcW w:type="dxa" w:w="2541"/>
            <w:shd w:fill="EAF2F8"/>
            <w:vAlign w:val="center"/>
          </w:tcPr>
          <w:p>
            <w:pPr>
              <w:spacing w:after="0"/>
            </w:pPr>
            <w:r/>
            <w:r>
              <w:rPr>
                <w:sz w:val="16"/>
              </w:rPr>
              <w:t>Starter SMB</w:t>
            </w:r>
          </w:p>
        </w:tc>
        <w:tc>
          <w:tcPr>
            <w:tcW w:type="dxa" w:w="2541"/>
            <w:shd w:fill="EAF2F8"/>
            <w:vAlign w:val="center"/>
          </w:tcPr>
          <w:p>
            <w:pPr>
              <w:spacing w:after="0"/>
            </w:pPr>
            <w:r/>
            <w:r>
              <w:rPr>
                <w:sz w:val="16"/>
              </w:rPr>
              <w:t>₹999/month</w:t>
            </w:r>
          </w:p>
        </w:tc>
        <w:tc>
          <w:tcPr>
            <w:tcW w:type="dxa" w:w="2541"/>
            <w:shd w:fill="EAF2F8"/>
            <w:vAlign w:val="center"/>
          </w:tcPr>
          <w:p>
            <w:pPr>
              <w:spacing w:after="0"/>
            </w:pPr>
            <w:r/>
            <w:r>
              <w:rPr>
                <w:sz w:val="16"/>
              </w:rPr>
              <w:t>10–50 employees</w:t>
            </w:r>
          </w:p>
        </w:tc>
        <w:tc>
          <w:tcPr>
            <w:tcW w:type="dxa" w:w="2541"/>
            <w:shd w:fill="EAF2F8"/>
            <w:vAlign w:val="center"/>
          </w:tcPr>
          <w:p>
            <w:pPr>
              <w:spacing w:after="0"/>
            </w:pPr>
            <w:r/>
            <w:r>
              <w:rPr>
                <w:sz w:val="16"/>
              </w:rPr>
              <w:t>Onboarding template, basic routing/approvals, limited document AI</w:t>
            </w:r>
          </w:p>
        </w:tc>
      </w:tr>
      <w:tr>
        <w:tc>
          <w:tcPr>
            <w:tcW w:type="dxa" w:w="2541"/>
            <w:vAlign w:val="center"/>
          </w:tcPr>
          <w:p>
            <w:pPr>
              <w:spacing w:after="0"/>
            </w:pPr>
            <w:r/>
            <w:r>
              <w:rPr>
                <w:sz w:val="16"/>
              </w:rPr>
              <w:t>Vertical Pro</w:t>
            </w:r>
          </w:p>
        </w:tc>
        <w:tc>
          <w:tcPr>
            <w:tcW w:type="dxa" w:w="2541"/>
            <w:vAlign w:val="center"/>
          </w:tcPr>
          <w:p>
            <w:pPr>
              <w:spacing w:after="0"/>
            </w:pPr>
            <w:r/>
            <w:r>
              <w:rPr>
                <w:sz w:val="16"/>
              </w:rPr>
              <w:t>₹2,999/month</w:t>
            </w:r>
          </w:p>
        </w:tc>
        <w:tc>
          <w:tcPr>
            <w:tcW w:type="dxa" w:w="2541"/>
            <w:vAlign w:val="center"/>
          </w:tcPr>
          <w:p>
            <w:pPr>
              <w:spacing w:after="0"/>
            </w:pPr>
            <w:r/>
            <w:r>
              <w:rPr>
                <w:sz w:val="16"/>
              </w:rPr>
              <w:t>25–100 employees</w:t>
            </w:r>
          </w:p>
        </w:tc>
        <w:tc>
          <w:tcPr>
            <w:tcW w:type="dxa" w:w="2541"/>
            <w:vAlign w:val="center"/>
          </w:tcPr>
          <w:p>
            <w:pPr>
              <w:spacing w:after="0"/>
            </w:pPr>
            <w:r/>
            <w:r>
              <w:rPr>
                <w:sz w:val="16"/>
              </w:rPr>
              <w:t>Multiple workflows, extraction, review queue, SLA analytics</w:t>
            </w:r>
          </w:p>
        </w:tc>
      </w:tr>
      <w:tr>
        <w:tc>
          <w:tcPr>
            <w:tcW w:type="dxa" w:w="2541"/>
            <w:shd w:fill="EAF2F8"/>
            <w:vAlign w:val="center"/>
          </w:tcPr>
          <w:p>
            <w:pPr>
              <w:spacing w:after="0"/>
            </w:pPr>
            <w:r/>
            <w:r>
              <w:rPr>
                <w:sz w:val="16"/>
              </w:rPr>
              <w:t>Governance/Scale</w:t>
            </w:r>
          </w:p>
        </w:tc>
        <w:tc>
          <w:tcPr>
            <w:tcW w:type="dxa" w:w="2541"/>
            <w:shd w:fill="EAF2F8"/>
            <w:vAlign w:val="center"/>
          </w:tcPr>
          <w:p>
            <w:pPr>
              <w:spacing w:after="0"/>
            </w:pPr>
            <w:r/>
            <w:r>
              <w:rPr>
                <w:sz w:val="16"/>
              </w:rPr>
              <w:t>₹7,999+/month</w:t>
            </w:r>
          </w:p>
        </w:tc>
        <w:tc>
          <w:tcPr>
            <w:tcW w:type="dxa" w:w="2541"/>
            <w:shd w:fill="EAF2F8"/>
            <w:vAlign w:val="center"/>
          </w:tcPr>
          <w:p>
            <w:pPr>
              <w:spacing w:after="0"/>
            </w:pPr>
            <w:r/>
            <w:r>
              <w:rPr>
                <w:sz w:val="16"/>
              </w:rPr>
              <w:t>Multi-department teams</w:t>
            </w:r>
          </w:p>
        </w:tc>
        <w:tc>
          <w:tcPr>
            <w:tcW w:type="dxa" w:w="2541"/>
            <w:shd w:fill="EAF2F8"/>
            <w:vAlign w:val="center"/>
          </w:tcPr>
          <w:p>
            <w:pPr>
              <w:spacing w:after="0"/>
            </w:pPr>
            <w:r/>
            <w:r>
              <w:rPr>
                <w:sz w:val="16"/>
              </w:rPr>
              <w:t>SSO, retention controls, priority support, implementation credits</w:t>
            </w:r>
          </w:p>
        </w:tc>
      </w:tr>
      <w:tr>
        <w:tc>
          <w:tcPr>
            <w:tcW w:type="dxa" w:w="2541"/>
            <w:vAlign w:val="center"/>
          </w:tcPr>
          <w:p>
            <w:pPr>
              <w:spacing w:after="0"/>
            </w:pPr>
            <w:r/>
            <w:r>
              <w:rPr>
                <w:sz w:val="16"/>
              </w:rPr>
              <w:t>Deployment services</w:t>
            </w:r>
          </w:p>
        </w:tc>
        <w:tc>
          <w:tcPr>
            <w:tcW w:type="dxa" w:w="2541"/>
            <w:vAlign w:val="center"/>
          </w:tcPr>
          <w:p>
            <w:pPr>
              <w:spacing w:after="0"/>
            </w:pPr>
            <w:r/>
            <w:r>
              <w:rPr>
                <w:sz w:val="16"/>
              </w:rPr>
              <w:t>₹15,000–₹1,00,000 one time</w:t>
            </w:r>
          </w:p>
        </w:tc>
        <w:tc>
          <w:tcPr>
            <w:tcW w:type="dxa" w:w="2541"/>
            <w:vAlign w:val="center"/>
          </w:tcPr>
          <w:p>
            <w:pPr>
              <w:spacing w:after="0"/>
            </w:pPr>
            <w:r/>
            <w:r>
              <w:rPr>
                <w:sz w:val="16"/>
              </w:rPr>
              <w:t>Serious customers</w:t>
            </w:r>
          </w:p>
        </w:tc>
        <w:tc>
          <w:tcPr>
            <w:tcW w:type="dxa" w:w="2541"/>
            <w:vAlign w:val="center"/>
          </w:tcPr>
          <w:p>
            <w:pPr>
              <w:spacing w:after="0"/>
            </w:pPr>
            <w:r/>
            <w:r>
              <w:rPr>
                <w:sz w:val="16"/>
              </w:rPr>
              <w:t>Process mapping, configuration, migration, training, KPI baseline</w:t>
            </w:r>
          </w:p>
        </w:tc>
      </w:tr>
      <w:tr>
        <w:tc>
          <w:tcPr>
            <w:tcW w:type="dxa" w:w="2541"/>
            <w:shd w:fill="EAF2F8"/>
            <w:vAlign w:val="center"/>
          </w:tcPr>
          <w:p>
            <w:pPr>
              <w:spacing w:after="0"/>
            </w:pPr>
            <w:r/>
            <w:r>
              <w:rPr>
                <w:sz w:val="16"/>
              </w:rPr>
              <w:t>WhatsApp single-store experiment</w:t>
            </w:r>
          </w:p>
        </w:tc>
        <w:tc>
          <w:tcPr>
            <w:tcW w:type="dxa" w:w="2541"/>
            <w:shd w:fill="EAF2F8"/>
            <w:vAlign w:val="center"/>
          </w:tcPr>
          <w:p>
            <w:pPr>
              <w:spacing w:after="0"/>
            </w:pPr>
            <w:r/>
            <w:r>
              <w:rPr>
                <w:sz w:val="16"/>
              </w:rPr>
              <w:t>₹1,499/month plus disclosed message costs</w:t>
            </w:r>
          </w:p>
        </w:tc>
        <w:tc>
          <w:tcPr>
            <w:tcW w:type="dxa" w:w="2541"/>
            <w:shd w:fill="EAF2F8"/>
            <w:vAlign w:val="center"/>
          </w:tcPr>
          <w:p>
            <w:pPr>
              <w:spacing w:after="0"/>
            </w:pPr>
            <w:r/>
            <w:r>
              <w:rPr>
                <w:sz w:val="16"/>
              </w:rPr>
              <w:t>One qualified store</w:t>
            </w:r>
          </w:p>
        </w:tc>
        <w:tc>
          <w:tcPr>
            <w:tcW w:type="dxa" w:w="2541"/>
            <w:shd w:fill="EAF2F8"/>
            <w:vAlign w:val="center"/>
          </w:tcPr>
          <w:p>
            <w:pPr>
              <w:spacing w:after="0"/>
            </w:pPr>
            <w:r/>
            <w:r>
              <w:rPr>
                <w:sz w:val="16"/>
              </w:rPr>
              <w:t>Catalog/cart/order routing only after separate gate</w:t>
            </w:r>
          </w:p>
        </w:tc>
      </w:tr>
      <w:tr>
        <w:tc>
          <w:tcPr>
            <w:tcW w:type="dxa" w:w="2541"/>
            <w:vAlign w:val="center"/>
          </w:tcPr>
          <w:p>
            <w:pPr>
              <w:spacing w:after="0"/>
            </w:pPr>
            <w:r/>
            <w:r>
              <w:rPr>
                <w:sz w:val="16"/>
              </w:rPr>
              <w:t>WhatsApp chain experiment</w:t>
            </w:r>
          </w:p>
        </w:tc>
        <w:tc>
          <w:tcPr>
            <w:tcW w:type="dxa" w:w="2541"/>
            <w:vAlign w:val="center"/>
          </w:tcPr>
          <w:p>
            <w:pPr>
              <w:spacing w:after="0"/>
            </w:pPr>
            <w:r/>
            <w:r>
              <w:rPr>
                <w:sz w:val="16"/>
              </w:rPr>
              <w:t>₹3,999/month plus disclosed message costs</w:t>
            </w:r>
          </w:p>
        </w:tc>
        <w:tc>
          <w:tcPr>
            <w:tcW w:type="dxa" w:w="2541"/>
            <w:vAlign w:val="center"/>
          </w:tcPr>
          <w:p>
            <w:pPr>
              <w:spacing w:after="0"/>
            </w:pPr>
            <w:r/>
            <w:r>
              <w:rPr>
                <w:sz w:val="16"/>
              </w:rPr>
              <w:t>Qualified small chain</w:t>
            </w:r>
          </w:p>
        </w:tc>
        <w:tc>
          <w:tcPr>
            <w:tcW w:type="dxa" w:w="2541"/>
            <w:vAlign w:val="center"/>
          </w:tcPr>
          <w:p>
            <w:pPr>
              <w:spacing w:after="0"/>
            </w:pPr>
            <w:r/>
            <w:r>
              <w:rPr>
                <w:sz w:val="16"/>
              </w:rPr>
              <w:t>Multi-store routing only after separate gate</w:t>
            </w:r>
          </w:p>
        </w:tc>
      </w:tr>
    </w:tbl>
    <w:p>
      <w:pPr>
        <w:spacing w:after="0"/>
      </w:pPr>
    </w:p>
    <w:p>
      <w:pPr>
        <w:spacing w:after="100" w:line="259" w:lineRule="auto"/>
      </w:pPr>
      <w:r>
        <w:rPr>
          <w:sz w:val="19"/>
        </w:rPr>
        <w:t>A hybrid model may meter cases, document-AI events, storage, seats, premium connectors, audit retention, and messages while showing usage alerts at 70%, 90%, and 100%. Any overage or pause policy must be explicit. No gross-margin percentage is promised until measured.</w:t>
      </w:r>
    </w:p>
    <w:p>
      <w:pPr>
        <w:pStyle w:val="Heading1"/>
      </w:pPr>
      <w:r>
        <w:t>9. Operating model</w:t>
      </w:r>
    </w:p>
    <w:p>
      <w:pPr>
        <w:spacing w:after="100" w:line="259" w:lineRule="auto"/>
      </w:pPr>
      <w:r>
        <w:rPr>
          <w:sz w:val="19"/>
        </w:rPr>
        <w:t>Formiva starts as a founder-led product and implementation operation. Product decisions remain narrow and evidence-based. Engineering owns the modular monorepo, migrations, authorization, workers, AI contract, integration adapters, tests, and release controls. The founder owns discovery, pilot design, customer support, and go/no-go decisions. Specialist legal, security, and privacy work is engaged before sensitive production use.</w:t>
      </w:r>
    </w:p>
    <w:p>
      <w:pPr>
        <w:spacing w:after="100" w:line="259" w:lineRule="auto"/>
      </w:pPr>
      <w:r>
        <w:rPr>
          <w:sz w:val="19"/>
        </w:rPr>
        <w:t>The approved baseline is a Vercel-hosted Next.js/React frontend; Node.js and TypeScript API, workflow worker, scheduler, and integration worker, PostgreSQL, and backups on OCI VM1; a Python FastAPI self-hosted AI Engine alone on OCI VM2; Cloudflare R2 for file objects; Clerk for identity; Cloudflare Tunnel/Access for private access; Resend for email; Google Workspace/Sheets and signed webhooks for initial integrations; and Razorpay for India billing.</w:t>
      </w:r>
      <w:r>
        <w:rPr>
          <w:color w:val="1F4E79"/>
          <w:sz w:val="19"/>
        </w:rPr>
        <w:t>[14]</w:t>
      </w:r>
      <w:r>
        <w:rPr>
          <w:sz w:val="19"/>
        </w:rPr>
        <w:t xml:space="preserve"> </w:t>
      </w:r>
      <w:r>
        <w:rPr>
          <w:color w:val="1F4E79"/>
          <w:sz w:val="19"/>
        </w:rPr>
        <w:t>[15]</w:t>
      </w:r>
    </w:p>
    <w:p>
      <w:pPr>
        <w:spacing w:after="100" w:line="259" w:lineRule="auto"/>
      </w:pPr>
      <w:r>
        <w:rPr>
          <w:sz w:val="19"/>
        </w:rPr>
        <w:t>PostgreSQL is the durable source of truth and dispatches jobs with leases. Valkey is optional and limited to cache, rate-limit storage, and short-lived locking. The product must use workspace-derived authorization, immutable published workflow versions, append-only audit events, idempotency keys, safe replay, dead-letter handling, encrypted backups, and isolated restore tests.</w:t>
      </w:r>
    </w:p>
    <w:p>
      <w:pPr>
        <w:pStyle w:val="Heading1"/>
      </w:pPr>
      <w:r>
        <w:t>10. Infrastructure economics</w:t>
      </w:r>
    </w:p>
    <w:p>
      <w:pPr>
        <w:pStyle w:val="Heading2"/>
      </w:pPr>
      <w:r>
        <w:t>10.1 Cost categories</w:t>
      </w:r>
    </w:p>
    <w:p>
      <w:pPr>
        <w:spacing w:after="100" w:line="259" w:lineRule="auto"/>
      </w:pPr>
      <w:r>
        <w:rPr>
          <w:sz w:val="19"/>
        </w:rPr>
        <w:t>The economics model must include the actual approved stack rather than treating hosting as free. The required categories are: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Category</w:t>
            </w:r>
          </w:p>
        </w:tc>
        <w:tc>
          <w:tcPr>
            <w:tcW w:type="dxa" w:w="3389"/>
            <w:shd w:fill="1F4E79"/>
            <w:vAlign w:val="center"/>
          </w:tcPr>
          <w:p>
            <w:pPr>
              <w:spacing w:after="0"/>
            </w:pPr>
            <w:r>
              <w:rPr>
                <w:b/>
                <w:color w:val="FFFFFF"/>
              </w:rPr>
            </w:r>
            <w:r>
              <w:rPr>
                <w:b/>
                <w:color w:val="FFFFFF"/>
                <w:sz w:val="16"/>
              </w:rPr>
              <w:t>Baseline component</w:t>
            </w:r>
          </w:p>
        </w:tc>
        <w:tc>
          <w:tcPr>
            <w:tcW w:type="dxa" w:w="3389"/>
            <w:shd w:fill="1F4E79"/>
            <w:vAlign w:val="center"/>
          </w:tcPr>
          <w:p>
            <w:pPr>
              <w:spacing w:after="0"/>
            </w:pPr>
            <w:r>
              <w:rPr>
                <w:b/>
                <w:color w:val="FFFFFF"/>
              </w:rPr>
            </w:r>
            <w:r>
              <w:rPr>
                <w:b/>
                <w:color w:val="FFFFFF"/>
                <w:sz w:val="16"/>
              </w:rPr>
              <w:t>Cost or limit variable to measure</w:t>
            </w:r>
          </w:p>
        </w:tc>
      </w:tr>
      <w:tr>
        <w:tc>
          <w:tcPr>
            <w:tcW w:type="dxa" w:w="3389"/>
            <w:vAlign w:val="center"/>
          </w:tcPr>
          <w:p>
            <w:pPr>
              <w:spacing w:after="0"/>
            </w:pPr>
            <w:r/>
            <w:r>
              <w:rPr>
                <w:sz w:val="16"/>
              </w:rPr>
              <w:t>Frontend delivery</w:t>
            </w:r>
          </w:p>
        </w:tc>
        <w:tc>
          <w:tcPr>
            <w:tcW w:type="dxa" w:w="3389"/>
            <w:vAlign w:val="center"/>
          </w:tcPr>
          <w:p>
            <w:pPr>
              <w:spacing w:after="0"/>
            </w:pPr>
            <w:r/>
            <w:r>
              <w:rPr>
                <w:sz w:val="16"/>
              </w:rPr>
              <w:t>Vercel</w:t>
            </w:r>
          </w:p>
        </w:tc>
        <w:tc>
          <w:tcPr>
            <w:tcW w:type="dxa" w:w="3389"/>
            <w:vAlign w:val="center"/>
          </w:tcPr>
          <w:p>
            <w:pPr>
              <w:spacing w:after="0"/>
            </w:pPr>
            <w:r/>
            <w:r>
              <w:rPr>
                <w:sz w:val="16"/>
              </w:rPr>
              <w:t>Plan, bandwidth, build/deployment usage, function or edge usage, commercial limits</w:t>
            </w:r>
          </w:p>
        </w:tc>
      </w:tr>
      <w:tr>
        <w:tc>
          <w:tcPr>
            <w:tcW w:type="dxa" w:w="3389"/>
            <w:shd w:fill="EAF2F8"/>
            <w:vAlign w:val="center"/>
          </w:tcPr>
          <w:p>
            <w:pPr>
              <w:spacing w:after="0"/>
            </w:pPr>
            <w:r/>
            <w:r>
              <w:rPr>
                <w:sz w:val="16"/>
              </w:rPr>
              <w:t>Application compute</w:t>
            </w:r>
          </w:p>
        </w:tc>
        <w:tc>
          <w:tcPr>
            <w:tcW w:type="dxa" w:w="3389"/>
            <w:shd w:fill="EAF2F8"/>
            <w:vAlign w:val="center"/>
          </w:tcPr>
          <w:p>
            <w:pPr>
              <w:spacing w:after="0"/>
            </w:pPr>
            <w:r/>
            <w:r>
              <w:rPr>
                <w:sz w:val="16"/>
              </w:rPr>
              <w:t>OCI VM1 (API, workers, PostgreSQL), or Render if selected</w:t>
            </w:r>
          </w:p>
        </w:tc>
        <w:tc>
          <w:tcPr>
            <w:tcW w:type="dxa" w:w="3389"/>
            <w:shd w:fill="EAF2F8"/>
            <w:vAlign w:val="center"/>
          </w:tcPr>
          <w:p>
            <w:pPr>
              <w:spacing w:after="0"/>
            </w:pPr>
            <w:r/>
            <w:r>
              <w:rPr>
                <w:sz w:val="16"/>
              </w:rPr>
              <w:t>VM shape, CPU/RAM, storage, network, backups, managed-worker fees</w:t>
            </w:r>
          </w:p>
        </w:tc>
      </w:tr>
      <w:tr>
        <w:tc>
          <w:tcPr>
            <w:tcW w:type="dxa" w:w="3389"/>
            <w:vAlign w:val="center"/>
          </w:tcPr>
          <w:p>
            <w:pPr>
              <w:spacing w:after="0"/>
            </w:pPr>
            <w:r/>
            <w:r>
              <w:rPr>
                <w:sz w:val="16"/>
              </w:rPr>
              <w:t>AI and data compute</w:t>
            </w:r>
          </w:p>
        </w:tc>
        <w:tc>
          <w:tcPr>
            <w:tcW w:type="dxa" w:w="3389"/>
            <w:vAlign w:val="center"/>
          </w:tcPr>
          <w:p>
            <w:pPr>
              <w:spacing w:after="0"/>
            </w:pPr>
            <w:r/>
            <w:r>
              <w:rPr>
                <w:sz w:val="16"/>
              </w:rPr>
              <w:t>OCI VM2 (AI Engine only)</w:t>
            </w:r>
          </w:p>
        </w:tc>
        <w:tc>
          <w:tcPr>
            <w:tcW w:type="dxa" w:w="3389"/>
            <w:vAlign w:val="center"/>
          </w:tcPr>
          <w:p>
            <w:pPr>
              <w:spacing w:after="0"/>
            </w:pPr>
            <w:r/>
            <w:r>
              <w:rPr>
                <w:sz w:val="16"/>
              </w:rPr>
              <w:t>VM shape, CPU/RAM contention, block volume, model storage, inference time, OCR workload</w:t>
            </w:r>
          </w:p>
        </w:tc>
      </w:tr>
      <w:tr>
        <w:tc>
          <w:tcPr>
            <w:tcW w:type="dxa" w:w="3389"/>
            <w:shd w:fill="EAF2F8"/>
            <w:vAlign w:val="center"/>
          </w:tcPr>
          <w:p>
            <w:pPr>
              <w:spacing w:after="0"/>
            </w:pPr>
            <w:r/>
            <w:r>
              <w:rPr>
                <w:sz w:val="16"/>
              </w:rPr>
              <w:t>Database and queue</w:t>
            </w:r>
          </w:p>
        </w:tc>
        <w:tc>
          <w:tcPr>
            <w:tcW w:type="dxa" w:w="3389"/>
            <w:shd w:fill="EAF2F8"/>
            <w:vAlign w:val="center"/>
          </w:tcPr>
          <w:p>
            <w:pPr>
              <w:spacing w:after="0"/>
            </w:pPr>
            <w:r/>
            <w:r>
              <w:rPr>
                <w:sz w:val="16"/>
              </w:rPr>
              <w:t>PostgreSQL on VM1 (job dispatch); Valkey optional</w:t>
            </w:r>
          </w:p>
        </w:tc>
        <w:tc>
          <w:tcPr>
            <w:tcW w:type="dxa" w:w="3389"/>
            <w:shd w:fill="EAF2F8"/>
            <w:vAlign w:val="center"/>
          </w:tcPr>
          <w:p>
            <w:pPr>
              <w:spacing w:after="0"/>
            </w:pPr>
            <w:r/>
            <w:r>
              <w:rPr>
                <w:sz w:val="16"/>
              </w:rPr>
              <w:t>Disk, memory, I/O, backup, queue retention, contention, operational labor</w:t>
            </w:r>
          </w:p>
        </w:tc>
      </w:tr>
      <w:tr>
        <w:tc>
          <w:tcPr>
            <w:tcW w:type="dxa" w:w="3389"/>
            <w:vAlign w:val="center"/>
          </w:tcPr>
          <w:p>
            <w:pPr>
              <w:spacing w:after="0"/>
            </w:pPr>
            <w:r/>
            <w:r>
              <w:rPr>
                <w:sz w:val="16"/>
              </w:rPr>
              <w:t>File storage</w:t>
            </w:r>
          </w:p>
        </w:tc>
        <w:tc>
          <w:tcPr>
            <w:tcW w:type="dxa" w:w="3389"/>
            <w:vAlign w:val="center"/>
          </w:tcPr>
          <w:p>
            <w:pPr>
              <w:spacing w:after="0"/>
            </w:pPr>
            <w:r/>
            <w:r>
              <w:rPr>
                <w:sz w:val="16"/>
              </w:rPr>
              <w:t>Cloudflare R2</w:t>
            </w:r>
          </w:p>
        </w:tc>
        <w:tc>
          <w:tcPr>
            <w:tcW w:type="dxa" w:w="3389"/>
            <w:vAlign w:val="center"/>
          </w:tcPr>
          <w:p>
            <w:pPr>
              <w:spacing w:after="0"/>
            </w:pPr>
            <w:r/>
            <w:r>
              <w:rPr>
                <w:sz w:val="16"/>
              </w:rPr>
              <w:t>Stored GB, request operations, lifecycle, egress, object retention, backup copies</w:t>
            </w:r>
          </w:p>
        </w:tc>
      </w:tr>
      <w:tr>
        <w:tc>
          <w:tcPr>
            <w:tcW w:type="dxa" w:w="3389"/>
            <w:shd w:fill="EAF2F8"/>
            <w:vAlign w:val="center"/>
          </w:tcPr>
          <w:p>
            <w:pPr>
              <w:spacing w:after="0"/>
            </w:pPr>
            <w:r/>
            <w:r>
              <w:rPr>
                <w:sz w:val="16"/>
              </w:rPr>
              <w:t>Network/private access</w:t>
            </w:r>
          </w:p>
        </w:tc>
        <w:tc>
          <w:tcPr>
            <w:tcW w:type="dxa" w:w="3389"/>
            <w:shd w:fill="EAF2F8"/>
            <w:vAlign w:val="center"/>
          </w:tcPr>
          <w:p>
            <w:pPr>
              <w:spacing w:after="0"/>
            </w:pPr>
            <w:r/>
            <w:r>
              <w:rPr>
                <w:sz w:val="16"/>
              </w:rPr>
              <w:t>Cloudflare Tunnel/Access</w:t>
            </w:r>
          </w:p>
        </w:tc>
        <w:tc>
          <w:tcPr>
            <w:tcW w:type="dxa" w:w="3389"/>
            <w:shd w:fill="EAF2F8"/>
            <w:vAlign w:val="center"/>
          </w:tcPr>
          <w:p>
            <w:pPr>
              <w:spacing w:after="0"/>
            </w:pPr>
            <w:r/>
            <w:r>
              <w:rPr>
                <w:sz w:val="16"/>
              </w:rPr>
              <w:t>Plan, request or policy limits, bandwidth, tunnel operations</w:t>
            </w:r>
          </w:p>
        </w:tc>
      </w:tr>
      <w:tr>
        <w:tc>
          <w:tcPr>
            <w:tcW w:type="dxa" w:w="3389"/>
            <w:vAlign w:val="center"/>
          </w:tcPr>
          <w:p>
            <w:pPr>
              <w:spacing w:after="0"/>
            </w:pPr>
            <w:r/>
            <w:r>
              <w:rPr>
                <w:sz w:val="16"/>
              </w:rPr>
              <w:t>Identity</w:t>
            </w:r>
          </w:p>
        </w:tc>
        <w:tc>
          <w:tcPr>
            <w:tcW w:type="dxa" w:w="3389"/>
            <w:vAlign w:val="center"/>
          </w:tcPr>
          <w:p>
            <w:pPr>
              <w:spacing w:after="0"/>
            </w:pPr>
            <w:r/>
            <w:r>
              <w:rPr>
                <w:sz w:val="16"/>
              </w:rPr>
              <w:t>Clerk</w:t>
            </w:r>
          </w:p>
        </w:tc>
        <w:tc>
          <w:tcPr>
            <w:tcW w:type="dxa" w:w="3389"/>
            <w:vAlign w:val="center"/>
          </w:tcPr>
          <w:p>
            <w:pPr>
              <w:spacing w:after="0"/>
            </w:pPr>
            <w:r/>
            <w:r>
              <w:rPr>
                <w:sz w:val="16"/>
              </w:rPr>
              <w:t>Active users, organizations/workspaces, authentication features, limits, support tier</w:t>
            </w:r>
          </w:p>
        </w:tc>
      </w:tr>
      <w:tr>
        <w:tc>
          <w:tcPr>
            <w:tcW w:type="dxa" w:w="3389"/>
            <w:shd w:fill="EAF2F8"/>
            <w:vAlign w:val="center"/>
          </w:tcPr>
          <w:p>
            <w:pPr>
              <w:spacing w:after="0"/>
            </w:pPr>
            <w:r/>
            <w:r>
              <w:rPr>
                <w:sz w:val="16"/>
              </w:rPr>
              <w:t>Email</w:t>
            </w:r>
          </w:p>
        </w:tc>
        <w:tc>
          <w:tcPr>
            <w:tcW w:type="dxa" w:w="3389"/>
            <w:shd w:fill="EAF2F8"/>
            <w:vAlign w:val="center"/>
          </w:tcPr>
          <w:p>
            <w:pPr>
              <w:spacing w:after="0"/>
            </w:pPr>
            <w:r/>
            <w:r>
              <w:rPr>
                <w:sz w:val="16"/>
              </w:rPr>
              <w:t>Resend</w:t>
            </w:r>
          </w:p>
        </w:tc>
        <w:tc>
          <w:tcPr>
            <w:tcW w:type="dxa" w:w="3389"/>
            <w:shd w:fill="EAF2F8"/>
            <w:vAlign w:val="center"/>
          </w:tcPr>
          <w:p>
            <w:pPr>
              <w:spacing w:after="0"/>
            </w:pPr>
            <w:r/>
            <w:r>
              <w:rPr>
                <w:sz w:val="16"/>
              </w:rPr>
              <w:t>Messages, delivery volume, domains, rate limits, provider fees</w:t>
            </w:r>
          </w:p>
        </w:tc>
      </w:tr>
      <w:tr>
        <w:tc>
          <w:tcPr>
            <w:tcW w:type="dxa" w:w="3389"/>
            <w:vAlign w:val="center"/>
          </w:tcPr>
          <w:p>
            <w:pPr>
              <w:spacing w:after="0"/>
            </w:pPr>
            <w:r/>
            <w:r>
              <w:rPr>
                <w:sz w:val="16"/>
              </w:rPr>
              <w:t>Billing</w:t>
            </w:r>
          </w:p>
        </w:tc>
        <w:tc>
          <w:tcPr>
            <w:tcW w:type="dxa" w:w="3389"/>
            <w:vAlign w:val="center"/>
          </w:tcPr>
          <w:p>
            <w:pPr>
              <w:spacing w:after="0"/>
            </w:pPr>
            <w:r/>
            <w:r>
              <w:rPr>
                <w:sz w:val="16"/>
              </w:rPr>
              <w:t>Razorpay</w:t>
            </w:r>
          </w:p>
        </w:tc>
        <w:tc>
          <w:tcPr>
            <w:tcW w:type="dxa" w:w="3389"/>
            <w:vAlign w:val="center"/>
          </w:tcPr>
          <w:p>
            <w:pPr>
              <w:spacing w:after="0"/>
            </w:pPr>
            <w:r/>
            <w:r>
              <w:rPr>
                <w:sz w:val="16"/>
              </w:rPr>
              <w:t>Transaction and payout fees, webhook volume, refunds, reconciliation labor</w:t>
            </w:r>
          </w:p>
        </w:tc>
      </w:tr>
      <w:tr>
        <w:tc>
          <w:tcPr>
            <w:tcW w:type="dxa" w:w="3389"/>
            <w:shd w:fill="EAF2F8"/>
            <w:vAlign w:val="center"/>
          </w:tcPr>
          <w:p>
            <w:pPr>
              <w:spacing w:after="0"/>
            </w:pPr>
            <w:r/>
            <w:r>
              <w:rPr>
                <w:sz w:val="16"/>
              </w:rPr>
              <w:t>Reliability and governance</w:t>
            </w:r>
          </w:p>
        </w:tc>
        <w:tc>
          <w:tcPr>
            <w:tcW w:type="dxa" w:w="3389"/>
            <w:shd w:fill="EAF2F8"/>
            <w:vAlign w:val="center"/>
          </w:tcPr>
          <w:p>
            <w:pPr>
              <w:spacing w:after="0"/>
            </w:pPr>
            <w:r/>
            <w:r>
              <w:rPr>
                <w:sz w:val="16"/>
              </w:rPr>
              <w:t>Monitoring, backup, restore, security review, incident response</w:t>
            </w:r>
          </w:p>
        </w:tc>
        <w:tc>
          <w:tcPr>
            <w:tcW w:type="dxa" w:w="3389"/>
            <w:shd w:fill="EAF2F8"/>
            <w:vAlign w:val="center"/>
          </w:tcPr>
          <w:p>
            <w:pPr>
              <w:spacing w:after="0"/>
            </w:pPr>
            <w:r/>
            <w:r>
              <w:rPr>
                <w:sz w:val="16"/>
              </w:rPr>
              <w:t>Tooling, test frequency, contractor or founder time, recovery cost</w:t>
            </w:r>
          </w:p>
        </w:tc>
      </w:tr>
      <w:tr>
        <w:tc>
          <w:tcPr>
            <w:tcW w:type="dxa" w:w="3389"/>
            <w:vAlign w:val="center"/>
          </w:tcPr>
          <w:p>
            <w:pPr>
              <w:spacing w:after="0"/>
            </w:pPr>
            <w:r/>
            <w:r>
              <w:rPr>
                <w:sz w:val="16"/>
              </w:rPr>
              <w:t>Human operations</w:t>
            </w:r>
          </w:p>
        </w:tc>
        <w:tc>
          <w:tcPr>
            <w:tcW w:type="dxa" w:w="3389"/>
            <w:vAlign w:val="center"/>
          </w:tcPr>
          <w:p>
            <w:pPr>
              <w:spacing w:after="0"/>
            </w:pPr>
            <w:r/>
            <w:r>
              <w:rPr>
                <w:sz w:val="16"/>
              </w:rPr>
              <w:t>Review, onboarding, support, exception handling</w:t>
            </w:r>
          </w:p>
        </w:tc>
        <w:tc>
          <w:tcPr>
            <w:tcW w:type="dxa" w:w="3389"/>
            <w:vAlign w:val="center"/>
          </w:tcPr>
          <w:p>
            <w:pPr>
              <w:spacing w:after="0"/>
            </w:pPr>
            <w:r/>
            <w:r>
              <w:rPr>
                <w:sz w:val="16"/>
              </w:rPr>
              <w:t>Minutes per case, case complexity, escalation rate, implementation hours</w:t>
            </w:r>
          </w:p>
        </w:tc>
      </w:tr>
    </w:tbl>
    <w:p>
      <w:pPr>
        <w:spacing w:after="0"/>
      </w:pPr>
    </w:p>
    <w:p>
      <w:pPr>
        <w:pStyle w:val="Heading2"/>
      </w:pPr>
      <w:r>
        <w:t>10.2 Economics policy</w:t>
      </w:r>
    </w:p>
    <w:p>
      <w:pPr>
        <w:spacing w:after="100" w:line="259" w:lineRule="auto"/>
      </w:pPr>
      <w:r>
        <w:rPr>
          <w:sz w:val="19"/>
        </w:rPr>
        <w:t>Current provider prices, quotas, regions, data-use terms, free-tier conditions, and commercial limits require verification at deployment and before any customer promise. This applies to Vercel, Clerk, OCI VM1/VM2, Cloudflare R2 and Tunnel/Access, Resend, Razorpay, and optional Render, Upstash, managed AI, Supabase, Neon, and Stripe alternatives.</w:t>
      </w:r>
      <w:r>
        <w:rPr>
          <w:color w:val="1F4E79"/>
          <w:sz w:val="19"/>
        </w:rPr>
        <w:t>[14]</w:t>
      </w:r>
      <w:r>
        <w:rPr>
          <w:sz w:val="19"/>
        </w:rPr>
        <w:t xml:space="preserve"> </w:t>
      </w:r>
      <w:r>
        <w:rPr>
          <w:color w:val="1F4E79"/>
          <w:sz w:val="19"/>
        </w:rPr>
        <w:t>[16]</w:t>
      </w:r>
      <w:r>
        <w:rPr>
          <w:sz w:val="19"/>
        </w:rPr>
        <w:t xml:space="preserve"> </w:t>
      </w:r>
      <w:r>
        <w:rPr>
          <w:color w:val="1F4E79"/>
          <w:sz w:val="19"/>
        </w:rPr>
        <w:t>[17]</w:t>
      </w:r>
      <w:r>
        <w:rPr>
          <w:sz w:val="19"/>
        </w:rPr>
        <w:t xml:space="preserve"> </w:t>
      </w:r>
      <w:r>
        <w:rPr>
          <w:color w:val="1F4E79"/>
          <w:sz w:val="19"/>
        </w:rPr>
        <w:t>[18]</w:t>
      </w:r>
      <w:r>
        <w:rPr>
          <w:sz w:val="19"/>
        </w:rPr>
        <w:t xml:space="preserve"> </w:t>
      </w:r>
      <w:r>
        <w:rPr>
          <w:color w:val="1F4E79"/>
          <w:sz w:val="19"/>
        </w:rPr>
        <w:t>[19]</w:t>
      </w:r>
      <w:r>
        <w:rPr>
          <w:sz w:val="19"/>
        </w:rPr>
        <w:t xml:space="preserve"> </w:t>
      </w:r>
      <w:r>
        <w:rPr>
          <w:color w:val="1F4E79"/>
          <w:sz w:val="19"/>
        </w:rPr>
        <w:t>[20]</w:t>
      </w:r>
      <w:r>
        <w:rPr>
          <w:sz w:val="19"/>
        </w:rPr>
        <w:t xml:space="preserve"> </w:t>
      </w:r>
      <w:r>
        <w:rPr>
          <w:color w:val="1F4E79"/>
          <w:sz w:val="19"/>
        </w:rPr>
        <w:t>[21]</w:t>
      </w:r>
    </w:p>
    <w:p>
      <w:pPr>
        <w:spacing w:after="100" w:line="259" w:lineRule="auto"/>
      </w:pPr>
      <w:r>
        <w:rPr>
          <w:sz w:val="19"/>
        </w:rPr>
        <w:t>Cost per case is defined as attributable infrastructure, AI/OCR, storage and network allocation, provider transaction or message fees, retry cost, and human review/support time for a completed case. It must be measured by workflow and customer cohort. Self-hosted inference does not mean zero economic cost: CPU time, memory, model storage, retries, backups, support, migration risk, and opportunity cost remain real costs.</w:t>
      </w:r>
    </w:p>
    <w:p>
      <w:pPr>
        <w:spacing w:after="100" w:line="259" w:lineRule="auto"/>
      </w:pPr>
      <w:r>
        <w:rPr>
          <w:sz w:val="19"/>
        </w:rPr>
        <w:t>The contribution-margin calculation is:</w:t>
      </w:r>
    </w:p>
    <w:p>
      <w:pPr>
        <w:ind w:left="360"/>
      </w:pPr>
      <w:r>
        <w:rPr>
          <w:i/>
          <w:color w:val="1F4E79"/>
          <w:sz w:val="19"/>
        </w:rPr>
        <w:t>**Contribution margin per account = subscription revenue + implementation revenue allocated to the period − attributable provider costs − AI/OCR/storage/network costs − payment fees − support and review labor.**</w:t>
      </w:r>
    </w:p>
    <w:p>
      <w:pPr>
        <w:spacing w:after="100" w:line="259" w:lineRule="auto"/>
      </w:pPr>
      <w:r>
        <w:rPr>
          <w:sz w:val="19"/>
        </w:rPr>
        <w:t>The business must not advertise fixed gross-margin percentages, zero-cost operation, unlimited usage, or free-tier capacity until representative loads and provider terms are verified. Oracle reduced the Always Free Ampere A1 allowance to 2 OCPU / 12 GB in total in June 2026 and Vercel Hobby is restricted to non-commercial use, so the baseline assumes a Pay-As-You-Go OCI account and a Vercel Pro seat (about US$70-80 per month fixed, to be verified).</w:t>
      </w:r>
    </w:p>
    <w:p>
      <w:pPr>
        <w:pStyle w:val="Heading1"/>
      </w:pPr>
      <w:r>
        <w:t>11. Twelve-month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Period</w:t>
            </w:r>
          </w:p>
        </w:tc>
        <w:tc>
          <w:tcPr>
            <w:tcW w:type="dxa" w:w="3389"/>
            <w:shd w:fill="1F4E79"/>
            <w:vAlign w:val="center"/>
          </w:tcPr>
          <w:p>
            <w:pPr>
              <w:spacing w:after="0"/>
            </w:pPr>
            <w:r>
              <w:rPr>
                <w:b/>
                <w:color w:val="FFFFFF"/>
              </w:rPr>
            </w:r>
            <w:r>
              <w:rPr>
                <w:b/>
                <w:color w:val="FFFFFF"/>
                <w:sz w:val="16"/>
              </w:rPr>
              <w:t>Primary work</w:t>
            </w:r>
          </w:p>
        </w:tc>
        <w:tc>
          <w:tcPr>
            <w:tcW w:type="dxa" w:w="3389"/>
            <w:shd w:fill="1F4E79"/>
            <w:vAlign w:val="center"/>
          </w:tcPr>
          <w:p>
            <w:pPr>
              <w:spacing w:after="0"/>
            </w:pPr>
            <w:r>
              <w:rPr>
                <w:b/>
                <w:color w:val="FFFFFF"/>
              </w:rPr>
            </w:r>
            <w:r>
              <w:rPr>
                <w:b/>
                <w:color w:val="FFFFFF"/>
                <w:sz w:val="16"/>
              </w:rPr>
              <w:t>Gate or evidence</w:t>
            </w:r>
          </w:p>
        </w:tc>
      </w:tr>
      <w:tr>
        <w:tc>
          <w:tcPr>
            <w:tcW w:type="dxa" w:w="3389"/>
            <w:vAlign w:val="center"/>
          </w:tcPr>
          <w:p>
            <w:pPr>
              <w:spacing w:after="0"/>
            </w:pPr>
            <w:r/>
            <w:r>
              <w:rPr>
                <w:sz w:val="16"/>
              </w:rPr>
              <w:t>Weeks 0–4</w:t>
            </w:r>
          </w:p>
        </w:tc>
        <w:tc>
          <w:tcPr>
            <w:tcW w:type="dxa" w:w="3389"/>
            <w:vAlign w:val="center"/>
          </w:tcPr>
          <w:p>
            <w:pPr>
              <w:spacing w:after="0"/>
            </w:pPr>
            <w:r/>
            <w:r>
              <w:rPr>
                <w:sz w:val="16"/>
              </w:rPr>
              <w:t>15–20 ICP interviews, five design partners, process maps, synthetic/redacted benchmark documents, trust and assumptions log</w:t>
            </w:r>
          </w:p>
        </w:tc>
        <w:tc>
          <w:tcPr>
            <w:tcW w:type="dxa" w:w="3389"/>
            <w:vAlign w:val="center"/>
          </w:tcPr>
          <w:p>
            <w:pPr>
              <w:spacing w:after="0"/>
            </w:pPr>
            <w:r/>
            <w:r>
              <w:rPr>
                <w:sz w:val="16"/>
              </w:rPr>
              <w:t>At least eight of 15 interviews identify the same rework problem and three firms commit to pilots</w:t>
            </w:r>
          </w:p>
        </w:tc>
      </w:tr>
      <w:tr>
        <w:tc>
          <w:tcPr>
            <w:tcW w:type="dxa" w:w="3389"/>
            <w:shd w:fill="EAF2F8"/>
            <w:vAlign w:val="center"/>
          </w:tcPr>
          <w:p>
            <w:pPr>
              <w:spacing w:after="0"/>
            </w:pPr>
            <w:r/>
            <w:r>
              <w:rPr>
                <w:sz w:val="16"/>
              </w:rPr>
              <w:t>Weeks 5–15 (v2.1 calendar)</w:t>
            </w:r>
          </w:p>
        </w:tc>
        <w:tc>
          <w:tcPr>
            <w:tcW w:type="dxa" w:w="3389"/>
            <w:shd w:fill="EAF2F8"/>
            <w:vAlign w:val="center"/>
          </w:tcPr>
          <w:p>
            <w:pPr>
              <w:spacing w:after="0"/>
            </w:pPr>
            <w:r/>
            <w:r>
              <w:rPr>
                <w:sz w:val="16"/>
              </w:rPr>
              <w:t>Narrow onboarding MVP: forms, files, validation, review queue, approvals, email/webhook, audit, dashboard</w:t>
            </w:r>
          </w:p>
        </w:tc>
        <w:tc>
          <w:tcPr>
            <w:tcW w:type="dxa" w:w="3389"/>
            <w:shd w:fill="EAF2F8"/>
            <w:vAlign w:val="center"/>
          </w:tcPr>
          <w:p>
            <w:pPr>
              <w:spacing w:after="0"/>
            </w:pPr>
            <w:r/>
            <w:r>
              <w:rPr>
                <w:sz w:val="16"/>
              </w:rPr>
              <w:t>Three to five pilots complete cases on synthetic or redacted data (real sensitive data only after the sensitive-pilot gate), first-pass completeness is at least 80% in the measured sample, and no critical data-loss defect exists</w:t>
            </w:r>
          </w:p>
        </w:tc>
      </w:tr>
      <w:tr>
        <w:tc>
          <w:tcPr>
            <w:tcW w:type="dxa" w:w="3389"/>
            <w:vAlign w:val="center"/>
          </w:tcPr>
          <w:p>
            <w:pPr>
              <w:spacing w:after="0"/>
            </w:pPr>
            <w:r/>
            <w:r>
              <w:rPr>
                <w:sz w:val="16"/>
              </w:rPr>
              <w:t>Months 4–6</w:t>
            </w:r>
          </w:p>
        </w:tc>
        <w:tc>
          <w:tcPr>
            <w:tcW w:type="dxa" w:w="3389"/>
            <w:vAlign w:val="center"/>
          </w:tcPr>
          <w:p>
            <w:pPr>
              <w:spacing w:after="0"/>
            </w:pPr>
            <w:r/>
            <w:r>
              <w:rPr>
                <w:sz w:val="16"/>
              </w:rPr>
              <w:t>Billing, roles, connector reliability, Google Workspace/Sheets, setup wizard, value report</w:t>
            </w:r>
          </w:p>
        </w:tc>
        <w:tc>
          <w:tcPr>
            <w:tcW w:type="dxa" w:w="3389"/>
            <w:vAlign w:val="center"/>
          </w:tcPr>
          <w:p>
            <w:pPr>
              <w:spacing w:after="0"/>
            </w:pPr>
            <w:r/>
            <w:r>
              <w:rPr>
                <w:sz w:val="16"/>
              </w:rPr>
              <w:t>Three paying logos, at least 60% activation, and contribution margin measured</w:t>
            </w:r>
          </w:p>
        </w:tc>
      </w:tr>
      <w:tr>
        <w:tc>
          <w:tcPr>
            <w:tcW w:type="dxa" w:w="3389"/>
            <w:shd w:fill="EAF2F8"/>
            <w:vAlign w:val="center"/>
          </w:tcPr>
          <w:p>
            <w:pPr>
              <w:spacing w:after="0"/>
            </w:pPr>
            <w:r/>
            <w:r>
              <w:rPr>
                <w:sz w:val="16"/>
              </w:rPr>
              <w:t>Months 7–9</w:t>
            </w:r>
          </w:p>
        </w:tc>
        <w:tc>
          <w:tcPr>
            <w:tcW w:type="dxa" w:w="3389"/>
            <w:shd w:fill="EAF2F8"/>
            <w:vAlign w:val="center"/>
          </w:tcPr>
          <w:p>
            <w:pPr>
              <w:spacing w:after="0"/>
            </w:pPr>
            <w:r/>
            <w:r>
              <w:rPr>
                <w:sz w:val="16"/>
              </w:rPr>
              <w:t>Customer-pulled leave/expense/IT templates; one school or MSP pilot if its gate passes</w:t>
            </w:r>
          </w:p>
        </w:tc>
        <w:tc>
          <w:tcPr>
            <w:tcW w:type="dxa" w:w="3389"/>
            <w:shd w:fill="EAF2F8"/>
            <w:vAlign w:val="center"/>
          </w:tcPr>
          <w:p>
            <w:pPr>
              <w:spacing w:after="0"/>
            </w:pPr>
            <w:r/>
            <w:r>
              <w:rPr>
                <w:sz w:val="16"/>
              </w:rPr>
              <w:t>At least 60% of customers activate a second workflow or one paid second-vertical pilot succeeds</w:t>
            </w:r>
          </w:p>
        </w:tc>
      </w:tr>
      <w:tr>
        <w:tc>
          <w:tcPr>
            <w:tcW w:type="dxa" w:w="3389"/>
            <w:vAlign w:val="center"/>
          </w:tcPr>
          <w:p>
            <w:pPr>
              <w:spacing w:after="0"/>
            </w:pPr>
            <w:r/>
            <w:r>
              <w:rPr>
                <w:sz w:val="16"/>
              </w:rPr>
              <w:t>Months 10–12</w:t>
            </w:r>
          </w:p>
        </w:tc>
        <w:tc>
          <w:tcPr>
            <w:tcW w:type="dxa" w:w="3389"/>
            <w:vAlign w:val="center"/>
          </w:tcPr>
          <w:p>
            <w:pPr>
              <w:spacing w:after="0"/>
            </w:pPr>
            <w:r/>
            <w:r>
              <w:rPr>
                <w:sz w:val="16"/>
              </w:rPr>
              <w:t>Reliability hardening, restore and disaster-recovery rehearsal, independent security assessment planning, partner certification decision</w:t>
            </w:r>
          </w:p>
        </w:tc>
        <w:tc>
          <w:tcPr>
            <w:tcW w:type="dxa" w:w="3389"/>
            <w:vAlign w:val="center"/>
          </w:tcPr>
          <w:p>
            <w:pPr>
              <w:spacing w:after="0"/>
            </w:pPr>
            <w:r/>
            <w:r>
              <w:rPr>
                <w:sz w:val="16"/>
              </w:rPr>
              <w:t>Decide whether to deepen B2B, fund a second vertical, or separately fund the WhatsApp experiment; do not merge the tracks</w:t>
            </w:r>
          </w:p>
        </w:tc>
      </w:tr>
    </w:tbl>
    <w:p>
      <w:pPr>
        <w:spacing w:after="0"/>
      </w:pPr>
    </w:p>
    <w:p>
      <w:pPr>
        <w:spacing w:after="100" w:line="259" w:lineRule="auto"/>
      </w:pPr>
      <w:r>
        <w:rPr>
          <w:sz w:val="19"/>
        </w:rPr>
        <w:t>The technical build follows the approved 12 phases (Phase 0 to Phase 11) in the PRD; Phases 8 and 9 start only after three paid pilots. The business roadmap does not authorize scope beyond the gates above.</w:t>
      </w:r>
    </w:p>
    <w:p>
      <w:pPr>
        <w:pStyle w:val="Heading1"/>
      </w:pPr>
      <w:r>
        <w:t>12. Scenario planning</w:t>
      </w:r>
    </w:p>
    <w:p>
      <w:pPr>
        <w:spacing w:after="100" w:line="259" w:lineRule="auto"/>
      </w:pPr>
      <w:r>
        <w:rPr>
          <w:sz w:val="19"/>
        </w:rPr>
        <w:t>These are illustrative planning cases, not forecasts. They exclude any claim of guaranteed revenue, fixed dates, or guaranteed WhatsApp contribution.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pPr>
              <w:spacing w:after="0"/>
            </w:pPr>
            <w:r>
              <w:rPr>
                <w:b/>
                <w:color w:val="FFFFFF"/>
              </w:rPr>
            </w:r>
            <w:r>
              <w:rPr>
                <w:b/>
                <w:color w:val="FFFFFF"/>
                <w:sz w:val="16"/>
              </w:rPr>
              <w:t>Month-12 metric</w:t>
            </w:r>
          </w:p>
        </w:tc>
        <w:tc>
          <w:tcPr>
            <w:tcW w:type="dxa" w:w="2541"/>
            <w:shd w:fill="1F4E79"/>
            <w:vAlign w:val="center"/>
          </w:tcPr>
          <w:p>
            <w:pPr>
              <w:spacing w:after="0"/>
            </w:pPr>
            <w:r>
              <w:rPr>
                <w:b/>
                <w:color w:val="FFFFFF"/>
              </w:rPr>
            </w:r>
            <w:r>
              <w:rPr>
                <w:b/>
                <w:color w:val="FFFFFF"/>
                <w:sz w:val="16"/>
              </w:rPr>
              <w:t>Conservative</w:t>
            </w:r>
          </w:p>
        </w:tc>
        <w:tc>
          <w:tcPr>
            <w:tcW w:type="dxa" w:w="2541"/>
            <w:shd w:fill="1F4E79"/>
            <w:vAlign w:val="center"/>
          </w:tcPr>
          <w:p>
            <w:pPr>
              <w:spacing w:after="0"/>
            </w:pPr>
            <w:r>
              <w:rPr>
                <w:b/>
                <w:color w:val="FFFFFF"/>
              </w:rPr>
            </w:r>
            <w:r>
              <w:rPr>
                <w:b/>
                <w:color w:val="FFFFFF"/>
                <w:sz w:val="16"/>
              </w:rPr>
              <w:t>Base</w:t>
            </w:r>
          </w:p>
        </w:tc>
        <w:tc>
          <w:tcPr>
            <w:tcW w:type="dxa" w:w="2541"/>
            <w:shd w:fill="1F4E79"/>
            <w:vAlign w:val="center"/>
          </w:tcPr>
          <w:p>
            <w:pPr>
              <w:spacing w:after="0"/>
            </w:pPr>
            <w:r>
              <w:rPr>
                <w:b/>
                <w:color w:val="FFFFFF"/>
              </w:rPr>
            </w:r>
            <w:r>
              <w:rPr>
                <w:b/>
                <w:color w:val="FFFFFF"/>
                <w:sz w:val="16"/>
              </w:rPr>
              <w:t>Upside</w:t>
            </w:r>
          </w:p>
        </w:tc>
      </w:tr>
      <w:tr>
        <w:tc>
          <w:tcPr>
            <w:tcW w:type="dxa" w:w="2541"/>
            <w:vAlign w:val="center"/>
          </w:tcPr>
          <w:p>
            <w:pPr>
              <w:spacing w:after="0"/>
            </w:pPr>
            <w:r/>
            <w:r>
              <w:rPr>
                <w:sz w:val="16"/>
              </w:rPr>
              <w:t>Paid B2B logos</w:t>
            </w:r>
          </w:p>
        </w:tc>
        <w:tc>
          <w:tcPr>
            <w:tcW w:type="dxa" w:w="2541"/>
            <w:vAlign w:val="center"/>
          </w:tcPr>
          <w:p>
            <w:pPr>
              <w:spacing w:after="0"/>
            </w:pPr>
            <w:r/>
            <w:r>
              <w:rPr>
                <w:sz w:val="16"/>
              </w:rPr>
              <w:t>10</w:t>
            </w:r>
          </w:p>
        </w:tc>
        <w:tc>
          <w:tcPr>
            <w:tcW w:type="dxa" w:w="2541"/>
            <w:vAlign w:val="center"/>
          </w:tcPr>
          <w:p>
            <w:pPr>
              <w:spacing w:after="0"/>
            </w:pPr>
            <w:r/>
            <w:r>
              <w:rPr>
                <w:sz w:val="16"/>
              </w:rPr>
              <w:t>35</w:t>
            </w:r>
          </w:p>
        </w:tc>
        <w:tc>
          <w:tcPr>
            <w:tcW w:type="dxa" w:w="2541"/>
            <w:vAlign w:val="center"/>
          </w:tcPr>
          <w:p>
            <w:pPr>
              <w:spacing w:after="0"/>
            </w:pPr>
            <w:r/>
            <w:r>
              <w:rPr>
                <w:sz w:val="16"/>
              </w:rPr>
              <w:t>80</w:t>
            </w:r>
          </w:p>
        </w:tc>
      </w:tr>
      <w:tr>
        <w:tc>
          <w:tcPr>
            <w:tcW w:type="dxa" w:w="2541"/>
            <w:shd w:fill="EAF2F8"/>
            <w:vAlign w:val="center"/>
          </w:tcPr>
          <w:p>
            <w:pPr>
              <w:spacing w:after="0"/>
            </w:pPr>
            <w:r/>
            <w:r>
              <w:rPr>
                <w:sz w:val="16"/>
              </w:rPr>
              <w:t>Blended B2B MRR per logo</w:t>
            </w:r>
          </w:p>
        </w:tc>
        <w:tc>
          <w:tcPr>
            <w:tcW w:type="dxa" w:w="2541"/>
            <w:shd w:fill="EAF2F8"/>
            <w:vAlign w:val="center"/>
          </w:tcPr>
          <w:p>
            <w:pPr>
              <w:spacing w:after="0"/>
            </w:pPr>
            <w:r/>
            <w:r>
              <w:rPr>
                <w:sz w:val="16"/>
              </w:rPr>
              <w:t>₹2,000</w:t>
            </w:r>
          </w:p>
        </w:tc>
        <w:tc>
          <w:tcPr>
            <w:tcW w:type="dxa" w:w="2541"/>
            <w:shd w:fill="EAF2F8"/>
            <w:vAlign w:val="center"/>
          </w:tcPr>
          <w:p>
            <w:pPr>
              <w:spacing w:after="0"/>
            </w:pPr>
            <w:r/>
            <w:r>
              <w:rPr>
                <w:sz w:val="16"/>
              </w:rPr>
              <w:t>₹3,200</w:t>
            </w:r>
          </w:p>
        </w:tc>
        <w:tc>
          <w:tcPr>
            <w:tcW w:type="dxa" w:w="2541"/>
            <w:shd w:fill="EAF2F8"/>
            <w:vAlign w:val="center"/>
          </w:tcPr>
          <w:p>
            <w:pPr>
              <w:spacing w:after="0"/>
            </w:pPr>
            <w:r/>
            <w:r>
              <w:rPr>
                <w:sz w:val="16"/>
              </w:rPr>
              <w:t>₹4,500</w:t>
            </w:r>
          </w:p>
        </w:tc>
      </w:tr>
      <w:tr>
        <w:tc>
          <w:tcPr>
            <w:tcW w:type="dxa" w:w="2541"/>
            <w:vAlign w:val="center"/>
          </w:tcPr>
          <w:p>
            <w:pPr>
              <w:spacing w:after="0"/>
            </w:pPr>
            <w:r/>
            <w:r>
              <w:rPr>
                <w:sz w:val="16"/>
              </w:rPr>
              <w:t>Paid WhatsApp stores (excluded from forecast)</w:t>
            </w:r>
          </w:p>
        </w:tc>
        <w:tc>
          <w:tcPr>
            <w:tcW w:type="dxa" w:w="2541"/>
            <w:vAlign w:val="center"/>
          </w:tcPr>
          <w:p>
            <w:pPr>
              <w:spacing w:after="0"/>
            </w:pPr>
            <w:r/>
            <w:r>
              <w:rPr>
                <w:sz w:val="16"/>
              </w:rPr>
              <w:t>Not forecast</w:t>
            </w:r>
          </w:p>
        </w:tc>
        <w:tc>
          <w:tcPr>
            <w:tcW w:type="dxa" w:w="2541"/>
            <w:vAlign w:val="center"/>
          </w:tcPr>
          <w:p>
            <w:pPr>
              <w:spacing w:after="0"/>
            </w:pPr>
            <w:r/>
            <w:r>
              <w:rPr>
                <w:sz w:val="16"/>
              </w:rPr>
              <w:t>Not forecast</w:t>
            </w:r>
          </w:p>
        </w:tc>
        <w:tc>
          <w:tcPr>
            <w:tcW w:type="dxa" w:w="2541"/>
            <w:vAlign w:val="center"/>
          </w:tcPr>
          <w:p>
            <w:pPr>
              <w:spacing w:after="0"/>
            </w:pPr>
            <w:r/>
            <w:r>
              <w:rPr>
                <w:sz w:val="16"/>
              </w:rPr>
              <w:t>Not forecast</w:t>
            </w:r>
          </w:p>
        </w:tc>
      </w:tr>
      <w:tr>
        <w:tc>
          <w:tcPr>
            <w:tcW w:type="dxa" w:w="2541"/>
            <w:shd w:fill="EAF2F8"/>
            <w:vAlign w:val="center"/>
          </w:tcPr>
          <w:p>
            <w:pPr>
              <w:spacing w:after="0"/>
            </w:pPr>
            <w:r/>
            <w:r>
              <w:rPr>
                <w:sz w:val="16"/>
              </w:rPr>
              <w:t>Month-12 B2B MRR, before verified cost deductions</w:t>
            </w:r>
          </w:p>
        </w:tc>
        <w:tc>
          <w:tcPr>
            <w:tcW w:type="dxa" w:w="2541"/>
            <w:shd w:fill="EAF2F8"/>
            <w:vAlign w:val="center"/>
          </w:tcPr>
          <w:p>
            <w:pPr>
              <w:spacing w:after="0"/>
            </w:pPr>
            <w:r/>
            <w:r>
              <w:rPr>
                <w:sz w:val="16"/>
              </w:rPr>
              <w:t>₹20K</w:t>
            </w:r>
          </w:p>
        </w:tc>
        <w:tc>
          <w:tcPr>
            <w:tcW w:type="dxa" w:w="2541"/>
            <w:shd w:fill="EAF2F8"/>
            <w:vAlign w:val="center"/>
          </w:tcPr>
          <w:p>
            <w:pPr>
              <w:spacing w:after="0"/>
            </w:pPr>
            <w:r/>
            <w:r>
              <w:rPr>
                <w:sz w:val="16"/>
              </w:rPr>
              <w:t>₹112K</w:t>
            </w:r>
          </w:p>
        </w:tc>
        <w:tc>
          <w:tcPr>
            <w:tcW w:type="dxa" w:w="2541"/>
            <w:shd w:fill="EAF2F8"/>
            <w:vAlign w:val="center"/>
          </w:tcPr>
          <w:p>
            <w:pPr>
              <w:spacing w:after="0"/>
            </w:pPr>
            <w:r/>
            <w:r>
              <w:rPr>
                <w:sz w:val="16"/>
              </w:rPr>
              <w:t>₹360K</w:t>
            </w:r>
          </w:p>
        </w:tc>
      </w:tr>
      <w:tr>
        <w:tc>
          <w:tcPr>
            <w:tcW w:type="dxa" w:w="2541"/>
            <w:vAlign w:val="center"/>
          </w:tcPr>
          <w:p>
            <w:pPr>
              <w:spacing w:after="0"/>
            </w:pPr>
            <w:r/>
            <w:r>
              <w:rPr>
                <w:sz w:val="16"/>
              </w:rPr>
              <w:t>ARR run-rate at that month, before verified cost deductions</w:t>
            </w:r>
          </w:p>
        </w:tc>
        <w:tc>
          <w:tcPr>
            <w:tcW w:type="dxa" w:w="2541"/>
            <w:vAlign w:val="center"/>
          </w:tcPr>
          <w:p>
            <w:pPr>
              <w:spacing w:after="0"/>
            </w:pPr>
            <w:r/>
            <w:r>
              <w:rPr>
                <w:sz w:val="16"/>
              </w:rPr>
              <w:t>₹2.4L</w:t>
            </w:r>
          </w:p>
        </w:tc>
        <w:tc>
          <w:tcPr>
            <w:tcW w:type="dxa" w:w="2541"/>
            <w:vAlign w:val="center"/>
          </w:tcPr>
          <w:p>
            <w:pPr>
              <w:spacing w:after="0"/>
            </w:pPr>
            <w:r/>
            <w:r>
              <w:rPr>
                <w:sz w:val="16"/>
              </w:rPr>
              <w:t>₹13.4L</w:t>
            </w:r>
          </w:p>
        </w:tc>
        <w:tc>
          <w:tcPr>
            <w:tcW w:type="dxa" w:w="2541"/>
            <w:vAlign w:val="center"/>
          </w:tcPr>
          <w:p>
            <w:pPr>
              <w:spacing w:after="0"/>
            </w:pPr>
            <w:r/>
            <w:r>
              <w:rPr>
                <w:sz w:val="16"/>
              </w:rPr>
              <w:t>₹43.2L</w:t>
            </w:r>
          </w:p>
        </w:tc>
      </w:tr>
      <w:tr>
        <w:tc>
          <w:tcPr>
            <w:tcW w:type="dxa" w:w="2541"/>
            <w:shd w:fill="EAF2F8"/>
            <w:vAlign w:val="center"/>
          </w:tcPr>
          <w:p>
            <w:pPr>
              <w:spacing w:after="0"/>
            </w:pPr>
            <w:r/>
            <w:r>
              <w:rPr>
                <w:sz w:val="16"/>
              </w:rPr>
              <w:t>Gross margin</w:t>
            </w:r>
          </w:p>
        </w:tc>
        <w:tc>
          <w:tcPr>
            <w:tcW w:type="dxa" w:w="2541"/>
            <w:shd w:fill="EAF2F8"/>
            <w:vAlign w:val="center"/>
          </w:tcPr>
          <w:p>
            <w:pPr>
              <w:spacing w:after="0"/>
            </w:pPr>
            <w:r/>
            <w:r>
              <w:rPr>
                <w:sz w:val="16"/>
              </w:rPr>
              <w:t>Measure only</w:t>
            </w:r>
          </w:p>
        </w:tc>
        <w:tc>
          <w:tcPr>
            <w:tcW w:type="dxa" w:w="2541"/>
            <w:shd w:fill="EAF2F8"/>
            <w:vAlign w:val="center"/>
          </w:tcPr>
          <w:p>
            <w:pPr>
              <w:spacing w:after="0"/>
            </w:pPr>
            <w:r/>
            <w:r>
              <w:rPr>
                <w:sz w:val="16"/>
              </w:rPr>
              <w:t>Measure only</w:t>
            </w:r>
          </w:p>
        </w:tc>
        <w:tc>
          <w:tcPr>
            <w:tcW w:type="dxa" w:w="2541"/>
            <w:shd w:fill="EAF2F8"/>
            <w:vAlign w:val="center"/>
          </w:tcPr>
          <w:p>
            <w:pPr>
              <w:spacing w:after="0"/>
            </w:pPr>
            <w:r/>
            <w:r>
              <w:rPr>
                <w:sz w:val="16"/>
              </w:rPr>
              <w:t>Measure only</w:t>
            </w:r>
          </w:p>
        </w:tc>
      </w:tr>
      <w:tr>
        <w:tc>
          <w:tcPr>
            <w:tcW w:type="dxa" w:w="2541"/>
            <w:vAlign w:val="center"/>
          </w:tcPr>
          <w:p>
            <w:pPr>
              <w:spacing w:after="0"/>
            </w:pPr>
            <w:r/>
            <w:r>
              <w:rPr>
                <w:sz w:val="16"/>
              </w:rPr>
              <w:t>Primary acquisition motion</w:t>
            </w:r>
          </w:p>
        </w:tc>
        <w:tc>
          <w:tcPr>
            <w:tcW w:type="dxa" w:w="2541"/>
            <w:vAlign w:val="center"/>
          </w:tcPr>
          <w:p>
            <w:pPr>
              <w:spacing w:after="0"/>
            </w:pPr>
            <w:r/>
            <w:r>
              <w:rPr>
                <w:sz w:val="16"/>
              </w:rPr>
              <w:t>Founder-led pilots</w:t>
            </w:r>
          </w:p>
        </w:tc>
        <w:tc>
          <w:tcPr>
            <w:tcW w:type="dxa" w:w="2541"/>
            <w:vAlign w:val="center"/>
          </w:tcPr>
          <w:p>
            <w:pPr>
              <w:spacing w:after="0"/>
            </w:pPr>
            <w:r/>
            <w:r>
              <w:rPr>
                <w:sz w:val="16"/>
              </w:rPr>
              <w:t>Hybrid assisted and partner motion</w:t>
            </w:r>
          </w:p>
        </w:tc>
        <w:tc>
          <w:tcPr>
            <w:tcW w:type="dxa" w:w="2541"/>
            <w:vAlign w:val="center"/>
          </w:tcPr>
          <w:p>
            <w:pPr>
              <w:spacing w:after="0"/>
            </w:pPr>
            <w:r/>
            <w:r>
              <w:rPr>
                <w:sz w:val="16"/>
              </w:rPr>
              <w:t>Repeatable partners and self-serve</w:t>
            </w:r>
          </w:p>
        </w:tc>
      </w:tr>
    </w:tbl>
    <w:p>
      <w:pPr>
        <w:spacing w:after="0"/>
      </w:pPr>
    </w:p>
    <w:p>
      <w:pPr>
        <w:spacing w:after="100" w:line="259" w:lineRule="auto"/>
      </w:pPr>
      <w:r>
        <w:rPr>
          <w:sz w:val="19"/>
        </w:rPr>
        <w:t>The scenarios are B2B only; WhatsApp stores stay outside every forecast until the separate WhatsApp gate is met. A blended INR 3,200 per logo requires almost every account on the INR 2,999 tier, so plan on INR 2,000 per logo until willingness-to-pay interviews say otherwise. The scenarios must be updated monthly from paid cohort data. If three qualified pilots cannot be recruited, Formiva changes the ICP, offer, or pricing before adding platform breadth. If pilots do not pay or repeat, the company narrows further rather than adding templates.</w:t>
      </w:r>
    </w:p>
    <w:p>
      <w:pPr>
        <w:pStyle w:val="Heading1"/>
      </w:pPr>
      <w:r>
        <w:t>13. Metrics and decision system</w:t>
      </w:r>
    </w:p>
    <w:p>
      <w:pPr>
        <w:spacing w:after="100" w:line="259" w:lineRule="auto"/>
      </w:pPr>
      <w:r>
        <w:rPr>
          <w:sz w:val="19"/>
        </w:rPr>
        <w:t xml:space="preserve">The north-star operating measure is </w:t>
      </w:r>
      <w:r>
        <w:rPr>
          <w:b/>
          <w:sz w:val="19"/>
        </w:rPr>
        <w:t>gross-margin-adjusted retained workflow volume</w:t>
      </w:r>
      <w:r>
        <w:rPr>
          <w:sz w:val="19"/>
        </w:rPr>
        <w:t>. A smaller number of accounts with repeat use and positive contribution margin is more valuable than many low-value, high-support signups.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Metric group</w:t>
            </w:r>
          </w:p>
        </w:tc>
        <w:tc>
          <w:tcPr>
            <w:tcW w:type="dxa" w:w="3389"/>
            <w:shd w:fill="1F4E79"/>
            <w:vAlign w:val="center"/>
          </w:tcPr>
          <w:p>
            <w:pPr>
              <w:spacing w:after="0"/>
            </w:pPr>
            <w:r>
              <w:rPr>
                <w:b/>
                <w:color w:val="FFFFFF"/>
              </w:rPr>
            </w:r>
            <w:r>
              <w:rPr>
                <w:b/>
                <w:color w:val="FFFFFF"/>
                <w:sz w:val="16"/>
              </w:rPr>
              <w:t>Metrics</w:t>
            </w:r>
          </w:p>
        </w:tc>
        <w:tc>
          <w:tcPr>
            <w:tcW w:type="dxa" w:w="3389"/>
            <w:shd w:fill="1F4E79"/>
            <w:vAlign w:val="center"/>
          </w:tcPr>
          <w:p>
            <w:pPr>
              <w:spacing w:after="0"/>
            </w:pPr>
            <w:r>
              <w:rPr>
                <w:b/>
                <w:color w:val="FFFFFF"/>
              </w:rPr>
            </w:r>
            <w:r>
              <w:rPr>
                <w:b/>
                <w:color w:val="FFFFFF"/>
                <w:sz w:val="16"/>
              </w:rPr>
              <w:t>Decision use</w:t>
            </w:r>
          </w:p>
        </w:tc>
      </w:tr>
      <w:tr>
        <w:tc>
          <w:tcPr>
            <w:tcW w:type="dxa" w:w="3389"/>
            <w:vAlign w:val="center"/>
          </w:tcPr>
          <w:p>
            <w:pPr>
              <w:spacing w:after="0"/>
            </w:pPr>
            <w:r/>
            <w:r>
              <w:rPr>
                <w:sz w:val="16"/>
              </w:rPr>
              <w:t>Acquisition</w:t>
            </w:r>
          </w:p>
        </w:tc>
        <w:tc>
          <w:tcPr>
            <w:tcW w:type="dxa" w:w="3389"/>
            <w:vAlign w:val="center"/>
          </w:tcPr>
          <w:p>
            <w:pPr>
              <w:spacing w:after="0"/>
            </w:pPr>
            <w:r/>
            <w:r>
              <w:rPr>
                <w:sz w:val="16"/>
              </w:rPr>
              <w:t>Qualified interviews, diagnostic-to-pilot rate, pilot-to-paid rate, channel mix, sales cycle</w:t>
            </w:r>
          </w:p>
        </w:tc>
        <w:tc>
          <w:tcPr>
            <w:tcW w:type="dxa" w:w="3389"/>
            <w:vAlign w:val="center"/>
          </w:tcPr>
          <w:p>
            <w:pPr>
              <w:spacing w:after="0"/>
            </w:pPr>
            <w:r/>
            <w:r>
              <w:rPr>
                <w:sz w:val="16"/>
              </w:rPr>
              <w:t>Decide whether the ICP and offer are credible</w:t>
            </w:r>
          </w:p>
        </w:tc>
      </w:tr>
      <w:tr>
        <w:tc>
          <w:tcPr>
            <w:tcW w:type="dxa" w:w="3389"/>
            <w:shd w:fill="EAF2F8"/>
            <w:vAlign w:val="center"/>
          </w:tcPr>
          <w:p>
            <w:pPr>
              <w:spacing w:after="0"/>
            </w:pPr>
            <w:r/>
            <w:r>
              <w:rPr>
                <w:sz w:val="16"/>
              </w:rPr>
              <w:t>Activation</w:t>
            </w:r>
          </w:p>
        </w:tc>
        <w:tc>
          <w:tcPr>
            <w:tcW w:type="dxa" w:w="3389"/>
            <w:shd w:fill="EAF2F8"/>
            <w:vAlign w:val="center"/>
          </w:tcPr>
          <w:p>
            <w:pPr>
              <w:spacing w:after="0"/>
            </w:pPr>
            <w:r/>
            <w:r>
              <w:rPr>
                <w:sz w:val="16"/>
              </w:rPr>
              <w:t>Activated within 14 days, first case completed, first-pass completeness, time-to-ready</w:t>
            </w:r>
          </w:p>
        </w:tc>
        <w:tc>
          <w:tcPr>
            <w:tcW w:type="dxa" w:w="3389"/>
            <w:shd w:fill="EAF2F8"/>
            <w:vAlign w:val="center"/>
          </w:tcPr>
          <w:p>
            <w:pPr>
              <w:spacing w:after="0"/>
            </w:pPr>
            <w:r/>
            <w:r>
              <w:rPr>
                <w:sz w:val="16"/>
              </w:rPr>
              <w:t>Identify setup and workflow friction</w:t>
            </w:r>
          </w:p>
        </w:tc>
      </w:tr>
      <w:tr>
        <w:tc>
          <w:tcPr>
            <w:tcW w:type="dxa" w:w="3389"/>
            <w:vAlign w:val="center"/>
          </w:tcPr>
          <w:p>
            <w:pPr>
              <w:spacing w:after="0"/>
            </w:pPr>
            <w:r/>
            <w:r>
              <w:rPr>
                <w:sz w:val="16"/>
              </w:rPr>
              <w:t>Usage</w:t>
            </w:r>
          </w:p>
        </w:tc>
        <w:tc>
          <w:tcPr>
            <w:tcW w:type="dxa" w:w="3389"/>
            <w:vAlign w:val="center"/>
          </w:tcPr>
          <w:p>
            <w:pPr>
              <w:spacing w:after="0"/>
            </w:pPr>
            <w:r/>
            <w:r>
              <w:rPr>
                <w:sz w:val="16"/>
              </w:rPr>
              <w:t>Cases per account, repeat hiring cycles, second-workflow pull, active roles</w:t>
            </w:r>
          </w:p>
        </w:tc>
        <w:tc>
          <w:tcPr>
            <w:tcW w:type="dxa" w:w="3389"/>
            <w:vAlign w:val="center"/>
          </w:tcPr>
          <w:p>
            <w:pPr>
              <w:spacing w:after="0"/>
            </w:pPr>
            <w:r/>
            <w:r>
              <w:rPr>
                <w:sz w:val="16"/>
              </w:rPr>
              <w:t>Measure operational dependence</w:t>
            </w:r>
          </w:p>
        </w:tc>
      </w:tr>
      <w:tr>
        <w:tc>
          <w:tcPr>
            <w:tcW w:type="dxa" w:w="3389"/>
            <w:shd w:fill="EAF2F8"/>
            <w:vAlign w:val="center"/>
          </w:tcPr>
          <w:p>
            <w:pPr>
              <w:spacing w:after="0"/>
            </w:pPr>
            <w:r/>
            <w:r>
              <w:rPr>
                <w:sz w:val="16"/>
              </w:rPr>
              <w:t>Quality</w:t>
            </w:r>
          </w:p>
        </w:tc>
        <w:tc>
          <w:tcPr>
            <w:tcW w:type="dxa" w:w="3389"/>
            <w:shd w:fill="EAF2F8"/>
            <w:vAlign w:val="center"/>
          </w:tcPr>
          <w:p>
            <w:pPr>
              <w:spacing w:after="0"/>
            </w:pPr>
            <w:r/>
            <w:r>
              <w:rPr>
                <w:sz w:val="16"/>
              </w:rPr>
              <w:t>AI precision/recall by class, calibration, human-review rate, correction rate, failed-write rate</w:t>
            </w:r>
          </w:p>
        </w:tc>
        <w:tc>
          <w:tcPr>
            <w:tcW w:type="dxa" w:w="3389"/>
            <w:shd w:fill="EAF2F8"/>
            <w:vAlign w:val="center"/>
          </w:tcPr>
          <w:p>
            <w:pPr>
              <w:spacing w:after="0"/>
            </w:pPr>
            <w:r/>
            <w:r>
              <w:rPr>
                <w:sz w:val="16"/>
              </w:rPr>
              <w:t>Tune thresholds and safe-mode policy</w:t>
            </w:r>
          </w:p>
        </w:tc>
      </w:tr>
      <w:tr>
        <w:tc>
          <w:tcPr>
            <w:tcW w:type="dxa" w:w="3389"/>
            <w:vAlign w:val="center"/>
          </w:tcPr>
          <w:p>
            <w:pPr>
              <w:spacing w:after="0"/>
            </w:pPr>
            <w:r/>
            <w:r>
              <w:rPr>
                <w:sz w:val="16"/>
              </w:rPr>
              <w:t>Reliability</w:t>
            </w:r>
          </w:p>
        </w:tc>
        <w:tc>
          <w:tcPr>
            <w:tcW w:type="dxa" w:w="3389"/>
            <w:vAlign w:val="center"/>
          </w:tcPr>
          <w:p>
            <w:pPr>
              <w:spacing w:after="0"/>
            </w:pPr>
            <w:r/>
            <w:r>
              <w:rPr>
                <w:sz w:val="16"/>
              </w:rPr>
              <w:t>Queue age, retry rate, dead letters, unknown outcomes, restore success, incident count</w:t>
            </w:r>
          </w:p>
        </w:tc>
        <w:tc>
          <w:tcPr>
            <w:tcW w:type="dxa" w:w="3389"/>
            <w:vAlign w:val="center"/>
          </w:tcPr>
          <w:p>
            <w:pPr>
              <w:spacing w:after="0"/>
            </w:pPr>
            <w:r/>
            <w:r>
              <w:rPr>
                <w:sz w:val="16"/>
              </w:rPr>
              <w:t>Protect trust and support margin</w:t>
            </w:r>
          </w:p>
        </w:tc>
      </w:tr>
      <w:tr>
        <w:tc>
          <w:tcPr>
            <w:tcW w:type="dxa" w:w="3389"/>
            <w:shd w:fill="EAF2F8"/>
            <w:vAlign w:val="center"/>
          </w:tcPr>
          <w:p>
            <w:pPr>
              <w:spacing w:after="0"/>
            </w:pPr>
            <w:r/>
            <w:r>
              <w:rPr>
                <w:sz w:val="16"/>
              </w:rPr>
              <w:t>Economics</w:t>
            </w:r>
          </w:p>
        </w:tc>
        <w:tc>
          <w:tcPr>
            <w:tcW w:type="dxa" w:w="3389"/>
            <w:shd w:fill="EAF2F8"/>
            <w:vAlign w:val="center"/>
          </w:tcPr>
          <w:p>
            <w:pPr>
              <w:spacing w:after="0"/>
            </w:pPr>
            <w:r/>
            <w:r>
              <w:rPr>
                <w:sz w:val="16"/>
              </w:rPr>
              <w:t>Revenue per account, cost per case, review minutes, support minutes, contribution margin</w:t>
            </w:r>
          </w:p>
        </w:tc>
        <w:tc>
          <w:tcPr>
            <w:tcW w:type="dxa" w:w="3389"/>
            <w:shd w:fill="EAF2F8"/>
            <w:vAlign w:val="center"/>
          </w:tcPr>
          <w:p>
            <w:pPr>
              <w:spacing w:after="0"/>
            </w:pPr>
            <w:r/>
            <w:r>
              <w:rPr>
                <w:sz w:val="16"/>
              </w:rPr>
              <w:t>Control packaging and expansion</w:t>
            </w:r>
          </w:p>
        </w:tc>
      </w:tr>
      <w:tr>
        <w:tc>
          <w:tcPr>
            <w:tcW w:type="dxa" w:w="3389"/>
            <w:vAlign w:val="center"/>
          </w:tcPr>
          <w:p>
            <w:pPr>
              <w:spacing w:after="0"/>
            </w:pPr>
            <w:r/>
            <w:r>
              <w:rPr>
                <w:sz w:val="16"/>
              </w:rPr>
              <w:t>Retention</w:t>
            </w:r>
          </w:p>
        </w:tc>
        <w:tc>
          <w:tcPr>
            <w:tcW w:type="dxa" w:w="3389"/>
            <w:vAlign w:val="center"/>
          </w:tcPr>
          <w:p>
            <w:pPr>
              <w:spacing w:after="0"/>
            </w:pPr>
            <w:r/>
            <w:r>
              <w:rPr>
                <w:sz w:val="16"/>
              </w:rPr>
              <w:t>Month-3 and month-6 logo retention, workflow retention, churn reasons</w:t>
            </w:r>
          </w:p>
        </w:tc>
        <w:tc>
          <w:tcPr>
            <w:tcW w:type="dxa" w:w="3389"/>
            <w:vAlign w:val="center"/>
          </w:tcPr>
          <w:p>
            <w:pPr>
              <w:spacing w:after="0"/>
            </w:pPr>
            <w:r/>
            <w:r>
              <w:rPr>
                <w:sz w:val="16"/>
              </w:rPr>
              <w:t>Decide whether to deepen or narrow</w:t>
            </w:r>
          </w:p>
        </w:tc>
      </w:tr>
      <w:tr>
        <w:tc>
          <w:tcPr>
            <w:tcW w:type="dxa" w:w="3389"/>
            <w:shd w:fill="EAF2F8"/>
            <w:vAlign w:val="center"/>
          </w:tcPr>
          <w:p>
            <w:pPr>
              <w:spacing w:after="0"/>
            </w:pPr>
            <w:r/>
            <w:r>
              <w:rPr>
                <w:sz w:val="16"/>
              </w:rPr>
              <w:t>Trust</w:t>
            </w:r>
          </w:p>
        </w:tc>
        <w:tc>
          <w:tcPr>
            <w:tcW w:type="dxa" w:w="3389"/>
            <w:shd w:fill="EAF2F8"/>
            <w:vAlign w:val="center"/>
          </w:tcPr>
          <w:p>
            <w:pPr>
              <w:spacing w:after="0"/>
            </w:pPr>
            <w:r/>
            <w:r>
              <w:rPr>
                <w:sz w:val="16"/>
              </w:rPr>
              <w:t>Tenant-isolation results, deletion/retention tests, secret rotation, audit completeness, unresolved critical findings</w:t>
            </w:r>
          </w:p>
        </w:tc>
        <w:tc>
          <w:tcPr>
            <w:tcW w:type="dxa" w:w="3389"/>
            <w:shd w:fill="EAF2F8"/>
            <w:vAlign w:val="center"/>
          </w:tcPr>
          <w:p>
            <w:pPr>
              <w:spacing w:after="0"/>
            </w:pPr>
            <w:r/>
            <w:r>
              <w:rPr>
                <w:sz w:val="16"/>
              </w:rPr>
              <w:t>Decide whether sensitive pilots may proceed</w:t>
            </w:r>
          </w:p>
        </w:tc>
      </w:tr>
    </w:tbl>
    <w:p>
      <w:pPr>
        <w:spacing w:after="0"/>
      </w:pPr>
    </w:p>
    <w:p>
      <w:pPr>
        <w:pStyle w:val="Heading1"/>
      </w:pPr>
      <w:r>
        <w:t>14. Risks, trust, and legal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Risk</w:t>
            </w:r>
          </w:p>
        </w:tc>
        <w:tc>
          <w:tcPr>
            <w:tcW w:type="dxa" w:w="3389"/>
            <w:shd w:fill="1F4E79"/>
            <w:vAlign w:val="center"/>
          </w:tcPr>
          <w:p>
            <w:pPr>
              <w:spacing w:after="0"/>
            </w:pPr>
            <w:r>
              <w:rPr>
                <w:b/>
                <w:color w:val="FFFFFF"/>
              </w:rPr>
            </w:r>
            <w:r>
              <w:rPr>
                <w:b/>
                <w:color w:val="FFFFFF"/>
                <w:sz w:val="16"/>
              </w:rPr>
              <w:t>Mitigation</w:t>
            </w:r>
          </w:p>
        </w:tc>
        <w:tc>
          <w:tcPr>
            <w:tcW w:type="dxa" w:w="3389"/>
            <w:shd w:fill="1F4E79"/>
            <w:vAlign w:val="center"/>
          </w:tcPr>
          <w:p>
            <w:pPr>
              <w:spacing w:after="0"/>
            </w:pPr>
            <w:r>
              <w:rPr>
                <w:b/>
                <w:color w:val="FFFFFF"/>
              </w:rPr>
            </w:r>
            <w:r>
              <w:rPr>
                <w:b/>
                <w:color w:val="FFFFFF"/>
                <w:sz w:val="16"/>
              </w:rPr>
              <w:t>Decision gate</w:t>
            </w:r>
          </w:p>
        </w:tc>
      </w:tr>
      <w:tr>
        <w:tc>
          <w:tcPr>
            <w:tcW w:type="dxa" w:w="3389"/>
            <w:vAlign w:val="center"/>
          </w:tcPr>
          <w:p>
            <w:pPr>
              <w:spacing w:after="0"/>
            </w:pPr>
            <w:r/>
            <w:r>
              <w:rPr>
                <w:sz w:val="16"/>
              </w:rPr>
              <w:t>ICP is too broad or urgency is low</w:t>
            </w:r>
          </w:p>
        </w:tc>
        <w:tc>
          <w:tcPr>
            <w:tcW w:type="dxa" w:w="3389"/>
            <w:vAlign w:val="center"/>
          </w:tcPr>
          <w:p>
            <w:pPr>
              <w:spacing w:after="0"/>
            </w:pPr>
            <w:r/>
            <w:r>
              <w:rPr>
                <w:sz w:val="16"/>
              </w:rPr>
              <w:t>Narrow to a sub-vertical and named trigger</w:t>
            </w:r>
          </w:p>
        </w:tc>
        <w:tc>
          <w:tcPr>
            <w:tcW w:type="dxa" w:w="3389"/>
            <w:vAlign w:val="center"/>
          </w:tcPr>
          <w:p>
            <w:pPr>
              <w:spacing w:after="0"/>
            </w:pPr>
            <w:r/>
            <w:r>
              <w:rPr>
                <w:sz w:val="16"/>
              </w:rPr>
              <w:t>Three committed pilots before breadth work</w:t>
            </w:r>
          </w:p>
        </w:tc>
      </w:tr>
      <w:tr>
        <w:tc>
          <w:tcPr>
            <w:tcW w:type="dxa" w:w="3389"/>
            <w:shd w:fill="EAF2F8"/>
            <w:vAlign w:val="center"/>
          </w:tcPr>
          <w:p>
            <w:pPr>
              <w:spacing w:after="0"/>
            </w:pPr>
            <w:r/>
            <w:r>
              <w:rPr>
                <w:sz w:val="16"/>
              </w:rPr>
              <w:t>Incumbent suite is good enough</w:t>
            </w:r>
          </w:p>
        </w:tc>
        <w:tc>
          <w:tcPr>
            <w:tcW w:type="dxa" w:w="3389"/>
            <w:shd w:fill="EAF2F8"/>
            <w:vAlign w:val="center"/>
          </w:tcPr>
          <w:p>
            <w:pPr>
              <w:spacing w:after="0"/>
            </w:pPr>
            <w:r/>
            <w:r>
              <w:rPr>
                <w:sz w:val="16"/>
              </w:rPr>
              <w:t>Run a configured bake-off and compete on implementation and exceptions</w:t>
            </w:r>
          </w:p>
        </w:tc>
        <w:tc>
          <w:tcPr>
            <w:tcW w:type="dxa" w:w="3389"/>
            <w:shd w:fill="EAF2F8"/>
            <w:vAlign w:val="center"/>
          </w:tcPr>
          <w:p>
            <w:pPr>
              <w:spacing w:after="0"/>
            </w:pPr>
            <w:r/>
            <w:r>
              <w:rPr>
                <w:sz w:val="16"/>
              </w:rPr>
              <w:t>Comparable workflow setup and outcome evidence</w:t>
            </w:r>
          </w:p>
        </w:tc>
      </w:tr>
      <w:tr>
        <w:tc>
          <w:tcPr>
            <w:tcW w:type="dxa" w:w="3389"/>
            <w:vAlign w:val="center"/>
          </w:tcPr>
          <w:p>
            <w:pPr>
              <w:spacing w:after="0"/>
            </w:pPr>
            <w:r/>
            <w:r>
              <w:rPr>
                <w:sz w:val="16"/>
              </w:rPr>
              <w:t>AI extraction fails on sensitive documents</w:t>
            </w:r>
          </w:p>
        </w:tc>
        <w:tc>
          <w:tcPr>
            <w:tcW w:type="dxa" w:w="3389"/>
            <w:vAlign w:val="center"/>
          </w:tcPr>
          <w:p>
            <w:pPr>
              <w:spacing w:after="0"/>
            </w:pPr>
            <w:r/>
            <w:r>
              <w:rPr>
                <w:sz w:val="16"/>
              </w:rPr>
              <w:t>Support stated classes, use per-class thresholds, require review</w:t>
            </w:r>
          </w:p>
        </w:tc>
        <w:tc>
          <w:tcPr>
            <w:tcW w:type="dxa" w:w="3389"/>
            <w:vAlign w:val="center"/>
          </w:tcPr>
          <w:p>
            <w:pPr>
              <w:spacing w:after="0"/>
            </w:pPr>
            <w:r/>
            <w:r>
              <w:rPr>
                <w:sz w:val="16"/>
              </w:rPr>
              <w:t>Labeled benchmark and correction audit before automation</w:t>
            </w:r>
          </w:p>
        </w:tc>
      </w:tr>
      <w:tr>
        <w:tc>
          <w:tcPr>
            <w:tcW w:type="dxa" w:w="3389"/>
            <w:shd w:fill="EAF2F8"/>
            <w:vAlign w:val="center"/>
          </w:tcPr>
          <w:p>
            <w:pPr>
              <w:spacing w:after="0"/>
            </w:pPr>
            <w:r/>
            <w:r>
              <w:rPr>
                <w:sz w:val="16"/>
              </w:rPr>
              <w:t>Silent workflow or connector failure</w:t>
            </w:r>
          </w:p>
        </w:tc>
        <w:tc>
          <w:tcPr>
            <w:tcW w:type="dxa" w:w="3389"/>
            <w:shd w:fill="EAF2F8"/>
            <w:vAlign w:val="center"/>
          </w:tcPr>
          <w:p>
            <w:pPr>
              <w:spacing w:after="0"/>
            </w:pPr>
            <w:r/>
            <w:r>
              <w:rPr>
                <w:sz w:val="16"/>
              </w:rPr>
              <w:t>Durable jobs, leases, retries, dead letters, idempotency, visible errors, safe replay</w:t>
            </w:r>
          </w:p>
        </w:tc>
        <w:tc>
          <w:tcPr>
            <w:tcW w:type="dxa" w:w="3389"/>
            <w:shd w:fill="EAF2F8"/>
            <w:vAlign w:val="center"/>
          </w:tcPr>
          <w:p>
            <w:pPr>
              <w:spacing w:after="0"/>
            </w:pPr>
            <w:r/>
            <w:r>
              <w:rPr>
                <w:sz w:val="16"/>
              </w:rPr>
              <w:t>1,000-event synthetic reliability test</w:t>
            </w:r>
          </w:p>
        </w:tc>
      </w:tr>
      <w:tr>
        <w:tc>
          <w:tcPr>
            <w:tcW w:type="dxa" w:w="3389"/>
            <w:vAlign w:val="center"/>
          </w:tcPr>
          <w:p>
            <w:pPr>
              <w:spacing w:after="0"/>
            </w:pPr>
            <w:r/>
            <w:r>
              <w:rPr>
                <w:sz w:val="16"/>
              </w:rPr>
              <w:t>Trust objection blocks a sale</w:t>
            </w:r>
          </w:p>
        </w:tc>
        <w:tc>
          <w:tcPr>
            <w:tcW w:type="dxa" w:w="3389"/>
            <w:vAlign w:val="center"/>
          </w:tcPr>
          <w:p>
            <w:pPr>
              <w:spacing w:after="0"/>
            </w:pPr>
            <w:r/>
            <w:r>
              <w:rPr>
                <w:sz w:val="16"/>
              </w:rPr>
              <w:t>De-identified pilots, evidence pack, pen-test and counsel review</w:t>
            </w:r>
          </w:p>
        </w:tc>
        <w:tc>
          <w:tcPr>
            <w:tcW w:type="dxa" w:w="3389"/>
            <w:vAlign w:val="center"/>
          </w:tcPr>
          <w:p>
            <w:pPr>
              <w:spacing w:after="0"/>
            </w:pPr>
            <w:r/>
            <w:r>
              <w:rPr>
                <w:sz w:val="16"/>
              </w:rPr>
              <w:t>No unresolved critical finding before real sensitive data</w:t>
            </w:r>
          </w:p>
        </w:tc>
      </w:tr>
      <w:tr>
        <w:tc>
          <w:tcPr>
            <w:tcW w:type="dxa" w:w="3389"/>
            <w:shd w:fill="EAF2F8"/>
            <w:vAlign w:val="center"/>
          </w:tcPr>
          <w:p>
            <w:pPr>
              <w:spacing w:after="0"/>
            </w:pPr>
            <w:r/>
            <w:r>
              <w:rPr>
                <w:sz w:val="16"/>
              </w:rPr>
              <w:t>Support consumes margin</w:t>
            </w:r>
          </w:p>
        </w:tc>
        <w:tc>
          <w:tcPr>
            <w:tcW w:type="dxa" w:w="3389"/>
            <w:shd w:fill="EAF2F8"/>
            <w:vAlign w:val="center"/>
          </w:tcPr>
          <w:p>
            <w:pPr>
              <w:spacing w:after="0"/>
            </w:pPr>
            <w:r/>
            <w:r>
              <w:rPr>
                <w:sz w:val="16"/>
              </w:rPr>
              <w:t>Productized setup, limits, paid implementation, review-cost tracking</w:t>
            </w:r>
          </w:p>
        </w:tc>
        <w:tc>
          <w:tcPr>
            <w:tcW w:type="dxa" w:w="3389"/>
            <w:shd w:fill="EAF2F8"/>
            <w:vAlign w:val="center"/>
          </w:tcPr>
          <w:p>
            <w:pPr>
              <w:spacing w:after="0"/>
            </w:pPr>
            <w:r/>
            <w:r>
              <w:rPr>
                <w:sz w:val="16"/>
              </w:rPr>
              <w:t>Monthly contribution-margin review</w:t>
            </w:r>
          </w:p>
        </w:tc>
      </w:tr>
      <w:tr>
        <w:tc>
          <w:tcPr>
            <w:tcW w:type="dxa" w:w="3389"/>
            <w:vAlign w:val="center"/>
          </w:tcPr>
          <w:p>
            <w:pPr>
              <w:spacing w:after="0"/>
            </w:pPr>
            <w:r/>
            <w:r>
              <w:rPr>
                <w:sz w:val="16"/>
              </w:rPr>
              <w:t>Provider economics change</w:t>
            </w:r>
          </w:p>
        </w:tc>
        <w:tc>
          <w:tcPr>
            <w:tcW w:type="dxa" w:w="3389"/>
            <w:vAlign w:val="center"/>
          </w:tcPr>
          <w:p>
            <w:pPr>
              <w:spacing w:after="0"/>
            </w:pPr>
            <w:r/>
            <w:r>
              <w:rPr>
                <w:sz w:val="16"/>
              </w:rPr>
              <w:t>Verify current pricing and limits, maintain adapters, alert on utilization</w:t>
            </w:r>
          </w:p>
        </w:tc>
        <w:tc>
          <w:tcPr>
            <w:tcW w:type="dxa" w:w="3389"/>
            <w:vAlign w:val="center"/>
          </w:tcPr>
          <w:p>
            <w:pPr>
              <w:spacing w:after="0"/>
            </w:pPr>
            <w:r/>
            <w:r>
              <w:rPr>
                <w:sz w:val="16"/>
              </w:rPr>
              <w:t>Reprice before commitments</w:t>
            </w:r>
          </w:p>
        </w:tc>
      </w:tr>
      <w:tr>
        <w:tc>
          <w:tcPr>
            <w:tcW w:type="dxa" w:w="3389"/>
            <w:shd w:fill="EAF2F8"/>
            <w:vAlign w:val="center"/>
          </w:tcPr>
          <w:p>
            <w:pPr>
              <w:spacing w:after="0"/>
            </w:pPr>
            <w:r/>
            <w:r>
              <w:rPr>
                <w:sz w:val="16"/>
              </w:rPr>
              <w:t>WhatsApp experiment creates a second company</w:t>
            </w:r>
          </w:p>
        </w:tc>
        <w:tc>
          <w:tcPr>
            <w:tcW w:type="dxa" w:w="3389"/>
            <w:shd w:fill="EAF2F8"/>
            <w:vAlign w:val="center"/>
          </w:tcPr>
          <w:p>
            <w:pPr>
              <w:spacing w:after="0"/>
            </w:pPr>
            <w:r/>
            <w:r>
              <w:rPr>
                <w:sz w:val="16"/>
              </w:rPr>
              <w:t>Separate P&amp;L, forecast, contract, dashboard, consent and fulfillment gate</w:t>
            </w:r>
          </w:p>
        </w:tc>
        <w:tc>
          <w:tcPr>
            <w:tcW w:type="dxa" w:w="3389"/>
            <w:shd w:fill="EAF2F8"/>
            <w:vAlign w:val="center"/>
          </w:tcPr>
          <w:p>
            <w:pPr>
              <w:spacing w:after="0"/>
            </w:pPr>
            <w:r/>
            <w:r>
              <w:rPr>
                <w:sz w:val="16"/>
              </w:rPr>
              <w:t>No build until store readiness passes</w:t>
            </w:r>
          </w:p>
        </w:tc>
      </w:tr>
      <w:tr>
        <w:tc>
          <w:tcPr>
            <w:tcW w:type="dxa" w:w="3389"/>
            <w:vAlign w:val="center"/>
          </w:tcPr>
          <w:p>
            <w:pPr>
              <w:spacing w:after="0"/>
            </w:pPr>
            <w:r/>
            <w:r>
              <w:rPr>
                <w:sz w:val="16"/>
              </w:rPr>
              <w:t>Legal or assurance language is overstated</w:t>
            </w:r>
          </w:p>
        </w:tc>
        <w:tc>
          <w:tcPr>
            <w:tcW w:type="dxa" w:w="3389"/>
            <w:vAlign w:val="center"/>
          </w:tcPr>
          <w:p>
            <w:pPr>
              <w:spacing w:after="0"/>
            </w:pPr>
            <w:r/>
            <w:r>
              <w:rPr>
                <w:sz w:val="16"/>
              </w:rPr>
              <w:t>Use legal caveat labels and counsel review</w:t>
            </w:r>
          </w:p>
        </w:tc>
        <w:tc>
          <w:tcPr>
            <w:tcW w:type="dxa" w:w="3389"/>
            <w:vAlign w:val="center"/>
          </w:tcPr>
          <w:p>
            <w:pPr>
              <w:spacing w:after="0"/>
            </w:pPr>
            <w:r/>
            <w:r>
              <w:rPr>
                <w:sz w:val="16"/>
              </w:rPr>
              <w:t>No blanket compliance claim</w:t>
            </w:r>
          </w:p>
        </w:tc>
      </w:tr>
    </w:tbl>
    <w:p>
      <w:pPr>
        <w:spacing w:after="0"/>
      </w:pPr>
    </w:p>
    <w:p>
      <w:pPr>
        <w:spacing w:after="100" w:line="259" w:lineRule="auto"/>
      </w:pPr>
      <w:r>
        <w:rPr>
          <w:sz w:val="19"/>
        </w:rPr>
        <w:t>DPDP, GDPR, SOC 2, ISO/IEC 27001, CERT-In expectations, employment-data obligations, and payment responsibilities depend on scope, roles, geography, subprocessors, retention, contracts, and actual controls. Formiva must not claim compliance from this plan or architecture alone. The trust gate includes data mapping, tenant-isolation tests, access review, signed URL controls, retention/deletion tests, encrypted backup and restore, incident response, secret rotation, model/version audit, and independent assessment where appropriate.</w:t>
      </w:r>
    </w:p>
    <w:p>
      <w:pPr>
        <w:pStyle w:val="Heading1"/>
      </w:pPr>
      <w:r>
        <w:t>15. New assumptions introduced by this document</w:t>
      </w:r>
    </w:p>
    <w:p>
      <w:pPr>
        <w:spacing w:after="100" w:line="259" w:lineRule="auto"/>
      </w:pPr>
      <w:r>
        <w:rPr>
          <w:sz w:val="19"/>
        </w:rPr>
        <w:t>The following are explicitly introduced or operationalized by this redesigned plan and are not asserted as facts in the approved inputs:</w:t>
      </w:r>
    </w:p>
    <w:p>
      <w:pPr>
        <w:pStyle w:val="ListNumber"/>
        <w:spacing w:after="40"/>
      </w:pPr>
      <w:r>
        <w:rPr>
          <w:b/>
          <w:sz w:val="18"/>
        </w:rPr>
        <w:t>New document assumption — monthly management cadence:</w:t>
      </w:r>
      <w:r>
        <w:rPr>
          <w:sz w:val="18"/>
        </w:rPr>
        <w:t xml:space="preserve"> operating metrics and scenario ranges will be reviewed monthly, with the bottom-up market model refreshed quarterly.</w:t>
      </w:r>
    </w:p>
    <w:p>
      <w:pPr>
        <w:pStyle w:val="ListNumber"/>
        <w:spacing w:after="40"/>
      </w:pPr>
      <w:r>
        <w:rPr>
          <w:b/>
          <w:sz w:val="18"/>
        </w:rPr>
        <w:t>New document assumption — cost allocation method:</w:t>
      </w:r>
      <w:r>
        <w:rPr>
          <w:sz w:val="18"/>
        </w:rPr>
        <w:t xml:space="preserve"> cost per case will allocate shared compute, storage, network, provider, retry, and human-review costs by measured workflow volume and case complexity.</w:t>
      </w:r>
    </w:p>
    <w:p>
      <w:pPr>
        <w:pStyle w:val="ListNumber"/>
        <w:spacing w:after="40"/>
      </w:pPr>
      <w:r>
        <w:rPr>
          <w:b/>
          <w:sz w:val="18"/>
        </w:rPr>
        <w:t>New document assumption — three-stage sales evidence:</w:t>
      </w:r>
      <w:r>
        <w:rPr>
          <w:sz w:val="18"/>
        </w:rPr>
        <w:t xml:space="preserve"> a diagnostic, a time-boxed pilot, and a paid conversion are the minimum commercial sequence for the beachhead.</w:t>
      </w:r>
    </w:p>
    <w:p>
      <w:pPr>
        <w:pStyle w:val="ListNumber"/>
        <w:spacing w:after="40"/>
      </w:pPr>
      <w:r>
        <w:rPr>
          <w:b/>
          <w:sz w:val="18"/>
        </w:rPr>
        <w:t>New document assumption — pricing test sample:</w:t>
      </w:r>
      <w:r>
        <w:rPr>
          <w:sz w:val="18"/>
        </w:rPr>
        <w:t xml:space="preserve"> 15–20 willingness-to-pay interviews per segment will precede price lock; this is a validation design, not a market fact.</w:t>
      </w:r>
    </w:p>
    <w:p>
      <w:pPr>
        <w:pStyle w:val="ListNumber"/>
        <w:spacing w:after="40"/>
      </w:pPr>
      <w:r>
        <w:rPr>
          <w:b/>
          <w:sz w:val="18"/>
        </w:rPr>
        <w:t>New document assumption — management definition of activation:</w:t>
      </w:r>
      <w:r>
        <w:rPr>
          <w:sz w:val="18"/>
        </w:rPr>
        <w:t xml:space="preserve"> activation means an account completes its first configured production-intent case within 14 days, subject to the pilot’s approved data policy.</w:t>
      </w:r>
    </w:p>
    <w:p>
      <w:pPr>
        <w:pStyle w:val="ListNumber"/>
        <w:spacing w:after="40"/>
      </w:pPr>
      <w:r>
        <w:rPr>
          <w:b/>
          <w:sz w:val="18"/>
        </w:rPr>
        <w:t>New document assumption — support allocation:</w:t>
      </w:r>
      <w:r>
        <w:rPr>
          <w:sz w:val="18"/>
        </w:rPr>
        <w:t xml:space="preserve"> review and support minutes will be treated as variable contribution costs even when performed by the founder.</w:t>
      </w:r>
    </w:p>
    <w:p>
      <w:pPr>
        <w:pStyle w:val="ListNumber"/>
        <w:spacing w:after="40"/>
      </w:pPr>
      <w:r>
        <w:rPr>
          <w:b/>
          <w:sz w:val="18"/>
        </w:rPr>
        <w:t>New document assumption — expansion evidence:</w:t>
      </w:r>
      <w:r>
        <w:rPr>
          <w:sz w:val="18"/>
        </w:rPr>
        <w:t xml:space="preserve"> written requests for a second workflow count as demand signals but do not replace paid or usage gates.</w:t>
      </w:r>
    </w:p>
    <w:p>
      <w:pPr>
        <w:pStyle w:val="Heading1"/>
      </w:pPr>
      <w:r>
        <w:t>16. Future fundraising/exit readiness — not yet started</w:t>
      </w:r>
    </w:p>
    <w:p>
      <w:pPr>
        <w:spacing w:after="100" w:line="259" w:lineRule="auto"/>
      </w:pPr>
      <w:r>
        <w:rPr>
          <w:sz w:val="19"/>
        </w:rPr>
        <w:t>Before an investor or acquirer document is worth writing, Formiva needs exactly this traction evidence:</w:t>
      </w:r>
    </w:p>
    <w:p>
      <w:pPr>
        <w:pStyle w:val="ListNumber"/>
        <w:spacing w:after="40"/>
      </w:pPr>
      <w:r>
        <w:rPr>
          <w:b/>
          <w:sz w:val="18"/>
        </w:rPr>
        <w:t>Paid logos:</w:t>
      </w:r>
      <w:r>
        <w:rPr>
          <w:sz w:val="18"/>
        </w:rPr>
        <w:t xml:space="preserve"> a verified count of paying organizations, with plan, start date, cohort, and expansion history.</w:t>
      </w:r>
    </w:p>
    <w:p>
      <w:pPr>
        <w:pStyle w:val="ListNumber"/>
        <w:spacing w:after="40"/>
      </w:pPr>
      <w:r>
        <w:rPr>
          <w:b/>
          <w:sz w:val="18"/>
        </w:rPr>
        <w:t>Retention %:</w:t>
      </w:r>
      <w:r>
        <w:rPr>
          <w:sz w:val="18"/>
        </w:rPr>
        <w:t xml:space="preserve"> logo and workflow retention percentages by cohort, including month-three and month-six definitions.</w:t>
      </w:r>
    </w:p>
    <w:p>
      <w:pPr>
        <w:pStyle w:val="ListNumber"/>
        <w:spacing w:after="40"/>
      </w:pPr>
      <w:r>
        <w:rPr>
          <w:b/>
          <w:sz w:val="18"/>
        </w:rPr>
        <w:t>Activation %:</w:t>
      </w:r>
      <w:r>
        <w:rPr>
          <w:sz w:val="18"/>
        </w:rPr>
        <w:t xml:space="preserve"> the measured percentage of new accounts reaching the agreed activation event within 14 days.</w:t>
      </w:r>
    </w:p>
    <w:p>
      <w:pPr>
        <w:pStyle w:val="ListNumber"/>
        <w:spacing w:after="40"/>
      </w:pPr>
      <w:r>
        <w:rPr>
          <w:b/>
          <w:sz w:val="18"/>
        </w:rPr>
        <w:t>Case studies:</w:t>
      </w:r>
      <w:r>
        <w:rPr>
          <w:sz w:val="18"/>
        </w:rPr>
        <w:t xml:space="preserve"> customer-approved case studies with baseline, measured time-to-completion or rework improvement, workflow scope, and implementation context.</w:t>
      </w:r>
    </w:p>
    <w:p>
      <w:pPr>
        <w:pStyle w:val="ListNumber"/>
        <w:spacing w:after="40"/>
      </w:pPr>
      <w:r>
        <w:rPr>
          <w:b/>
          <w:sz w:val="18"/>
        </w:rPr>
        <w:t>Cost-per-case data:</w:t>
      </w:r>
      <w:r>
        <w:rPr>
          <w:sz w:val="18"/>
        </w:rPr>
        <w:t xml:space="preserve"> attributable provider, infrastructure, AI/OCR, storage, retry, and human-review cost per case by workflow and customer cohort.</w:t>
      </w:r>
    </w:p>
    <w:p>
      <w:pPr>
        <w:pStyle w:val="Heading1"/>
      </w:pPr>
      <w:r>
        <w:t>17. References</w:t>
      </w:r>
    </w:p>
    <w:p>
      <w:pPr>
        <w:spacing w:after="100" w:line="259" w:lineRule="auto"/>
      </w:pPr>
      <w:r>
        <w:rPr>
          <w:color w:val="1F4E79"/>
          <w:sz w:val="19"/>
        </w:rPr>
        <w:t>[1]</w:t>
      </w:r>
      <w:r>
        <w:rPr>
          <w:sz w:val="19"/>
        </w:rPr>
        <w:t>: https://www.formstack.com/products/workflows "Formstack workflow product information"</w:t>
      </w:r>
    </w:p>
    <w:p>
      <w:pPr>
        <w:spacing w:after="100" w:line="259" w:lineRule="auto"/>
      </w:pPr>
      <w:r>
        <w:rPr>
          <w:color w:val="1F4E79"/>
          <w:sz w:val="19"/>
        </w:rPr>
        <w:t>[2]</w:t>
      </w:r>
      <w:r>
        <w:rPr>
          <w:sz w:val="19"/>
        </w:rPr>
        <w:t>: https://www.jotform.com/products/approvals/ "Jotform approvals and workflow product information"</w:t>
      </w:r>
    </w:p>
    <w:p>
      <w:pPr>
        <w:spacing w:after="100" w:line="259" w:lineRule="auto"/>
      </w:pPr>
      <w:r>
        <w:rPr>
          <w:color w:val="1F4E79"/>
          <w:sz w:val="19"/>
        </w:rPr>
        <w:t>[3]</w:t>
      </w:r>
      <w:r>
        <w:rPr>
          <w:sz w:val="19"/>
        </w:rPr>
        <w:t>: https://www.typeform.com/ "Typeform product information"</w:t>
      </w:r>
    </w:p>
    <w:p>
      <w:pPr>
        <w:spacing w:after="100" w:line="259" w:lineRule="auto"/>
      </w:pPr>
      <w:r>
        <w:rPr>
          <w:color w:val="1F4E79"/>
          <w:sz w:val="19"/>
        </w:rPr>
        <w:t>[4]</w:t>
      </w:r>
      <w:r>
        <w:rPr>
          <w:sz w:val="19"/>
        </w:rPr>
        <w:t>: https://zapier.com/products/interfaces "Zapier interfaces and automation product information"</w:t>
      </w:r>
    </w:p>
    <w:p>
      <w:pPr>
        <w:spacing w:after="100" w:line="259" w:lineRule="auto"/>
      </w:pPr>
      <w:r>
        <w:rPr>
          <w:color w:val="1F4E79"/>
          <w:sz w:val="19"/>
        </w:rPr>
        <w:t>[5]</w:t>
      </w:r>
      <w:r>
        <w:rPr>
          <w:sz w:val="19"/>
        </w:rPr>
        <w:t>: https://www.formsflow.ai/ "Formsflow.ai product information"</w:t>
      </w:r>
    </w:p>
    <w:p>
      <w:pPr>
        <w:spacing w:after="100" w:line="259" w:lineRule="auto"/>
      </w:pPr>
      <w:r>
        <w:rPr>
          <w:color w:val="1F4E79"/>
          <w:sz w:val="19"/>
        </w:rPr>
        <w:t>[6]</w:t>
      </w:r>
      <w:r>
        <w:rPr>
          <w:sz w:val="19"/>
        </w:rPr>
        <w:t>: https://www.microsoft.com/en-us/power-platform/products/power-automate "Microsoft Power Automate product information"</w:t>
      </w:r>
    </w:p>
    <w:p>
      <w:pPr>
        <w:spacing w:after="100" w:line="259" w:lineRule="auto"/>
      </w:pPr>
      <w:r>
        <w:rPr>
          <w:color w:val="1F4E79"/>
          <w:sz w:val="19"/>
        </w:rPr>
        <w:t>[7]</w:t>
      </w:r>
      <w:r>
        <w:rPr>
          <w:sz w:val="19"/>
        </w:rPr>
        <w:t>: https://www.uipath.com/product/document-understanding "UiPath Document Understanding product information"</w:t>
      </w:r>
    </w:p>
    <w:p>
      <w:pPr>
        <w:spacing w:after="100" w:line="259" w:lineRule="auto"/>
      </w:pPr>
      <w:r>
        <w:rPr>
          <w:color w:val="1F4E79"/>
          <w:sz w:val="19"/>
        </w:rPr>
        <w:t>[8]</w:t>
      </w:r>
      <w:r>
        <w:rPr>
          <w:sz w:val="19"/>
        </w:rPr>
        <w:t>: Formiva Technical Documentation v2.0 (internal) "Approved Formiva CaseFlow technical documentation"</w:t>
      </w:r>
    </w:p>
    <w:p>
      <w:pPr>
        <w:spacing w:after="100" w:line="259" w:lineRule="auto"/>
      </w:pPr>
      <w:r>
        <w:rPr>
          <w:color w:val="1F4E79"/>
          <w:sz w:val="19"/>
        </w:rPr>
        <w:t>[9]</w:t>
      </w:r>
      <w:r>
        <w:rPr>
          <w:sz w:val="19"/>
        </w:rPr>
        <w:t>: https://business.whatsapp.com/products/platform-pricing "WhatsApp Business Platform pricing information"</w:t>
      </w:r>
    </w:p>
    <w:p>
      <w:pPr>
        <w:spacing w:after="100" w:line="259" w:lineRule="auto"/>
      </w:pPr>
      <w:r>
        <w:rPr>
          <w:color w:val="1F4E79"/>
          <w:sz w:val="19"/>
        </w:rPr>
        <w:t>[10]</w:t>
      </w:r>
      <w:r>
        <w:rPr>
          <w:sz w:val="19"/>
        </w:rPr>
        <w:t>: https://www.meity.gov.in/data-protection-framework "India data protection framework"</w:t>
      </w:r>
    </w:p>
    <w:p>
      <w:pPr>
        <w:spacing w:after="100" w:line="259" w:lineRule="auto"/>
      </w:pPr>
      <w:r>
        <w:rPr>
          <w:color w:val="1F4E79"/>
          <w:sz w:val="19"/>
        </w:rPr>
        <w:t>[11]</w:t>
      </w:r>
      <w:r>
        <w:rPr>
          <w:sz w:val="19"/>
        </w:rPr>
        <w:t>: https://www.cert-in.org.in/ "Indian Computer Emergency Response Team guidance"</w:t>
      </w:r>
    </w:p>
    <w:p>
      <w:pPr>
        <w:spacing w:after="100" w:line="259" w:lineRule="auto"/>
      </w:pPr>
      <w:r>
        <w:rPr>
          <w:color w:val="1F4E79"/>
          <w:sz w:val="19"/>
        </w:rPr>
        <w:t>[12]</w:t>
      </w:r>
      <w:r>
        <w:rPr>
          <w:sz w:val="19"/>
        </w:rPr>
        <w:t>: https://gdpr.eu/article-5-how-to-process-personal-data/ "General Data Protection Regulation principles"</w:t>
      </w:r>
    </w:p>
    <w:p>
      <w:pPr>
        <w:spacing w:after="100" w:line="259" w:lineRule="auto"/>
      </w:pPr>
      <w:r>
        <w:rPr>
          <w:color w:val="1F4E79"/>
          <w:sz w:val="19"/>
        </w:rPr>
        <w:t>[13]</w:t>
      </w:r>
      <w:r>
        <w:rPr>
          <w:sz w:val="19"/>
        </w:rPr>
        <w:t>: https://www.aicpa-cima.com/resources/landing/system-and-organization-controls-soc-suite-of-services "AICPA SOC services information"</w:t>
      </w:r>
    </w:p>
    <w:p>
      <w:pPr>
        <w:spacing w:after="100" w:line="259" w:lineRule="auto"/>
      </w:pPr>
      <w:r>
        <w:rPr>
          <w:color w:val="1F4E79"/>
          <w:sz w:val="19"/>
        </w:rPr>
        <w:t>[14]</w:t>
      </w:r>
      <w:r>
        <w:rPr>
          <w:sz w:val="19"/>
        </w:rPr>
        <w:t>: Formiva Technical Documentation v2.0 (internal) "Approved Formiva CaseFlow architecture baseline"</w:t>
      </w:r>
    </w:p>
    <w:p>
      <w:pPr>
        <w:spacing w:after="100" w:line="259" w:lineRule="auto"/>
      </w:pPr>
      <w:r>
        <w:rPr>
          <w:color w:val="1F4E79"/>
          <w:sz w:val="19"/>
        </w:rPr>
        <w:t>[15]</w:t>
      </w:r>
      <w:r>
        <w:rPr>
          <w:sz w:val="19"/>
        </w:rPr>
        <w:t>: Formiva Coding Plan, Roadmap &amp; Build Manual (internal) "Approved Formiva coding plan and roadmap"</w:t>
      </w:r>
    </w:p>
    <w:p>
      <w:pPr>
        <w:spacing w:after="100" w:line="259" w:lineRule="auto"/>
      </w:pPr>
      <w:r>
        <w:rPr>
          <w:color w:val="1F4E79"/>
          <w:sz w:val="19"/>
        </w:rPr>
        <w:t>[16]</w:t>
      </w:r>
      <w:r>
        <w:rPr>
          <w:sz w:val="19"/>
        </w:rPr>
        <w:t>: https://vercel.com/docs "Vercel documentation"</w:t>
      </w:r>
    </w:p>
    <w:p>
      <w:pPr>
        <w:spacing w:after="100" w:line="259" w:lineRule="auto"/>
      </w:pPr>
      <w:r>
        <w:rPr>
          <w:color w:val="1F4E79"/>
          <w:sz w:val="19"/>
        </w:rPr>
        <w:t>[17]</w:t>
      </w:r>
      <w:r>
        <w:rPr>
          <w:sz w:val="19"/>
        </w:rPr>
        <w:t>: https://www.oracle.com/cloud/compute/ "Oracle Cloud Infrastructure Compute information"</w:t>
      </w:r>
    </w:p>
    <w:p>
      <w:pPr>
        <w:spacing w:after="100" w:line="259" w:lineRule="auto"/>
      </w:pPr>
      <w:r>
        <w:rPr>
          <w:color w:val="1F4E79"/>
          <w:sz w:val="19"/>
        </w:rPr>
        <w:t>[18]</w:t>
      </w:r>
      <w:r>
        <w:rPr>
          <w:sz w:val="19"/>
        </w:rPr>
        <w:t>: https://developers.cloudflare.com/r2/ "Cloudflare R2 documentation"</w:t>
      </w:r>
    </w:p>
    <w:p>
      <w:pPr>
        <w:spacing w:after="100" w:line="259" w:lineRule="auto"/>
      </w:pPr>
      <w:r>
        <w:rPr>
          <w:color w:val="1F4E79"/>
          <w:sz w:val="19"/>
        </w:rPr>
        <w:t>[19]</w:t>
      </w:r>
      <w:r>
        <w:rPr>
          <w:sz w:val="19"/>
        </w:rPr>
        <w:t>: https://developers.cloudflare.com/cloudflare-one/connections/connect-networks/ "Cloudflare Tunnel and Access documentation"</w:t>
      </w:r>
    </w:p>
    <w:p>
      <w:pPr>
        <w:spacing w:after="100" w:line="259" w:lineRule="auto"/>
      </w:pPr>
      <w:r>
        <w:rPr>
          <w:color w:val="1F4E79"/>
          <w:sz w:val="19"/>
        </w:rPr>
        <w:t>[20]</w:t>
      </w:r>
      <w:r>
        <w:rPr>
          <w:sz w:val="19"/>
        </w:rPr>
        <w:t>: https://clerk.com/docs "Clerk documentation"</w:t>
      </w:r>
    </w:p>
    <w:p>
      <w:pPr>
        <w:spacing w:after="100" w:line="259" w:lineRule="auto"/>
      </w:pPr>
      <w:r>
        <w:rPr>
          <w:color w:val="1F4E79"/>
          <w:sz w:val="19"/>
        </w:rPr>
        <w:t>[21]</w:t>
      </w:r>
      <w:r>
        <w:rPr>
          <w:sz w:val="19"/>
        </w:rPr>
        <w:t>: https://resend.com/docs "Resend documentation"</w:t>
      </w:r>
    </w:p>
    <w:p>
      <w:pPr>
        <w:spacing w:after="100" w:line="259" w:lineRule="auto"/>
      </w:pPr>
      <w:r>
        <w:rPr>
          <w:color w:val="1F4E79"/>
          <w:sz w:val="19"/>
        </w:rPr>
        <w:t>[22]</w:t>
      </w:r>
      <w:r>
        <w:rPr>
          <w:sz w:val="19"/>
        </w:rPr>
        <w:t>: https://razorpay.com/docs/ "Razorpay documentation"</w:t>
      </w:r>
    </w:p>
    <w:p>
      <w:pPr>
        <w:spacing w:after="100" w:line="259" w:lineRule="auto"/>
      </w:pPr>
      <w:r>
        <w:rPr>
          <w:color w:val="1F4E79"/>
          <w:sz w:val="19"/>
        </w:rPr>
        <w:t>[23]</w:t>
      </w:r>
      <w:r>
        <w:rPr>
          <w:sz w:val="19"/>
        </w:rPr>
        <w:t>: Formiva Research Synthesis (internal) "Approved Formiva research synthesis"</w:t>
      </w:r>
    </w:p>
    <w:p>
      <w:pPr>
        <w:spacing w:after="100" w:line="259" w:lineRule="auto"/>
      </w:pPr>
      <w:r>
        <w:rPr>
          <w:color w:val="1F4E79"/>
          <w:sz w:val="19"/>
        </w:rPr>
        <w:t>[24]</w:t>
      </w:r>
      <w:r>
        <w:rPr>
          <w:sz w:val="19"/>
        </w:rPr>
        <w:t>: Formiva Research Evidence Register (internal) "Approved Formiva research evidence register"</w:t>
      </w:r>
    </w:p>
    <w:p>
      <w:pPr>
        <w:spacing w:after="100" w:line="259" w:lineRule="auto"/>
      </w:pPr>
      <w:r>
        <w:rPr>
          <w:color w:val="1F4E79"/>
          <w:sz w:val="19"/>
        </w:rPr>
        <w:t>[25]</w:t>
      </w:r>
      <w:r>
        <w:rPr>
          <w:sz w:val="19"/>
        </w:rPr>
        <w:t>: Formiva Database Planning, Architecture &amp; Schema (internal) "Approved Formiva database planning and schema"</w:t>
      </w:r>
    </w:p>
    <w:p>
      <w:pPr>
        <w:ind w:left="360"/>
      </w:pPr>
      <w:r>
        <w:rPr>
          <w:i/>
          <w:color w:val="1F4E79"/>
          <w:sz w:val="19"/>
        </w:rPr>
        <w:t>**Reference note:** Local references are approved internal inputs. Provider prices, limits, terms, and public capabilities are time-sensitive vendor claims and require verification before external publication or commercial commitment.</w:t>
      </w:r>
    </w:p>
    <w:p>
      <w:pPr>
        <w:ind w:left="360"/>
      </w:pPr>
      <w:r>
        <w:rPr>
          <w:i/>
          <w:color w:val="1F4E79"/>
          <w:sz w:val="19"/>
        </w:rPr>
        <w:t>**Document integrity note:** This draft does not alter any approved input document. It consolidates and operationalizes those inputs for the Formiva 2.0 strategy.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FORMIVA 2.0  |  FORMIVA 2.0 REDESIGNED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Formiva 2.0 Redesigned Business Plan</dc:title>
  <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