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Formiva 2.0 Standard Operating Procedures</w:t>
      </w:r>
    </w:p>
    <w:p>
      <w:pPr>
        <w:jc w:val="center"/>
      </w:pPr>
      <w:r>
        <w:rPr>
          <w:color w:val="2F5597"/>
          <w:sz w:val="26"/>
        </w:rPr>
        <w:t>Founder and Operator Runbook</w:t>
      </w:r>
    </w:p>
    <w:p/>
    <w:p/>
    <w:p>
      <w:pPr>
        <w:jc w:val="center"/>
      </w:pPr>
      <w:r>
        <w:rPr>
          <w:color w:val="646464"/>
          <w:sz w:val="20"/>
        </w:rPr>
        <w:t>Prepared by Manus AI | September 2026</w:t>
      </w:r>
    </w:p>
    <w:p>
      <w:pPr>
        <w:jc w:val="center"/>
      </w:pPr>
      <w:r>
        <w:rPr>
          <w:i/>
          <w:sz w:val="18"/>
        </w:rPr>
        <w:t>Confidential internal planning document</w:t>
      </w:r>
    </w:p>
    <w:p>
      <w:r>
        <w:br w:type="page"/>
      </w:r>
    </w:p>
    <w:p>
      <w:pPr>
        <w:pStyle w:val="Heading1"/>
      </w:pPr>
      <w:r>
        <w:t>Table of Contents</w:t>
      </w:r>
    </w:p>
    <w:p>
      <w:fldSimple w:instr="TOC \o &quot;1-3&quot; \h \z \u"/>
    </w:p>
    <w:p>
      <w:pPr>
        <w:spacing w:after="80"/>
      </w:pPr>
      <w:r>
        <w:t>The table of contents is a clickable Word field. If page numbers do not appear immediately, open the document in Microsoft Word, select the table, and choose Update Field.</w:t>
      </w:r>
    </w:p>
    <w:p>
      <w:pPr>
        <w:spacing w:after="80"/>
      </w:pPr>
      <w:r>
        <w:rPr>
          <w:b/>
        </w:rPr>
        <w:t>Version 2.1 patch note (20 September 2026): this document was updated to match the twelve architecture decision records in the Formiva 2.0 Plan Review and Change Register. Main changes: PostgreSQL and backups run on VM1 and VM2 is AI-only; PostgreSQL dispatches jobs; REST with OpenAPI; Pay-As-You-Go infrastructure; visual editor and extra adapters are gated behind three paid pilots.</w:t>
      </w:r>
    </w:p>
    <w:p>
      <w:pPr>
        <w:spacing w:after="100" w:line="259" w:lineRule="auto"/>
      </w:pPr>
      <w:r>
        <w:rPr>
          <w:b/>
          <w:sz w:val="19"/>
        </w:rPr>
        <w:t>Product:</w:t>
      </w:r>
      <w:r>
        <w:rPr>
          <w:sz w:val="19"/>
        </w:rPr>
        <w:t xml:space="preserve"> Formiva CaseFlow  </w:t>
      </w:r>
    </w:p>
    <w:p>
      <w:pPr>
        <w:spacing w:after="100" w:line="259" w:lineRule="auto"/>
      </w:pPr>
      <w:r>
        <w:rPr>
          <w:b/>
          <w:sz w:val="19"/>
        </w:rPr>
        <w:t>Launch workflow:</w:t>
      </w:r>
      <w:r>
        <w:rPr>
          <w:sz w:val="19"/>
        </w:rPr>
        <w:t xml:space="preserve"> Employee onboarding and document collection  </w:t>
      </w:r>
    </w:p>
    <w:p>
      <w:pPr>
        <w:spacing w:after="100" w:line="259" w:lineRule="auto"/>
      </w:pPr>
      <w:r>
        <w:rPr>
          <w:b/>
          <w:sz w:val="19"/>
        </w:rPr>
        <w:t>Audience:</w:t>
      </w:r>
      <w:r>
        <w:rPr>
          <w:sz w:val="19"/>
        </w:rPr>
        <w:t xml:space="preserve"> Non-developer founder or designated operator  </w:t>
      </w:r>
    </w:p>
    <w:p>
      <w:pPr>
        <w:spacing w:after="100" w:line="259" w:lineRule="auto"/>
      </w:pPr>
      <w:r>
        <w:rPr>
          <w:b/>
          <w:sz w:val="19"/>
        </w:rPr>
        <w:t>Status:</w:t>
      </w:r>
      <w:r>
        <w:rPr>
          <w:sz w:val="19"/>
        </w:rPr>
        <w:t xml:space="preserve"> Operational draft based only on the approved Formiva planning inputs  </w:t>
      </w:r>
    </w:p>
    <w:p>
      <w:pPr>
        <w:spacing w:after="100" w:line="259" w:lineRule="auto"/>
      </w:pPr>
      <w:r>
        <w:rPr>
          <w:b/>
          <w:sz w:val="19"/>
        </w:rPr>
        <w:t>Scope boundary:</w:t>
      </w:r>
      <w:r>
        <w:rPr>
          <w:sz w:val="19"/>
        </w:rPr>
        <w:t xml:space="preserve"> This document describes a planned operating model. It does not claim that the system is implemented, deployed, compliant, highly available, or production-ready.</w:t>
      </w:r>
    </w:p>
    <w:p>
      <w:pPr>
        <w:pStyle w:val="Heading1"/>
      </w:pPr>
      <w:r>
        <w:t>1. How to use this SOP</w:t>
      </w:r>
    </w:p>
    <w:p>
      <w:pPr>
        <w:spacing w:after="100" w:line="259" w:lineRule="auto"/>
      </w:pPr>
      <w:r>
        <w:rPr>
          <w:sz w:val="19"/>
        </w:rPr>
        <w:t>Use this SOP when operating, changing, diagnosing, recovering, or approving the Formiva CaseFlow baseline. Follow the procedure from top to bottom. Do not skip a failed check, convert a timeout into an approval, delete a failed job, or add a provider or server that is not in the approved baseline.</w:t>
      </w:r>
    </w:p>
    <w:p>
      <w:pPr>
        <w:spacing w:after="100" w:line="259" w:lineRule="auto"/>
      </w:pPr>
      <w:r>
        <w:rPr>
          <w:sz w:val="19"/>
        </w:rPr>
        <w:t xml:space="preserve">The baseline is a Vercel-hosted Next.js/React frontend; Clerk identity; a Node.js/TypeScript API, workflow worker, scheduler, and integration worker, PostgreSQL, and backups on OCI VM1; a Python FastAPI CPU-only AI Engine alone on OCI VM2; Cloudflare R2 for ordinary uploaded objects; Cloudflare Tunnel/Access for private service access; and Resend for email. The launch workflow is employee onboarding and document collection for Indian IT and professional-services firms with 10–100 employees. </w:t>
      </w:r>
      <w:r>
        <w:rPr>
          <w:color w:val="1F4E79"/>
          <w:sz w:val="19"/>
        </w:rPr>
        <w:t>[1]</w:t>
      </w:r>
      <w:r>
        <w:rPr>
          <w:sz w:val="19"/>
        </w:rPr>
        <w:t xml:space="preserve"> </w:t>
      </w:r>
      <w:r>
        <w:rPr>
          <w:color w:val="1F4E79"/>
          <w:sz w:val="19"/>
        </w:rPr>
        <w:t>[2]</w:t>
      </w:r>
      <w:r>
        <w:rPr>
          <w:sz w:val="19"/>
        </w:rPr>
        <w:t xml:space="preserve"> </w:t>
      </w:r>
      <w:r>
        <w:rPr>
          <w:color w:val="1F4E79"/>
          <w:sz w:val="19"/>
        </w:rPr>
        <w:t>[3]</w:t>
      </w:r>
      <w:r>
        <w:rPr>
          <w:sz w:val="19"/>
        </w:rPr>
        <w:t xml:space="preserve"> </w:t>
      </w:r>
      <w:r>
        <w:rPr>
          <w:color w:val="1F4E79"/>
          <w:sz w:val="19"/>
        </w:rPr>
        <w:t>[4]</w:t>
      </w:r>
    </w:p>
    <w:p>
      <w:pPr>
        <w:spacing w:after="100" w:line="259" w:lineRule="auto"/>
      </w:pPr>
      <w:r>
        <w:rPr>
          <w:sz w:val="19"/>
        </w:rPr>
        <w:t xml:space="preserve">PostgreSQL is the durable source of truth. PostgreSQL dispatches jobs with leases; Valkey, if deployed, is limited to cache, rate limits and short-lived locking and is never the only copy of queue state. R2 stores ordinary large binaries, while PostgreSQL stores object metadata, hashes, evidence references, and retention state. Every command must derive </w:t>
      </w:r>
      <w:r>
        <w:rPr>
          <w:rFonts w:ascii="Courier New" w:hAnsi="Courier New"/>
          <w:sz w:val="19"/>
        </w:rPr>
        <w:t>workspace_id</w:t>
      </w:r>
      <w:r>
        <w:rPr>
          <w:sz w:val="19"/>
        </w:rPr>
        <w:t xml:space="preserve"> from authenticated membership and role; a client-supplied workspace identifier is not trusted. </w:t>
      </w:r>
      <w:r>
        <w:rPr>
          <w:color w:val="1F4E79"/>
          <w:sz w:val="19"/>
        </w:rPr>
        <w:t>[2]</w:t>
      </w:r>
      <w:r>
        <w:rPr>
          <w:sz w:val="19"/>
        </w:rPr>
        <w:t xml:space="preserve"> </w:t>
      </w:r>
      <w:r>
        <w:rPr>
          <w:color w:val="1F4E79"/>
          <w:sz w:val="19"/>
        </w:rPr>
        <w:t>[3]</w:t>
      </w:r>
    </w:p>
    <w:p>
      <w:pPr>
        <w:pStyle w:val="Heading2"/>
      </w:pPr>
      <w:r>
        <w:t>1.1 Operator vocabulary</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pPr>
              <w:spacing w:after="0"/>
            </w:pPr>
            <w:r>
              <w:rPr>
                <w:b/>
                <w:color w:val="FFFFFF"/>
              </w:rPr>
            </w:r>
            <w:r>
              <w:rPr>
                <w:b/>
                <w:color w:val="FFFFFF"/>
                <w:sz w:val="16"/>
              </w:rPr>
              <w:t>Term</w:t>
            </w:r>
          </w:p>
        </w:tc>
        <w:tc>
          <w:tcPr>
            <w:tcW w:type="dxa" w:w="5083"/>
            <w:shd w:fill="1F4E79"/>
            <w:vAlign w:val="center"/>
          </w:tcPr>
          <w:p>
            <w:pPr>
              <w:spacing w:after="0"/>
            </w:pPr>
            <w:r>
              <w:rPr>
                <w:b/>
                <w:color w:val="FFFFFF"/>
              </w:rPr>
            </w:r>
            <w:r>
              <w:rPr>
                <w:b/>
                <w:color w:val="FFFFFF"/>
                <w:sz w:val="16"/>
              </w:rPr>
              <w:t>Meaning in this SOP</w:t>
            </w:r>
          </w:p>
        </w:tc>
      </w:tr>
      <w:tr>
        <w:tc>
          <w:tcPr>
            <w:tcW w:type="dxa" w:w="5083"/>
            <w:vAlign w:val="center"/>
          </w:tcPr>
          <w:p>
            <w:pPr>
              <w:spacing w:after="0"/>
            </w:pPr>
            <w:r/>
            <w:r>
              <w:rPr>
                <w:sz w:val="16"/>
              </w:rPr>
              <w:t>Case</w:t>
            </w:r>
          </w:p>
        </w:tc>
        <w:tc>
          <w:tcPr>
            <w:tcW w:type="dxa" w:w="5083"/>
            <w:vAlign w:val="center"/>
          </w:tcPr>
          <w:p>
            <w:pPr>
              <w:spacing w:after="0"/>
            </w:pPr>
            <w:r/>
            <w:r>
              <w:rPr>
                <w:sz w:val="16"/>
              </w:rPr>
              <w:t>The durable record created from a submission.</w:t>
            </w:r>
          </w:p>
        </w:tc>
      </w:tr>
      <w:tr>
        <w:tc>
          <w:tcPr>
            <w:tcW w:type="dxa" w:w="5083"/>
            <w:shd w:fill="EAF2F8"/>
            <w:vAlign w:val="center"/>
          </w:tcPr>
          <w:p>
            <w:pPr>
              <w:spacing w:after="0"/>
            </w:pPr>
            <w:r/>
            <w:r>
              <w:rPr>
                <w:sz w:val="16"/>
              </w:rPr>
              <w:t>Durable job</w:t>
            </w:r>
          </w:p>
        </w:tc>
        <w:tc>
          <w:tcPr>
            <w:tcW w:type="dxa" w:w="5083"/>
            <w:shd w:fill="EAF2F8"/>
            <w:vAlign w:val="center"/>
          </w:tcPr>
          <w:p>
            <w:pPr>
              <w:spacing w:after="0"/>
            </w:pPr>
            <w:r/>
            <w:r>
              <w:rPr>
                <w:sz w:val="16"/>
              </w:rPr>
              <w:t>A PostgreSQL job row created before queue publication.</w:t>
            </w:r>
          </w:p>
        </w:tc>
      </w:tr>
      <w:tr>
        <w:tc>
          <w:tcPr>
            <w:tcW w:type="dxa" w:w="5083"/>
            <w:vAlign w:val="center"/>
          </w:tcPr>
          <w:p>
            <w:pPr>
              <w:spacing w:after="0"/>
            </w:pPr>
            <w:r/>
            <w:r>
              <w:rPr>
                <w:sz w:val="16"/>
              </w:rPr>
              <w:t>Queue age</w:t>
            </w:r>
          </w:p>
        </w:tc>
        <w:tc>
          <w:tcPr>
            <w:tcW w:type="dxa" w:w="5083"/>
            <w:vAlign w:val="center"/>
          </w:tcPr>
          <w:p>
            <w:pPr>
              <w:spacing w:after="0"/>
            </w:pPr>
            <w:r/>
            <w:r>
              <w:rPr>
                <w:sz w:val="16"/>
              </w:rPr>
              <w:t>The age of the oldest queued or lease-expired job that still needs work.</w:t>
            </w:r>
          </w:p>
        </w:tc>
      </w:tr>
      <w:tr>
        <w:tc>
          <w:tcPr>
            <w:tcW w:type="dxa" w:w="5083"/>
            <w:shd w:fill="EAF2F8"/>
            <w:vAlign w:val="center"/>
          </w:tcPr>
          <w:p>
            <w:pPr>
              <w:spacing w:after="0"/>
            </w:pPr>
            <w:r/>
            <w:r>
              <w:rPr>
                <w:sz w:val="16"/>
              </w:rPr>
              <w:t>Lease</w:t>
            </w:r>
          </w:p>
        </w:tc>
        <w:tc>
          <w:tcPr>
            <w:tcW w:type="dxa" w:w="5083"/>
            <w:shd w:fill="EAF2F8"/>
            <w:vAlign w:val="center"/>
          </w:tcPr>
          <w:p>
            <w:pPr>
              <w:spacing w:after="0"/>
            </w:pPr>
            <w:r/>
            <w:r>
              <w:rPr>
                <w:sz w:val="16"/>
              </w:rPr>
              <w:t>A time-bounded worker claim on a job. An expired lease is evidence to inspect, not permission to delete.</w:t>
            </w:r>
          </w:p>
        </w:tc>
      </w:tr>
      <w:tr>
        <w:tc>
          <w:tcPr>
            <w:tcW w:type="dxa" w:w="5083"/>
            <w:vAlign w:val="center"/>
          </w:tcPr>
          <w:p>
            <w:pPr>
              <w:spacing w:after="0"/>
            </w:pPr>
            <w:r/>
            <w:r>
              <w:rPr>
                <w:sz w:val="16"/>
              </w:rPr>
              <w:t>Dead letter</w:t>
            </w:r>
          </w:p>
        </w:tc>
        <w:tc>
          <w:tcPr>
            <w:tcW w:type="dxa" w:w="5083"/>
            <w:vAlign w:val="center"/>
          </w:tcPr>
          <w:p>
            <w:pPr>
              <w:spacing w:after="0"/>
            </w:pPr>
            <w:r/>
            <w:r>
              <w:rPr>
                <w:sz w:val="16"/>
              </w:rPr>
              <w:t>A visible record for an exhausted or permanently failed job.</w:t>
            </w:r>
          </w:p>
        </w:tc>
      </w:tr>
      <w:tr>
        <w:tc>
          <w:tcPr>
            <w:tcW w:type="dxa" w:w="5083"/>
            <w:shd w:fill="EAF2F8"/>
            <w:vAlign w:val="center"/>
          </w:tcPr>
          <w:p>
            <w:pPr>
              <w:spacing w:after="0"/>
            </w:pPr>
            <w:r/>
            <w:r>
              <w:rPr>
                <w:sz w:val="16"/>
              </w:rPr>
              <w:t>Safe replay</w:t>
            </w:r>
          </w:p>
        </w:tc>
        <w:tc>
          <w:tcPr>
            <w:tcW w:type="dxa" w:w="5083"/>
            <w:shd w:fill="EAF2F8"/>
            <w:vAlign w:val="center"/>
          </w:tcPr>
          <w:p>
            <w:pPr>
              <w:spacing w:after="0"/>
            </w:pPr>
            <w:r/>
            <w:r>
              <w:rPr>
                <w:sz w:val="16"/>
              </w:rPr>
              <w:t>An authorized new attempt linked to the original job and using the same business idempotency key.</w:t>
            </w:r>
          </w:p>
        </w:tc>
      </w:tr>
      <w:tr>
        <w:tc>
          <w:tcPr>
            <w:tcW w:type="dxa" w:w="5083"/>
            <w:vAlign w:val="center"/>
          </w:tcPr>
          <w:p>
            <w:pPr>
              <w:spacing w:after="0"/>
            </w:pPr>
            <w:r/>
            <w:r>
              <w:rPr>
                <w:sz w:val="16"/>
              </w:rPr>
              <w:t>Sensitive action</w:t>
            </w:r>
          </w:p>
        </w:tc>
        <w:tc>
          <w:tcPr>
            <w:tcW w:type="dxa" w:w="5083"/>
            <w:vAlign w:val="center"/>
          </w:tcPr>
          <w:p>
            <w:pPr>
              <w:spacing w:after="0"/>
            </w:pPr>
            <w:r/>
            <w:r>
              <w:rPr>
                <w:sz w:val="16"/>
              </w:rPr>
              <w:t>An action involving sensitive data or an irreversible or consequential downstream change. Such work is reviewed unless policy explicitly permits otherwise.</w:t>
            </w:r>
          </w:p>
        </w:tc>
      </w:tr>
      <w:tr>
        <w:tc>
          <w:tcPr>
            <w:tcW w:type="dxa" w:w="5083"/>
            <w:shd w:fill="EAF2F8"/>
            <w:vAlign w:val="center"/>
          </w:tcPr>
          <w:p>
            <w:pPr>
              <w:spacing w:after="0"/>
            </w:pPr>
            <w:r/>
            <w:r>
              <w:rPr>
                <w:sz w:val="16"/>
              </w:rPr>
              <w:t>Model promotion</w:t>
            </w:r>
          </w:p>
        </w:tc>
        <w:tc>
          <w:tcPr>
            <w:tcW w:type="dxa" w:w="5083"/>
            <w:shd w:fill="EAF2F8"/>
            <w:vAlign w:val="center"/>
          </w:tcPr>
          <w:p>
            <w:pPr>
              <w:spacing w:after="0"/>
            </w:pPr>
            <w:r/>
            <w:r>
              <w:rPr>
                <w:sz w:val="16"/>
              </w:rPr>
              <w:t>An explicit change record that makes a benchmarked model/version the approved model.</w:t>
            </w:r>
          </w:p>
        </w:tc>
      </w:tr>
      <w:tr>
        <w:tc>
          <w:tcPr>
            <w:tcW w:type="dxa" w:w="5083"/>
            <w:vAlign w:val="center"/>
          </w:tcPr>
          <w:p>
            <w:pPr>
              <w:spacing w:after="0"/>
            </w:pPr>
            <w:r/>
            <w:r>
              <w:rPr>
                <w:sz w:val="16"/>
              </w:rPr>
              <w:t>Smoke test</w:t>
            </w:r>
          </w:p>
        </w:tc>
        <w:tc>
          <w:tcPr>
            <w:tcW w:type="dxa" w:w="5083"/>
            <w:vAlign w:val="center"/>
          </w:tcPr>
          <w:p>
            <w:pPr>
              <w:spacing w:after="0"/>
            </w:pPr>
            <w:r/>
            <w:r>
              <w:rPr>
                <w:sz w:val="16"/>
              </w:rPr>
              <w:t>A short functional check proving that the changed or restored path can authenticate, create or inspect a synthetic case, process a job, and record audit evidence.</w:t>
            </w:r>
          </w:p>
        </w:tc>
      </w:tr>
    </w:tbl>
    <w:p>
      <w:pPr>
        <w:spacing w:after="0"/>
      </w:pPr>
    </w:p>
    <w:p>
      <w:pPr>
        <w:pStyle w:val="Heading2"/>
      </w:pPr>
      <w:r>
        <w:t>1.2 Control states</w:t>
      </w:r>
    </w:p>
    <w:p>
      <w:pPr>
        <w:spacing w:after="100" w:line="259" w:lineRule="auto"/>
      </w:pPr>
      <w:r>
        <w:rPr>
          <w:sz w:val="19"/>
        </w:rPr>
        <w:t xml:space="preserve">For every procedure, record each control as </w:t>
      </w:r>
      <w:r>
        <w:rPr>
          <w:b/>
          <w:sz w:val="19"/>
        </w:rPr>
        <w:t>Implemented</w:t>
      </w:r>
      <w:r>
        <w:rPr>
          <w:sz w:val="19"/>
        </w:rPr>
        <w:t xml:space="preserve">, </w:t>
      </w:r>
      <w:r>
        <w:rPr>
          <w:b/>
          <w:sz w:val="19"/>
        </w:rPr>
        <w:t>Planned</w:t>
      </w:r>
      <w:r>
        <w:rPr>
          <w:sz w:val="19"/>
        </w:rPr>
        <w:t xml:space="preserve">, or </w:t>
      </w:r>
      <w:r>
        <w:rPr>
          <w:b/>
          <w:sz w:val="19"/>
        </w:rPr>
        <w:t>Assessment-required</w:t>
      </w:r>
      <w:r>
        <w:rPr>
          <w:sz w:val="19"/>
        </w:rPr>
        <w:t>. A control marked Planned or Assessment-required is not evidence that the system is ready for sensitive data. Keep the decision record with the release, restore drill, pilot gate, or incident record that it supports.</w:t>
      </w:r>
    </w:p>
    <w:p>
      <w:pPr>
        <w:pStyle w:val="Heading1"/>
      </w:pPr>
      <w:r>
        <w:t>2. Procedure: Start, stop, and inspect the stack</w:t>
      </w:r>
    </w:p>
    <w:p>
      <w:pPr>
        <w:pStyle w:val="Heading2"/>
      </w:pPr>
      <w:r>
        <w:t>Purpose</w:t>
      </w:r>
    </w:p>
    <w:p>
      <w:pPr>
        <w:spacing w:after="100" w:line="259" w:lineRule="auto"/>
      </w:pPr>
      <w:r>
        <w:rPr>
          <w:sz w:val="19"/>
        </w:rPr>
        <w:t>Start the planned services in a controlled way, verify that the application can be inspected, and stop them without treating service shutdown as data deletion.</w:t>
      </w:r>
    </w:p>
    <w:p>
      <w:pPr>
        <w:pStyle w:val="Heading2"/>
      </w:pPr>
      <w:r>
        <w:t>When to use</w:t>
      </w:r>
    </w:p>
    <w:p>
      <w:pPr>
        <w:spacing w:after="100" w:line="259" w:lineRule="auto"/>
      </w:pPr>
      <w:r>
        <w:rPr>
          <w:sz w:val="19"/>
        </w:rPr>
        <w:t>Use this procedure at the beginning of an operating day, after maintenance, after an unexpected restart, before a benchmark, and before or after a deployment. Use the stop portion for planned maintenance or when an unsafe service must be taken out of operation.</w:t>
      </w:r>
    </w:p>
    <w:p>
      <w:pPr>
        <w:pStyle w:val="Heading2"/>
      </w:pPr>
      <w:r>
        <w:t>Prerequisites</w:t>
      </w:r>
    </w:p>
    <w:p>
      <w:pPr>
        <w:pStyle w:val="ListNumber"/>
        <w:spacing w:after="40"/>
      </w:pPr>
      <w:r>
        <w:rPr>
          <w:sz w:val="18"/>
        </w:rPr>
        <w:t>You have the approved operator access and know whether you are inspecting VM1, VM2, or the Vercel/Clerk/R2/Resend boundary.</w:t>
      </w:r>
    </w:p>
    <w:p>
      <w:pPr>
        <w:pStyle w:val="ListNumber"/>
        <w:spacing w:after="40"/>
      </w:pPr>
      <w:r>
        <w:rPr>
          <w:sz w:val="18"/>
        </w:rPr>
        <w:t>You have the current tagged release and the current operator decision record.</w:t>
      </w:r>
    </w:p>
    <w:p>
      <w:pPr>
        <w:pStyle w:val="ListNumber"/>
        <w:spacing w:after="40"/>
      </w:pPr>
      <w:r>
        <w:rPr>
          <w:sz w:val="18"/>
        </w:rPr>
        <w:t>You have a known synthetic case or health fixture. Do not use customer documents for a routine smoke test.</w:t>
      </w:r>
    </w:p>
    <w:p>
      <w:pPr>
        <w:pStyle w:val="ListNumber"/>
        <w:spacing w:after="40"/>
      </w:pPr>
      <w:r>
        <w:rPr>
          <w:sz w:val="18"/>
        </w:rPr>
        <w:t>Before stopping a worker, inspect for active leases and in-flight external interactions.</w:t>
      </w:r>
    </w:p>
    <w:p>
      <w:pPr>
        <w:pStyle w:val="ListNumber"/>
        <w:spacing w:after="40"/>
      </w:pPr>
      <w:r>
        <w:rPr>
          <w:sz w:val="18"/>
        </w:rPr>
        <w:t xml:space="preserve">Do not expose PostgreSQL or AI ports publicly. Private access remains the required boundary. </w:t>
      </w:r>
      <w:r>
        <w:rPr>
          <w:color w:val="1F4E79"/>
          <w:sz w:val="18"/>
        </w:rPr>
        <w:t>[1]</w:t>
      </w:r>
      <w:r>
        <w:rPr>
          <w:sz w:val="18"/>
        </w:rPr>
        <w:t xml:space="preserve"> </w:t>
      </w:r>
      <w:r>
        <w:rPr>
          <w:color w:val="1F4E79"/>
          <w:sz w:val="18"/>
        </w:rPr>
        <w:t>[2]</w:t>
      </w:r>
    </w:p>
    <w:p>
      <w:pPr>
        <w:pStyle w:val="Heading2"/>
      </w:pPr>
      <w:r>
        <w:t>Steps</w:t>
      </w:r>
    </w:p>
    <w:p>
      <w:pPr>
        <w:pStyle w:val="ListNumber"/>
        <w:spacing w:after="40"/>
      </w:pPr>
      <w:r>
        <w:rPr>
          <w:sz w:val="18"/>
        </w:rPr>
        <w:t xml:space="preserve">On the application host, go to the approved deployment directory and start the declared Compose services with the approved tagged release. The coding plan's reference commands are </w:t>
      </w:r>
      <w:r>
        <w:rPr>
          <w:rFonts w:ascii="Courier New" w:hAnsi="Courier New"/>
          <w:sz w:val="18"/>
        </w:rPr>
        <w:t>cd /opt/formiva</w:t>
      </w:r>
      <w:r>
        <w:rPr>
          <w:sz w:val="18"/>
        </w:rPr>
        <w:t xml:space="preserve"> and </w:t>
      </w:r>
      <w:r>
        <w:rPr>
          <w:rFonts w:ascii="Courier New" w:hAnsi="Courier New"/>
          <w:sz w:val="18"/>
        </w:rPr>
        <w:t>docker compose up -d</w:t>
      </w:r>
      <w:r>
        <w:rPr>
          <w:sz w:val="18"/>
        </w:rPr>
        <w:t xml:space="preserve">; do not alter the release or volumes as part of a normal start. </w:t>
      </w:r>
      <w:r>
        <w:rPr>
          <w:color w:val="1F4E79"/>
          <w:sz w:val="18"/>
        </w:rPr>
        <w:t>[1]</w:t>
      </w:r>
    </w:p>
    <w:p>
      <w:pPr>
        <w:pStyle w:val="ListNumber"/>
        <w:spacing w:after="40"/>
      </w:pPr>
      <w:r>
        <w:rPr>
          <w:sz w:val="18"/>
        </w:rPr>
        <w:t xml:space="preserve">Inspect service state with </w:t>
      </w:r>
      <w:r>
        <w:rPr>
          <w:rFonts w:ascii="Courier New" w:hAnsi="Courier New"/>
          <w:sz w:val="18"/>
        </w:rPr>
        <w:t>docker compose ps</w:t>
      </w:r>
      <w:r>
        <w:rPr>
          <w:sz w:val="18"/>
        </w:rPr>
        <w:t>. Confirm that the API, worker, scheduler, integration worker, PostgreSQL, ClamAV, and backup services expected on VM1 are running, and that the AI Engine and lightweight metrics service expected on VM2 are running according to the release manifest.</w:t>
      </w:r>
    </w:p>
    <w:p>
      <w:pPr>
        <w:pStyle w:val="ListNumber"/>
        <w:spacing w:after="40"/>
      </w:pPr>
      <w:r>
        <w:rPr>
          <w:sz w:val="18"/>
        </w:rPr>
        <w:t xml:space="preserve">Inspect recent structured logs for the API and worker with the equivalent of </w:t>
      </w:r>
      <w:r>
        <w:rPr>
          <w:rFonts w:ascii="Courier New" w:hAnsi="Courier New"/>
          <w:sz w:val="18"/>
        </w:rPr>
        <w:t>docker compose logs --tail=200 api</w:t>
      </w:r>
      <w:r>
        <w:rPr>
          <w:sz w:val="18"/>
        </w:rPr>
        <w:t xml:space="preserve"> and </w:t>
      </w:r>
      <w:r>
        <w:rPr>
          <w:rFonts w:ascii="Courier New" w:hAnsi="Courier New"/>
          <w:sz w:val="18"/>
        </w:rPr>
        <w:t>docker compose logs --tail=200 worker</w:t>
      </w:r>
      <w:r>
        <w:rPr>
          <w:sz w:val="18"/>
        </w:rPr>
        <w:t>. Do not copy raw sensitive text, credentials, full documents, or unredacted payloads into an ordinary log or incident note.</w:t>
      </w:r>
    </w:p>
    <w:p>
      <w:pPr>
        <w:pStyle w:val="ListNumber"/>
        <w:spacing w:after="40"/>
      </w:pPr>
      <w:r>
        <w:rPr>
          <w:sz w:val="18"/>
        </w:rPr>
        <w:t xml:space="preserve">Check host resources with </w:t>
      </w:r>
      <w:r>
        <w:rPr>
          <w:rFonts w:ascii="Courier New" w:hAnsi="Courier New"/>
          <w:sz w:val="18"/>
        </w:rPr>
        <w:t>free -h</w:t>
      </w:r>
      <w:r>
        <w:rPr>
          <w:sz w:val="18"/>
        </w:rPr>
        <w:t xml:space="preserve"> and </w:t>
      </w:r>
      <w:r>
        <w:rPr>
          <w:rFonts w:ascii="Courier New" w:hAnsi="Courier New"/>
          <w:sz w:val="18"/>
        </w:rPr>
        <w:t>df -h</w:t>
      </w:r>
      <w:r>
        <w:rPr>
          <w:sz w:val="18"/>
        </w:rPr>
        <w:t>. Record memory and disk headroom. VM1 shares CPU, RAM, and storage between the API, workers, PostgreSQL, ClamAV, logs, and backups, and VM2 between AI inference, OCR, model files, temporary pages, and logs; a full or pressured host is an operating failure.</w:t>
      </w:r>
    </w:p>
    <w:p>
      <w:pPr>
        <w:pStyle w:val="ListNumber"/>
        <w:spacing w:after="40"/>
      </w:pPr>
      <w:r>
        <w:rPr>
          <w:sz w:val="18"/>
        </w:rPr>
        <w:t>Check database health, queue transport health, AI health, and private-access health. A green transport check does not replace checking PostgreSQL durable job rows.</w:t>
      </w:r>
    </w:p>
    <w:p>
      <w:pPr>
        <w:pStyle w:val="ListNumber"/>
        <w:spacing w:after="40"/>
      </w:pPr>
      <w:r>
        <w:rPr>
          <w:sz w:val="18"/>
        </w:rPr>
        <w:t>Inspect the oldest queued job, the oldest lease-expired job, attempt counts, and dead-letter count. Record queue age and worker heartbeat age.</w:t>
      </w:r>
    </w:p>
    <w:p>
      <w:pPr>
        <w:pStyle w:val="ListNumber"/>
        <w:spacing w:after="40"/>
      </w:pPr>
      <w:r>
        <w:rPr>
          <w:sz w:val="18"/>
        </w:rPr>
        <w:t>Run the synthetic smoke check: authenticate through Clerk where the path requires authentication, open the approved synthetic form, submit or inspect a synthetic case, verify that the durable job exists, and verify that the audit event and correlation identifier exist.</w:t>
      </w:r>
    </w:p>
    <w:p>
      <w:pPr>
        <w:pStyle w:val="ListNumber"/>
        <w:spacing w:after="40"/>
      </w:pPr>
      <w:r>
        <w:rPr>
          <w:sz w:val="18"/>
        </w:rPr>
        <w:t>If the stack is being stopped, first place connector or workflow execution in safe mode where required, stop new work, inspect active leases and provider outcomes, allow or document the worker drain, then stop only the intended services. Do not delete volumes.</w:t>
      </w:r>
    </w:p>
    <w:p>
      <w:pPr>
        <w:pStyle w:val="ListNumber"/>
        <w:spacing w:after="40"/>
      </w:pPr>
      <w:r>
        <w:rPr>
          <w:sz w:val="18"/>
        </w:rPr>
        <w:t>Record the operator, UTC time, release tag, service state, queue age, oldest lease, worker heartbeat, resource state, and any exception.</w:t>
      </w:r>
    </w:p>
    <w:p>
      <w:pPr>
        <w:pStyle w:val="Heading2"/>
      </w:pPr>
      <w:r>
        <w:t>Expected result</w:t>
      </w:r>
    </w:p>
    <w:p>
      <w:pPr>
        <w:spacing w:after="100" w:line="259" w:lineRule="auto"/>
      </w:pPr>
      <w:r>
        <w:rPr>
          <w:sz w:val="19"/>
        </w:rPr>
        <w:t>The expected result is a running and inspectable stack with private database and AI services, a known release tag, visible queue and worker metrics, no unexpected dead letters, and a successful synthetic smoke path. For a planned stop, no untracked business effect is in flight and restart is possible without deleting durable state.</w:t>
      </w:r>
    </w:p>
    <w:p>
      <w:pPr>
        <w:pStyle w:val="Heading2"/>
      </w:pPr>
      <w:r>
        <w:t>Failure response</w:t>
      </w:r>
    </w:p>
    <w:p>
      <w:pPr>
        <w:spacing w:after="100" w:line="259" w:lineRule="auto"/>
      </w:pPr>
      <w:r>
        <w:rPr>
          <w:sz w:val="19"/>
        </w:rPr>
        <w:t>If a service is down, inspect its redacted logs, health result, resource state, and last change. If queue transport is unavailable, preserve PostgreSQL durable state and do not claim that work was lost merely because transport is down. If a job lease is expired, follow the stuck-job procedure. If a database or AI port is public, restrict access immediately and treat the condition as an incident-control issue. If disk or memory is unsafe, stop or reduce the affected workload and escalate before accepting more work. Do not silently add a third VM or an unapproved provider.</w:t>
      </w:r>
    </w:p>
    <w:p>
      <w:pPr>
        <w:pStyle w:val="Heading2"/>
      </w:pPr>
      <w:r>
        <w:t>New assumptions</w:t>
      </w:r>
    </w:p>
    <w:p>
      <w:pPr>
        <w:pStyle w:val="ListNumber"/>
        <w:spacing w:after="40"/>
      </w:pPr>
      <w:r>
        <w:rPr>
          <w:b/>
          <w:sz w:val="18"/>
        </w:rPr>
        <w:t>New operational assumption:</w:t>
      </w:r>
      <w:r>
        <w:rPr>
          <w:sz w:val="18"/>
        </w:rPr>
        <w:t xml:space="preserve"> The operator can identify the Compose service names and the approved deployment directory from the release handoff.</w:t>
      </w:r>
    </w:p>
    <w:p>
      <w:pPr>
        <w:pStyle w:val="ListNumber"/>
        <w:spacing w:after="40"/>
      </w:pPr>
      <w:r>
        <w:rPr>
          <w:b/>
          <w:sz w:val="18"/>
        </w:rPr>
        <w:t>New operational assumption:</w:t>
      </w:r>
      <w:r>
        <w:rPr>
          <w:sz w:val="18"/>
        </w:rPr>
        <w:t xml:space="preserve"> Queue age, lease age, worker heartbeat, and dead-letter count are exposed in a form a non-developer can inspect.</w:t>
      </w:r>
    </w:p>
    <w:p>
      <w:pPr>
        <w:pStyle w:val="ListNumber"/>
        <w:spacing w:after="40"/>
      </w:pPr>
      <w:r>
        <w:rPr>
          <w:b/>
          <w:sz w:val="18"/>
        </w:rPr>
        <w:t>New operational assumption:</w:t>
      </w:r>
      <w:r>
        <w:rPr>
          <w:sz w:val="18"/>
        </w:rPr>
        <w:t xml:space="preserve"> A synthetic smoke fixture is maintained and does not contain customer data.</w:t>
      </w:r>
    </w:p>
    <w:p>
      <w:pPr>
        <w:pStyle w:val="ListNumber"/>
        <w:spacing w:after="40"/>
      </w:pPr>
      <w:r>
        <w:rPr>
          <w:sz w:val="18"/>
        </w:rPr>
        <w:t>The approved inputs specify health checks and resource inspection but do not define numeric alert thresholds; thresholds must be written in the deployment decision record before relying on them.</w:t>
      </w:r>
    </w:p>
    <w:p>
      <w:pPr>
        <w:pStyle w:val="Heading1"/>
      </w:pPr>
      <w:r>
        <w:t>3. Procedure: Daily and weekly operating inspection</w:t>
      </w:r>
    </w:p>
    <w:p>
      <w:pPr>
        <w:pStyle w:val="Heading2"/>
      </w:pPr>
      <w:r>
        <w:t>Purpose</w:t>
      </w:r>
    </w:p>
    <w:p>
      <w:pPr>
        <w:spacing w:after="100" w:line="259" w:lineRule="auto"/>
      </w:pPr>
      <w:r>
        <w:rPr>
          <w:sz w:val="19"/>
        </w:rPr>
        <w:t>Detect queue growth, worker failure, data-safety drift, resource contention, and audit gaps before they become customer-impacting failures.</w:t>
      </w:r>
    </w:p>
    <w:p>
      <w:pPr>
        <w:pStyle w:val="Heading2"/>
      </w:pPr>
      <w:r>
        <w:t>When to use</w:t>
      </w:r>
    </w:p>
    <w:p>
      <w:pPr>
        <w:spacing w:after="100" w:line="259" w:lineRule="auto"/>
      </w:pPr>
      <w:r>
        <w:rPr>
          <w:sz w:val="19"/>
        </w:rPr>
        <w:t>Perform the daily inspection on every operating day. Perform the weekly inspection at least once during each operating week and after a material release, restore drill, model change, or incident.</w:t>
      </w:r>
    </w:p>
    <w:p>
      <w:pPr>
        <w:pStyle w:val="Heading2"/>
      </w:pPr>
      <w:r>
        <w:t>Prerequisites</w:t>
      </w:r>
    </w:p>
    <w:p>
      <w:pPr>
        <w:pStyle w:val="ListNumber"/>
        <w:spacing w:after="40"/>
      </w:pPr>
      <w:r>
        <w:rPr>
          <w:sz w:val="18"/>
        </w:rPr>
        <w:t>Complete the start-and-inspect procedure.</w:t>
      </w:r>
    </w:p>
    <w:p>
      <w:pPr>
        <w:pStyle w:val="ListNumber"/>
        <w:spacing w:after="40"/>
      </w:pPr>
      <w:r>
        <w:rPr>
          <w:sz w:val="18"/>
        </w:rPr>
        <w:t>Have access to redacted logs, PostgreSQL operational views, queue status, AI model registry status, integration health, audit events, retention/deletion status, and resource metrics.</w:t>
      </w:r>
    </w:p>
    <w:p>
      <w:pPr>
        <w:pStyle w:val="ListNumber"/>
        <w:spacing w:after="40"/>
      </w:pPr>
      <w:r>
        <w:rPr>
          <w:sz w:val="18"/>
        </w:rPr>
        <w:t>Have the current list of active workspaces, connectors, model versions, workflow versions, and open incidents.</w:t>
      </w:r>
    </w:p>
    <w:p>
      <w:pPr>
        <w:pStyle w:val="Heading2"/>
      </w:pPr>
      <w:r>
        <w:t>Steps</w:t>
      </w:r>
    </w:p>
    <w:p>
      <w:pPr>
        <w:pStyle w:val="ListNumber"/>
        <w:spacing w:after="40"/>
      </w:pPr>
      <w:r>
        <w:rPr>
          <w:sz w:val="18"/>
        </w:rPr>
        <w:t>Daily: record Vercel frontend availability, Clerk authentication path, API health, worker health, scheduler health, integration worker health, AI health, PostgreSQL health, Valkey health (if deployed), R2 access status, and Resend delivery status.</w:t>
      </w:r>
    </w:p>
    <w:p>
      <w:pPr>
        <w:pStyle w:val="ListNumber"/>
        <w:spacing w:after="40"/>
      </w:pPr>
      <w:r>
        <w:rPr>
          <w:sz w:val="18"/>
        </w:rPr>
        <w:t>Daily: inspect structured logs by correlation ID. Look for repeated validation errors, lease expiry, retry growth, dead letters, unknown provider outcomes, unsafe file quarantine, missing model, OCR timeout, and database errors. Raw sensitive text must remain out of ordinary logs.</w:t>
      </w:r>
    </w:p>
    <w:p>
      <w:pPr>
        <w:pStyle w:val="ListNumber"/>
        <w:spacing w:after="40"/>
      </w:pPr>
      <w:r>
        <w:rPr>
          <w:sz w:val="18"/>
        </w:rPr>
        <w:t>Daily: record the oldest queue age for AI jobs, workflow jobs, review tasks, and integration interactions. Record the number of queued, claimed, retrying, review-required, dead-letter, and unknown-outcome items.</w:t>
      </w:r>
    </w:p>
    <w:p>
      <w:pPr>
        <w:pStyle w:val="ListNumber"/>
        <w:spacing w:after="40"/>
      </w:pPr>
      <w:r>
        <w:rPr>
          <w:sz w:val="18"/>
        </w:rPr>
        <w:t>Daily: inspect worker heartbeat age, active leases, attempt counts, and the oldest unresolved job. Compare queue age with the operational threshold recorded in the current decision record; do not invent a threshold while diagnosing a live issue.</w:t>
      </w:r>
    </w:p>
    <w:p>
      <w:pPr>
        <w:pStyle w:val="ListNumber"/>
        <w:spacing w:after="40"/>
      </w:pPr>
      <w:r>
        <w:rPr>
          <w:sz w:val="18"/>
        </w:rPr>
        <w:t>Daily: inspect human-review queue size, oldest review task, priority, due time, assignee, and unresolved reasons. Review tasks are not a hidden failure bucket; they are the controlled path for low confidence, sensitive, conflicting, uncertain, unsafe, or policy-blocked work.</w:t>
      </w:r>
    </w:p>
    <w:p>
      <w:pPr>
        <w:pStyle w:val="ListNumber"/>
        <w:spacing w:after="40"/>
      </w:pPr>
      <w:r>
        <w:rPr>
          <w:sz w:val="18"/>
        </w:rPr>
        <w:t xml:space="preserve">Daily: inspect host CPU, memory, disk, temporary page storage, model storage, PostgreSQL storage, and backup storage. VM2 contention must remain bounded. One active model and bounded OCR/concurrency are the initial operating constraints. </w:t>
      </w:r>
      <w:r>
        <w:rPr>
          <w:color w:val="1F4E79"/>
          <w:sz w:val="18"/>
        </w:rPr>
        <w:t>[1]</w:t>
      </w:r>
      <w:r>
        <w:rPr>
          <w:sz w:val="18"/>
        </w:rPr>
        <w:t xml:space="preserve"> </w:t>
      </w:r>
      <w:r>
        <w:rPr>
          <w:color w:val="1F4E79"/>
          <w:sz w:val="18"/>
        </w:rPr>
        <w:t>[2]</w:t>
      </w:r>
    </w:p>
    <w:p>
      <w:pPr>
        <w:pStyle w:val="ListNumber"/>
        <w:spacing w:after="40"/>
      </w:pPr>
      <w:r>
        <w:rPr>
          <w:sz w:val="18"/>
        </w:rPr>
        <w:t>Weekly: reconcile selected durable job rows against transport messages and worker outcomes. A queue outage must not erase business state.</w:t>
      </w:r>
    </w:p>
    <w:p>
      <w:pPr>
        <w:pStyle w:val="ListNumber"/>
        <w:spacing w:after="40"/>
      </w:pPr>
      <w:r>
        <w:rPr>
          <w:sz w:val="18"/>
        </w:rPr>
        <w:t>Weekly: review the model registry for approved model/version/digest, benchmark record, engine and OCR versions, and any pending promotion or rollback decision.</w:t>
      </w:r>
    </w:p>
    <w:p>
      <w:pPr>
        <w:pStyle w:val="ListNumber"/>
        <w:spacing w:after="40"/>
      </w:pPr>
      <w:r>
        <w:rPr>
          <w:sz w:val="18"/>
        </w:rPr>
        <w:t>Weekly: review connector health, credential references, scopes, safe-mode status, retry classification, unknown outcomes, idempotency records, and audit events. Provider notification delivery is separate from proof that a business action succeeded.</w:t>
      </w:r>
    </w:p>
    <w:p>
      <w:pPr>
        <w:pStyle w:val="ListNumber"/>
        <w:spacing w:after="40"/>
      </w:pPr>
      <w:r>
        <w:rPr>
          <w:sz w:val="18"/>
        </w:rPr>
        <w:t>Weekly: review retention, deletion requests, quarantines, backup checksums, restore-drill status, resource alerts, open incidents, and controls marked Planned or Assessment-required.</w:t>
      </w:r>
    </w:p>
    <w:p>
      <w:pPr>
        <w:pStyle w:val="ListNumber"/>
        <w:spacing w:after="40"/>
      </w:pPr>
      <w:r>
        <w:rPr>
          <w:sz w:val="18"/>
        </w:rPr>
        <w:t>Record a weekly decision: continue, restrict a path, route more work to human review, schedule maintenance, or escalate. State the evidence and the owner.</w:t>
      </w:r>
    </w:p>
    <w:p>
      <w:pPr>
        <w:pStyle w:val="Heading2"/>
      </w:pPr>
      <w:r>
        <w:t>Expected result</w:t>
      </w:r>
    </w:p>
    <w:p>
      <w:pPr>
        <w:spacing w:after="100" w:line="259" w:lineRule="auto"/>
      </w:pPr>
      <w:r>
        <w:rPr>
          <w:sz w:val="19"/>
        </w:rPr>
        <w:t>The founder has a dated operational record showing service health, logs inspected, queue age, worker health, review backlog, dead letters, resource headroom, model/version state, connector state, backup/restore state, and outstanding risks.</w:t>
      </w:r>
    </w:p>
    <w:p>
      <w:pPr>
        <w:pStyle w:val="Heading2"/>
      </w:pPr>
      <w:r>
        <w:t>Failure response</w:t>
      </w:r>
    </w:p>
    <w:p>
      <w:pPr>
        <w:spacing w:after="100" w:line="259" w:lineRule="auto"/>
      </w:pPr>
      <w:r>
        <w:rPr>
          <w:sz w:val="19"/>
        </w:rPr>
        <w:t>If queue age, worker heartbeat, review backlog, or dead letters are worsening, stop treating the system as healthy. Follow the stuck/dead-letter procedure. If VM2 is contended, reduce model size or concurrency, route uncertain work to review, or use only an approved alternative after privacy and cost review; do not silently add infrastructure. If audit events, retention state, or tenant scope cannot be inspected, restrict sensitive operation and escalate.</w:t>
      </w:r>
    </w:p>
    <w:p>
      <w:pPr>
        <w:pStyle w:val="Heading2"/>
      </w:pPr>
      <w:r>
        <w:t>New assumptions</w:t>
      </w:r>
    </w:p>
    <w:p>
      <w:pPr>
        <w:pStyle w:val="ListNumber"/>
        <w:spacing w:after="40"/>
      </w:pPr>
      <w:r>
        <w:rPr>
          <w:b/>
          <w:sz w:val="18"/>
        </w:rPr>
        <w:t>New operational assumption:</w:t>
      </w:r>
      <w:r>
        <w:rPr>
          <w:sz w:val="18"/>
        </w:rPr>
        <w:t xml:space="preserve"> The founder sets and records numeric queue-age, worker-heartbeat, disk, memory, and review-SLA thresholds before the first sensitive pilot.</w:t>
      </w:r>
    </w:p>
    <w:p>
      <w:pPr>
        <w:pStyle w:val="ListNumber"/>
        <w:spacing w:after="40"/>
      </w:pPr>
      <w:r>
        <w:rPr>
          <w:b/>
          <w:sz w:val="18"/>
        </w:rPr>
        <w:t>New operational assumption:</w:t>
      </w:r>
      <w:r>
        <w:rPr>
          <w:sz w:val="18"/>
        </w:rPr>
        <w:t xml:space="preserve"> A weekly owner is named for each open operational risk.</w:t>
      </w:r>
    </w:p>
    <w:p>
      <w:pPr>
        <w:pStyle w:val="ListNumber"/>
        <w:spacing w:after="40"/>
      </w:pPr>
      <w:r>
        <w:rPr>
          <w:sz w:val="18"/>
        </w:rPr>
        <w:t>The approved inputs define the metrics to inspect but do not define a universal schedule or threshold; the daily/weekly cadence here is an operational assumption.</w:t>
      </w:r>
    </w:p>
    <w:p>
      <w:pPr>
        <w:pStyle w:val="Heading1"/>
      </w:pPr>
      <w:r>
        <w:t>4. Procedure: Tagged deployment with backup, migration review, health, smoke test, and rollback</w:t>
      </w:r>
    </w:p>
    <w:p>
      <w:pPr>
        <w:pStyle w:val="Heading2"/>
      </w:pPr>
      <w:r>
        <w:t>Purpose</w:t>
      </w:r>
    </w:p>
    <w:p>
      <w:pPr>
        <w:spacing w:after="100" w:line="259" w:lineRule="auto"/>
      </w:pPr>
      <w:r>
        <w:rPr>
          <w:sz w:val="19"/>
        </w:rPr>
        <w:t>Release a known ARM-compatible version without losing durable state, bypassing migration review, or creating an untested external effect.</w:t>
      </w:r>
    </w:p>
    <w:p>
      <w:pPr>
        <w:pStyle w:val="Heading2"/>
      </w:pPr>
      <w:r>
        <w:t>When to use</w:t>
      </w:r>
    </w:p>
    <w:p>
      <w:pPr>
        <w:spacing w:after="100" w:line="259" w:lineRule="auto"/>
      </w:pPr>
      <w:r>
        <w:rPr>
          <w:sz w:val="19"/>
        </w:rPr>
        <w:t>Use for every application, worker, workflow, AI Engine, database schema, or connector release. Use the same checklist for a pilot release and a sensitive-pilot release.</w:t>
      </w:r>
    </w:p>
    <w:p>
      <w:pPr>
        <w:pStyle w:val="Heading2"/>
      </w:pPr>
      <w:r>
        <w:t>Prerequisites</w:t>
      </w:r>
    </w:p>
    <w:p>
      <w:pPr>
        <w:pStyle w:val="ListNumber"/>
        <w:spacing w:after="40"/>
      </w:pPr>
      <w:r>
        <w:rPr>
          <w:sz w:val="18"/>
        </w:rPr>
        <w:t>A tagged release exists in the repository and the release notes identify changed services, image versions, migration files, compatibility, rollback notes, and known limitations.</w:t>
      </w:r>
    </w:p>
    <w:p>
      <w:pPr>
        <w:pStyle w:val="ListNumber"/>
        <w:spacing w:after="40"/>
      </w:pPr>
      <w:r>
        <w:rPr>
          <w:sz w:val="18"/>
        </w:rPr>
        <w:t>The release is ARM-compatible for the approved OCI baseline.</w:t>
      </w:r>
    </w:p>
    <w:p>
      <w:pPr>
        <w:pStyle w:val="ListNumber"/>
        <w:spacing w:after="40"/>
      </w:pPr>
      <w:r>
        <w:rPr>
          <w:sz w:val="18"/>
        </w:rPr>
        <w:t>A backup is complete and its checksum is recorded before migration.</w:t>
      </w:r>
    </w:p>
    <w:p>
      <w:pPr>
        <w:pStyle w:val="ListNumber"/>
        <w:spacing w:after="40"/>
      </w:pPr>
      <w:r>
        <w:rPr>
          <w:sz w:val="18"/>
        </w:rPr>
        <w:t xml:space="preserve">A reviewer has read the migration and rollback notes. Migrations are version-controlled and reviewed; destructive schema reversal is not assumed safe. </w:t>
      </w:r>
      <w:r>
        <w:rPr>
          <w:color w:val="1F4E79"/>
          <w:sz w:val="18"/>
        </w:rPr>
        <w:t>[3]</w:t>
      </w:r>
    </w:p>
    <w:p>
      <w:pPr>
        <w:pStyle w:val="ListNumber"/>
        <w:spacing w:after="40"/>
      </w:pPr>
      <w:r>
        <w:rPr>
          <w:sz w:val="18"/>
        </w:rPr>
        <w:t>Safe mode is enabled for any connector or workflow path that could create an unintended external write.</w:t>
      </w:r>
    </w:p>
    <w:p>
      <w:pPr>
        <w:pStyle w:val="Heading2"/>
      </w:pPr>
      <w:r>
        <w:t>Steps</w:t>
      </w:r>
    </w:p>
    <w:p>
      <w:pPr>
        <w:pStyle w:val="ListNumber"/>
        <w:spacing w:after="40"/>
      </w:pPr>
      <w:r>
        <w:rPr>
          <w:sz w:val="18"/>
        </w:rPr>
        <w:t>Open a deployment decision record with release tag, operator, reviewer, UTC start time, changed services, migration list, expected impact, backup identifier, and rollback plan.</w:t>
      </w:r>
    </w:p>
    <w:p>
      <w:pPr>
        <w:pStyle w:val="ListNumber"/>
        <w:spacing w:after="40"/>
      </w:pPr>
      <w:r>
        <w:rPr>
          <w:sz w:val="18"/>
        </w:rPr>
        <w:t>Inspect current health, queue age, active leases, review queue, dead letters, unknown provider outcomes, and resource headroom. Do not deploy while an unresolved incident or unknown external outcome would make the result ambiguous.</w:t>
      </w:r>
    </w:p>
    <w:p>
      <w:pPr>
        <w:pStyle w:val="ListNumber"/>
        <w:spacing w:after="40"/>
      </w:pPr>
      <w:r>
        <w:rPr>
          <w:sz w:val="18"/>
        </w:rPr>
        <w:t>Create an encrypted PostgreSQL backup and record the backup time, retention, storage reference, encryption status, and checksum. Include required R2 object metadata and required objects in the restore plan.</w:t>
      </w:r>
    </w:p>
    <w:p>
      <w:pPr>
        <w:pStyle w:val="ListNumber"/>
        <w:spacing w:after="40"/>
      </w:pPr>
      <w:r>
        <w:rPr>
          <w:sz w:val="18"/>
        </w:rPr>
        <w:t>Verify the backup checksum and record the verification result. Do not proceed if the checksum is absent or does not match.</w:t>
      </w:r>
    </w:p>
    <w:p>
      <w:pPr>
        <w:pStyle w:val="ListNumber"/>
        <w:spacing w:after="40"/>
      </w:pPr>
      <w:r>
        <w:rPr>
          <w:sz w:val="18"/>
        </w:rPr>
        <w:t>Read the migration SQL or migration report. Confirm that the application version is compatible with the pre-migration schema and that rollback does not require destructive reversal. Confirm tenant keys, unique constraints, idempotency constraints, and append-only audit structures are preserved.</w:t>
      </w:r>
    </w:p>
    <w:p>
      <w:pPr>
        <w:pStyle w:val="ListNumber"/>
        <w:spacing w:after="40"/>
      </w:pPr>
      <w:r>
        <w:rPr>
          <w:sz w:val="18"/>
        </w:rPr>
        <w:t>Pull and verify the tagged ARM-compatible release. Keep secrets out of Git and logs.</w:t>
      </w:r>
    </w:p>
    <w:p>
      <w:pPr>
        <w:pStyle w:val="ListNumber"/>
        <w:spacing w:after="40"/>
      </w:pPr>
      <w:r>
        <w:rPr>
          <w:sz w:val="18"/>
        </w:rPr>
        <w:t>Apply only the reviewed compatible migration. Record the migration result and any warnings.</w:t>
      </w:r>
    </w:p>
    <w:p>
      <w:pPr>
        <w:pStyle w:val="ListNumber"/>
        <w:spacing w:after="40"/>
      </w:pPr>
      <w:r>
        <w:rPr>
          <w:sz w:val="18"/>
        </w:rPr>
        <w:t>Restart only the changed service or services. Do not delete volumes as a routine rollback or deployment step.</w:t>
      </w:r>
    </w:p>
    <w:p>
      <w:pPr>
        <w:pStyle w:val="ListNumber"/>
        <w:spacing w:after="40"/>
      </w:pPr>
      <w:r>
        <w:rPr>
          <w:sz w:val="18"/>
        </w:rPr>
        <w:t>Run health checks for the API, worker, scheduler, integration worker, database, queue/cache, AI Engine, private access, R2 adapter, Clerk path, and Resend adapter as applicable.</w:t>
      </w:r>
    </w:p>
    <w:p>
      <w:pPr>
        <w:pStyle w:val="ListNumber"/>
        <w:spacing w:after="40"/>
      </w:pPr>
      <w:r>
        <w:rPr>
          <w:sz w:val="18"/>
        </w:rPr>
        <w:t>Run the smoke test: authenticate; open the synthetic onboarding form; submit a synthetic document; verify case, document metadata, durable AI job, audit event, AI result fields, routing decision, and review/approval behavior; confirm that any external action is either safely blocked or uses the authorized test path.</w:t>
      </w:r>
    </w:p>
    <w:p>
      <w:pPr>
        <w:pStyle w:val="ListNumber"/>
        <w:spacing w:after="40"/>
      </w:pPr>
      <w:r>
        <w:rPr>
          <w:sz w:val="18"/>
        </w:rPr>
        <w:t>Inspect queue age, worker heartbeat, dead letters, logs, resource state, and model/version audit after the smoke test.</w:t>
      </w:r>
    </w:p>
    <w:p>
      <w:pPr>
        <w:pStyle w:val="ListNumber"/>
        <w:spacing w:after="40"/>
      </w:pPr>
      <w:r>
        <w:rPr>
          <w:sz w:val="18"/>
        </w:rPr>
        <w:t>Declare the release successful only if all checks pass and the decision record is signed by the operator and reviewer.</w:t>
      </w:r>
    </w:p>
    <w:p>
      <w:pPr>
        <w:pStyle w:val="ListNumber"/>
        <w:spacing w:after="40"/>
      </w:pPr>
      <w:r>
        <w:rPr>
          <w:sz w:val="18"/>
        </w:rPr>
        <w:t>If the release fails, keep evidence, place unsafe connectors in safe mode, and deploy the compatible prior image when application rollback is safe. If schema state cannot be safely reversed, restore using the recovery plan after evidence preservation and an explicit decision; do not improvise destructive schema changes.</w:t>
      </w:r>
    </w:p>
    <w:p>
      <w:pPr>
        <w:pStyle w:val="Heading2"/>
      </w:pPr>
      <w:r>
        <w:t>Expected result</w:t>
      </w:r>
    </w:p>
    <w:p>
      <w:pPr>
        <w:spacing w:after="100" w:line="259" w:lineRule="auto"/>
      </w:pPr>
      <w:r>
        <w:rPr>
          <w:sz w:val="19"/>
        </w:rPr>
        <w:t>A tagged, traceable, ARM-compatible release is running; migration review, encrypted backup, checksum, health checks, smoke tests, queue/worker inspection, and rollback notes are recorded; no unresolved critical security or data-loss defect remains.</w:t>
      </w:r>
    </w:p>
    <w:p>
      <w:pPr>
        <w:pStyle w:val="Heading2"/>
      </w:pPr>
      <w:r>
        <w:t>Failure response</w:t>
      </w:r>
    </w:p>
    <w:p>
      <w:pPr>
        <w:spacing w:after="100" w:line="259" w:lineRule="auto"/>
      </w:pPr>
      <w:r>
        <w:rPr>
          <w:sz w:val="19"/>
        </w:rPr>
        <w:t>Stop promotion. Do not mark the release successful because the frontend responds. Preserve logs and correlation IDs, stop unsafe connector actions, restrict access if necessary, and identify affected tenant/object scope. Roll back the image only when compatible. Restore from backup only under the recovery procedure and only after evidence preservation. Escalate any critical security, tenant-isolation, data-loss, migration, or unknown-provider-outcome defect.</w:t>
      </w:r>
    </w:p>
    <w:p>
      <w:pPr>
        <w:pStyle w:val="Heading2"/>
      </w:pPr>
      <w:r>
        <w:t>New assumptions</w:t>
      </w:r>
    </w:p>
    <w:p>
      <w:pPr>
        <w:pStyle w:val="ListNumber"/>
        <w:spacing w:after="40"/>
      </w:pPr>
      <w:r>
        <w:rPr>
          <w:b/>
          <w:sz w:val="18"/>
        </w:rPr>
        <w:t>New operational assumption:</w:t>
      </w:r>
      <w:r>
        <w:rPr>
          <w:sz w:val="18"/>
        </w:rPr>
        <w:t xml:space="preserve"> Every release has a named operator and independent reviewer.</w:t>
      </w:r>
    </w:p>
    <w:p>
      <w:pPr>
        <w:pStyle w:val="ListNumber"/>
        <w:spacing w:after="40"/>
      </w:pPr>
      <w:r>
        <w:rPr>
          <w:b/>
          <w:sz w:val="18"/>
        </w:rPr>
        <w:t>New operational assumption:</w:t>
      </w:r>
      <w:r>
        <w:rPr>
          <w:sz w:val="18"/>
        </w:rPr>
        <w:t xml:space="preserve"> The tagged release contains enough migration and rollback information for a non-developer to make the stated go/no-go decision.</w:t>
      </w:r>
    </w:p>
    <w:p>
      <w:pPr>
        <w:pStyle w:val="ListNumber"/>
        <w:spacing w:after="40"/>
      </w:pPr>
      <w:r>
        <w:rPr>
          <w:sz w:val="18"/>
        </w:rPr>
        <w:t>The approved inputs require a backup, reviewed migrations, health checks, smoke tests, and rollback notes, but do not prescribe a release frequency; release frequency is an operational choice.</w:t>
      </w:r>
    </w:p>
    <w:p>
      <w:pPr>
        <w:pStyle w:val="Heading1"/>
      </w:pPr>
      <w:r>
        <w:t>5. Procedure: Encrypted backup, checksum verification, and isolated restore</w:t>
      </w:r>
    </w:p>
    <w:p>
      <w:pPr>
        <w:pStyle w:val="Heading2"/>
      </w:pPr>
      <w:r>
        <w:t>Purpose</w:t>
      </w:r>
    </w:p>
    <w:p>
      <w:pPr>
        <w:spacing w:after="100" w:line="259" w:lineRule="auto"/>
      </w:pPr>
      <w:r>
        <w:rPr>
          <w:sz w:val="19"/>
        </w:rPr>
        <w:t>Prove that PostgreSQL durable state and required R2 metadata/objects can be recovered without overwriting the live environment or losing auditability.</w:t>
      </w:r>
    </w:p>
    <w:p>
      <w:pPr>
        <w:pStyle w:val="Heading2"/>
      </w:pPr>
      <w:r>
        <w:t>When to use</w:t>
      </w:r>
    </w:p>
    <w:p>
      <w:pPr>
        <w:spacing w:after="100" w:line="259" w:lineRule="auto"/>
      </w:pPr>
      <w:r>
        <w:rPr>
          <w:sz w:val="19"/>
        </w:rPr>
        <w:t>Run before a sensitive pilot, on the cadence in the recovery decision record, before a high-risk migration, after a major data change, and whenever an incident requires recovery.</w:t>
      </w:r>
    </w:p>
    <w:p>
      <w:pPr>
        <w:pStyle w:val="Heading2"/>
      </w:pPr>
      <w:r>
        <w:t>Prerequisites</w:t>
      </w:r>
    </w:p>
    <w:p>
      <w:pPr>
        <w:pStyle w:val="ListNumber"/>
        <w:spacing w:after="40"/>
      </w:pPr>
      <w:r>
        <w:rPr>
          <w:sz w:val="18"/>
        </w:rPr>
        <w:t>A backup destination with encryption and restricted access is configured.</w:t>
      </w:r>
    </w:p>
    <w:p>
      <w:pPr>
        <w:pStyle w:val="ListNumber"/>
        <w:spacing w:after="40"/>
      </w:pPr>
      <w:r>
        <w:rPr>
          <w:sz w:val="18"/>
        </w:rPr>
        <w:t>The recovery operator has access to the database backup, required R2 metadata and objects, the checksum, the retention policy, and the isolated restore environment.</w:t>
      </w:r>
    </w:p>
    <w:p>
      <w:pPr>
        <w:pStyle w:val="ListNumber"/>
        <w:spacing w:after="40"/>
      </w:pPr>
      <w:r>
        <w:rPr>
          <w:sz w:val="18"/>
        </w:rPr>
        <w:t>The restore test uses synthetic or approved redacted data unless an incident decision explicitly authorizes otherwise.</w:t>
      </w:r>
    </w:p>
    <w:p>
      <w:pPr>
        <w:pStyle w:val="ListNumber"/>
        <w:spacing w:after="40"/>
      </w:pPr>
      <w:r>
        <w:rPr>
          <w:sz w:val="18"/>
        </w:rPr>
        <w:t>The live database and live R2 objects are not the restore target.</w:t>
      </w:r>
    </w:p>
    <w:p>
      <w:pPr>
        <w:pStyle w:val="Heading2"/>
      </w:pPr>
      <w:r>
        <w:t>Steps</w:t>
      </w:r>
    </w:p>
    <w:p>
      <w:pPr>
        <w:pStyle w:val="ListNumber"/>
        <w:spacing w:after="40"/>
      </w:pPr>
      <w:r>
        <w:rPr>
          <w:sz w:val="18"/>
        </w:rPr>
        <w:t>Record the backup identifier, UTC start time, source release, database version, scope, retention class, and operator.</w:t>
      </w:r>
    </w:p>
    <w:p>
      <w:pPr>
        <w:pStyle w:val="ListNumber"/>
        <w:spacing w:after="40"/>
      </w:pPr>
      <w:r>
        <w:rPr>
          <w:sz w:val="18"/>
        </w:rPr>
        <w:t>Create a logical or approved physical PostgreSQL backup. Encrypt it before storage. Record the encryption state and checksum.</w:t>
      </w:r>
    </w:p>
    <w:p>
      <w:pPr>
        <w:pStyle w:val="ListNumber"/>
        <w:spacing w:after="40"/>
      </w:pPr>
      <w:r>
        <w:rPr>
          <w:sz w:val="18"/>
        </w:rPr>
        <w:t>Record the required R2 object keys, object metadata, SHA-256 hashes, evidence references, retention state, and any required configuration needed to reconstruct the case path. Do not copy ordinary large binaries into PostgreSQL.</w:t>
      </w:r>
    </w:p>
    <w:p>
      <w:pPr>
        <w:pStyle w:val="ListNumber"/>
        <w:spacing w:after="40"/>
      </w:pPr>
      <w:r>
        <w:rPr>
          <w:sz w:val="18"/>
        </w:rPr>
        <w:t>Verify the checksum after creation and again before restore. If the checksum differs, quarantine the backup and create a failed recovery record.</w:t>
      </w:r>
    </w:p>
    <w:p>
      <w:pPr>
        <w:pStyle w:val="ListNumber"/>
        <w:spacing w:after="40"/>
      </w:pPr>
      <w:r>
        <w:rPr>
          <w:sz w:val="18"/>
        </w:rPr>
        <w:t>Create an isolated database and isolated object namespace or equivalent test boundary. Never restore over the live database for a routine drill.</w:t>
      </w:r>
    </w:p>
    <w:p>
      <w:pPr>
        <w:pStyle w:val="ListNumber"/>
        <w:spacing w:after="40"/>
      </w:pPr>
      <w:r>
        <w:rPr>
          <w:sz w:val="18"/>
        </w:rPr>
        <w:t>Restore PostgreSQL into the isolated database. Restore or attach the required R2 test objects and verify object hashes and metadata.</w:t>
      </w:r>
    </w:p>
    <w:p>
      <w:pPr>
        <w:pStyle w:val="ListNumber"/>
        <w:spacing w:after="40"/>
      </w:pPr>
      <w:r>
        <w:rPr>
          <w:sz w:val="18"/>
        </w:rPr>
        <w:t>Run the smoke suite: login path, workspace/member authorization, case lookup, review task, AI result and confidence components, routing decision, audit event/correlation identifier, queue/worker state, retention state, and deletion-record visibility.</w:t>
      </w:r>
    </w:p>
    <w:p>
      <w:pPr>
        <w:pStyle w:val="ListNumber"/>
        <w:spacing w:after="40"/>
      </w:pPr>
      <w:r>
        <w:rPr>
          <w:sz w:val="18"/>
        </w:rPr>
        <w:t>Verify cross-tenant negative tests: an actor from one workspace cannot read or alter another workspace's cases, documents, jobs, results, workflows, integrations, billing, or audit events.</w:t>
      </w:r>
    </w:p>
    <w:p>
      <w:pPr>
        <w:pStyle w:val="ListNumber"/>
        <w:spacing w:after="40"/>
      </w:pPr>
      <w:r>
        <w:rPr>
          <w:sz w:val="18"/>
        </w:rPr>
        <w:t>Verify that the restore preserves original AI results, source evidence references, human corrections, approvals, integration interactions, idempotency keys, and audit history. Corrections must not overwrite original AI results.</w:t>
      </w:r>
    </w:p>
    <w:p>
      <w:pPr>
        <w:pStyle w:val="ListNumber"/>
        <w:spacing w:after="40"/>
      </w:pPr>
      <w:r>
        <w:rPr>
          <w:sz w:val="18"/>
        </w:rPr>
        <w:t>Record pass/fail for database restore, object restore, hash verification, authorization, smoke suite, and audit integrity.</w:t>
      </w:r>
    </w:p>
    <w:p>
      <w:pPr>
        <w:pStyle w:val="ListNumber"/>
        <w:spacing w:after="40"/>
      </w:pPr>
      <w:r>
        <w:rPr>
          <w:sz w:val="18"/>
        </w:rPr>
        <w:t>Delete the isolated test copy under the applicable retention/deletion policy after the decision record is complete. Do not delete the source backup.</w:t>
      </w:r>
    </w:p>
    <w:p>
      <w:pPr>
        <w:pStyle w:val="ListNumber"/>
        <w:spacing w:after="40"/>
      </w:pPr>
      <w:r>
        <w:rPr>
          <w:sz w:val="18"/>
        </w:rPr>
        <w:t>If an actual recovery is required, preserve evidence first, identify tenant and object scope, stop unsafe connectors, and obtain the incident recovery decision before replacing or restoring live state.</w:t>
      </w:r>
    </w:p>
    <w:p>
      <w:pPr>
        <w:pStyle w:val="Heading2"/>
      </w:pPr>
      <w:r>
        <w:t>Expected result</w:t>
      </w:r>
    </w:p>
    <w:p>
      <w:pPr>
        <w:spacing w:after="100" w:line="259" w:lineRule="auto"/>
      </w:pPr>
      <w:r>
        <w:rPr>
          <w:sz w:val="19"/>
        </w:rPr>
        <w:t>An encrypted, checksum-verified backup has been restored into an isolated environment, required object metadata and objects have been verified, and login/case/review/AI-result/worker/tenant-isolation/audit smoke tests pass. The restore result is documented and the isolated test copy is removed under policy.</w:t>
      </w:r>
    </w:p>
    <w:p>
      <w:pPr>
        <w:pStyle w:val="Heading2"/>
      </w:pPr>
      <w:r>
        <w:t>Failure response</w:t>
      </w:r>
    </w:p>
    <w:p>
      <w:pPr>
        <w:spacing w:after="100" w:line="259" w:lineRule="auto"/>
      </w:pPr>
      <w:r>
        <w:rPr>
          <w:sz w:val="19"/>
        </w:rPr>
        <w:t>If encryption, checksum, object hash, restore, authorization, or smoke testing fails, mark recovery as failed and do not call the backup usable. Preserve the failed artifact and evidence, restrict sensitive operations, and escalate. Do not restore over live state to test a theory. Do not claim recoverability until an isolated restore passes.</w:t>
      </w:r>
    </w:p>
    <w:p>
      <w:pPr>
        <w:pStyle w:val="Heading2"/>
      </w:pPr>
      <w:r>
        <w:t>New assumptions</w:t>
      </w:r>
    </w:p>
    <w:p>
      <w:pPr>
        <w:pStyle w:val="ListNumber"/>
        <w:spacing w:after="40"/>
      </w:pPr>
      <w:r>
        <w:rPr>
          <w:b/>
          <w:sz w:val="18"/>
        </w:rPr>
        <w:t>New operational assumption:</w:t>
      </w:r>
      <w:r>
        <w:rPr>
          <w:sz w:val="18"/>
        </w:rPr>
        <w:t xml:space="preserve"> Required R2 objects and metadata can be enumerated from the approved retention and case records.</w:t>
      </w:r>
    </w:p>
    <w:p>
      <w:pPr>
        <w:pStyle w:val="ListNumber"/>
        <w:spacing w:after="40"/>
      </w:pPr>
      <w:r>
        <w:rPr>
          <w:b/>
          <w:sz w:val="18"/>
        </w:rPr>
        <w:t>New operational assumption:</w:t>
      </w:r>
      <w:r>
        <w:rPr>
          <w:sz w:val="18"/>
        </w:rPr>
        <w:t xml:space="preserve"> An isolated database and object namespace can be created without exposing restored sensitive data.</w:t>
      </w:r>
    </w:p>
    <w:p>
      <w:pPr>
        <w:pStyle w:val="ListNumber"/>
        <w:spacing w:after="40"/>
      </w:pPr>
      <w:r>
        <w:rPr>
          <w:sz w:val="18"/>
        </w:rPr>
        <w:t>The approved inputs require encrypted backup, checksums, retention, and isolated restore, but do not specify backup frequency or retention duration; those values require an approved operational and legal decision.</w:t>
      </w:r>
    </w:p>
    <w:p>
      <w:pPr>
        <w:pStyle w:val="Heading1"/>
      </w:pPr>
      <w:r>
        <w:t>6. Procedure: Secret rotation and access review</w:t>
      </w:r>
    </w:p>
    <w:p>
      <w:pPr>
        <w:pStyle w:val="Heading2"/>
      </w:pPr>
      <w:r>
        <w:t>Purpose</w:t>
      </w:r>
    </w:p>
    <w:p>
      <w:pPr>
        <w:spacing w:after="100" w:line="259" w:lineRule="auto"/>
      </w:pPr>
      <w:r>
        <w:rPr>
          <w:sz w:val="19"/>
        </w:rPr>
        <w:t>Replace credentials or service secrets without exposing them, silently breaking tenant authorization, or losing the ability to audit the change.</w:t>
      </w:r>
    </w:p>
    <w:p>
      <w:pPr>
        <w:pStyle w:val="Heading2"/>
      </w:pPr>
      <w:r>
        <w:t>When to use</w:t>
      </w:r>
    </w:p>
    <w:p>
      <w:pPr>
        <w:spacing w:after="100" w:line="259" w:lineRule="auto"/>
      </w:pPr>
      <w:r>
        <w:rPr>
          <w:sz w:val="19"/>
        </w:rPr>
        <w:t>Use after suspected exposure, personnel or role change, connector scope change, an incident, a provider requirement, or the operational cadence selected for the pilot.</w:t>
      </w:r>
    </w:p>
    <w:p>
      <w:pPr>
        <w:pStyle w:val="Heading2"/>
      </w:pPr>
      <w:r>
        <w:t>Prerequisites</w:t>
      </w:r>
    </w:p>
    <w:p>
      <w:pPr>
        <w:pStyle w:val="ListNumber"/>
        <w:spacing w:after="40"/>
      </w:pPr>
      <w:r>
        <w:rPr>
          <w:sz w:val="18"/>
        </w:rPr>
        <w:t>A secret inventory exists for Clerk, database, Valkey, R2, Resend, Cloudflare private access, integration connections, API keys, and service credentials as applicable to the deployed baseline.</w:t>
      </w:r>
    </w:p>
    <w:p>
      <w:pPr>
        <w:pStyle w:val="ListNumber"/>
        <w:spacing w:after="40"/>
      </w:pPr>
      <w:r>
        <w:rPr>
          <w:sz w:val="18"/>
        </w:rPr>
        <w:t>Each secret has an owner, scope, active/inactive status, expiry or review date, and a reference rather than raw secret text in the database and logs.</w:t>
      </w:r>
    </w:p>
    <w:p>
      <w:pPr>
        <w:pStyle w:val="ListNumber"/>
        <w:spacing w:after="40"/>
      </w:pPr>
      <w:r>
        <w:rPr>
          <w:sz w:val="18"/>
        </w:rPr>
        <w:t>A maintenance window or safe-mode plan exists for any connector affected by rotation.</w:t>
      </w:r>
    </w:p>
    <w:p>
      <w:pPr>
        <w:pStyle w:val="ListNumber"/>
        <w:spacing w:after="40"/>
      </w:pPr>
      <w:r>
        <w:rPr>
          <w:sz w:val="18"/>
        </w:rPr>
        <w:t>A tested rollback or reversion path exists without writing the secret into source control.</w:t>
      </w:r>
    </w:p>
    <w:p>
      <w:pPr>
        <w:pStyle w:val="Heading2"/>
      </w:pPr>
      <w:r>
        <w:t>Steps</w:t>
      </w:r>
    </w:p>
    <w:p>
      <w:pPr>
        <w:pStyle w:val="ListNumber"/>
        <w:spacing w:after="40"/>
      </w:pPr>
      <w:r>
        <w:rPr>
          <w:sz w:val="18"/>
        </w:rPr>
        <w:t>Open a secret-rotation record with reason, affected service/provider, operator, reviewer, current credential reference, target credential reference, expected downtime, and safe-mode decision. Never paste the secret into the record.</w:t>
      </w:r>
    </w:p>
    <w:p>
      <w:pPr>
        <w:pStyle w:val="ListNumber"/>
        <w:spacing w:after="40"/>
      </w:pPr>
      <w:r>
        <w:rPr>
          <w:sz w:val="18"/>
        </w:rPr>
        <w:t>Review access scope and workspace ownership. Authentication through Clerk does not itself grant workspace authorization; membership and role checks remain Formiva-owned.</w:t>
      </w:r>
    </w:p>
    <w:p>
      <w:pPr>
        <w:pStyle w:val="ListNumber"/>
        <w:spacing w:after="40"/>
      </w:pPr>
      <w:r>
        <w:rPr>
          <w:sz w:val="18"/>
        </w:rPr>
        <w:t>Create or obtain the replacement credential using the approved provider or service boundary. Store only the protected reference required by the application.</w:t>
      </w:r>
    </w:p>
    <w:p>
      <w:pPr>
        <w:pStyle w:val="ListNumber"/>
        <w:spacing w:after="40"/>
      </w:pPr>
      <w:r>
        <w:rPr>
          <w:sz w:val="18"/>
        </w:rPr>
        <w:t>Update the secret reference in the approved secret-management location and deployment configuration. Do not commit it to Git, print it in logs, or include it in screenshots.</w:t>
      </w:r>
    </w:p>
    <w:p>
      <w:pPr>
        <w:pStyle w:val="ListNumber"/>
        <w:spacing w:after="40"/>
      </w:pPr>
      <w:r>
        <w:rPr>
          <w:sz w:val="18"/>
        </w:rPr>
        <w:t>Test private health, database/queue access, R2 object access, Resend delivery status, and any affected connector through a redacted health or dry-run path.</w:t>
      </w:r>
    </w:p>
    <w:p>
      <w:pPr>
        <w:pStyle w:val="ListNumber"/>
        <w:spacing w:after="40"/>
      </w:pPr>
      <w:r>
        <w:rPr>
          <w:sz w:val="18"/>
        </w:rPr>
        <w:t>Keep the prior credential available only for the controlled overlap or rollback period defined in the rotation record. Revoke the prior credential when the replacement is verified, or immediately when compromise is suspected.</w:t>
      </w:r>
    </w:p>
    <w:p>
      <w:pPr>
        <w:pStyle w:val="ListNumber"/>
        <w:spacing w:after="40"/>
      </w:pPr>
      <w:r>
        <w:rPr>
          <w:sz w:val="18"/>
        </w:rPr>
        <w:t>Inspect logs for authentication failures, unexpected use of the old credential, permission changes, and tenant-scope errors.</w:t>
      </w:r>
    </w:p>
    <w:p>
      <w:pPr>
        <w:pStyle w:val="ListNumber"/>
        <w:spacing w:after="40"/>
      </w:pPr>
      <w:r>
        <w:rPr>
          <w:sz w:val="18"/>
        </w:rPr>
        <w:t>Record rotation completion, tests, old-credential revocation, owner, and next review date.</w:t>
      </w:r>
    </w:p>
    <w:p>
      <w:pPr>
        <w:pStyle w:val="Heading2"/>
      </w:pPr>
      <w:r>
        <w:t>Expected result</w:t>
      </w:r>
    </w:p>
    <w:p>
      <w:pPr>
        <w:spacing w:after="100" w:line="259" w:lineRule="auto"/>
      </w:pPr>
      <w:r>
        <w:rPr>
          <w:sz w:val="19"/>
        </w:rPr>
        <w:t>The new credential is active, the old credential is revoked or explicitly controlled for a documented overlap, affected services pass health checks, no raw secret appears in logs or source control, and the rotation is auditable.</w:t>
      </w:r>
    </w:p>
    <w:p>
      <w:pPr>
        <w:pStyle w:val="Heading2"/>
      </w:pPr>
      <w:r>
        <w:t>Failure response</w:t>
      </w:r>
    </w:p>
    <w:p>
      <w:pPr>
        <w:spacing w:after="100" w:line="259" w:lineRule="auto"/>
      </w:pPr>
      <w:r>
        <w:rPr>
          <w:sz w:val="19"/>
        </w:rPr>
        <w:t>If a replacement fails, keep affected external actions in safe mode, preserve the rotation evidence, and restore only the last known-good credential reference if it is not compromised. If compromise is suspected, revoke the affected credential, restrict access, identify tenant/object scope, and invoke incident response. Do not retry a failing connector with an unknown credential or log the secret to diagnose it.</w:t>
      </w:r>
    </w:p>
    <w:p>
      <w:pPr>
        <w:pStyle w:val="Heading2"/>
      </w:pPr>
      <w:r>
        <w:t>New assumptions</w:t>
      </w:r>
    </w:p>
    <w:p>
      <w:pPr>
        <w:pStyle w:val="ListNumber"/>
        <w:spacing w:after="40"/>
      </w:pPr>
      <w:r>
        <w:rPr>
          <w:b/>
          <w:sz w:val="18"/>
        </w:rPr>
        <w:t>New operational assumption:</w:t>
      </w:r>
      <w:r>
        <w:rPr>
          <w:sz w:val="18"/>
        </w:rPr>
        <w:t xml:space="preserve"> Secret review and rotation occur at a defined cadence recorded in the sensitive-pilot decision record; the approved inputs require rotation but do not prescribe a cadence.</w:t>
      </w:r>
    </w:p>
    <w:p>
      <w:pPr>
        <w:pStyle w:val="ListNumber"/>
        <w:spacing w:after="40"/>
      </w:pPr>
      <w:r>
        <w:rPr>
          <w:b/>
          <w:sz w:val="18"/>
        </w:rPr>
        <w:t>New operational assumption:</w:t>
      </w:r>
      <w:r>
        <w:rPr>
          <w:sz w:val="18"/>
        </w:rPr>
        <w:t xml:space="preserve"> Providers support a replacement-and-revoke sequence that avoids a long outage.</w:t>
      </w:r>
    </w:p>
    <w:p>
      <w:pPr>
        <w:pStyle w:val="ListNumber"/>
        <w:spacing w:after="40"/>
      </w:pPr>
      <w:r>
        <w:rPr>
          <w:b/>
          <w:sz w:val="18"/>
        </w:rPr>
        <w:t>New operational assumption:</w:t>
      </w:r>
      <w:r>
        <w:rPr>
          <w:sz w:val="18"/>
        </w:rPr>
        <w:t xml:space="preserve"> A protected secret-reference mechanism exists even though the approved schema stores credential references rather than raw secrets.</w:t>
      </w:r>
    </w:p>
    <w:p>
      <w:pPr>
        <w:pStyle w:val="Heading1"/>
      </w:pPr>
      <w:r>
        <w:t>7. Procedure: AI benchmark, model promotion, and rollback</w:t>
      </w:r>
    </w:p>
    <w:p>
      <w:pPr>
        <w:pStyle w:val="Heading2"/>
      </w:pPr>
      <w:r>
        <w:t>Purpose</w:t>
      </w:r>
    </w:p>
    <w:p>
      <w:pPr>
        <w:spacing w:after="100" w:line="259" w:lineRule="auto"/>
      </w:pPr>
      <w:r>
        <w:rPr>
          <w:sz w:val="19"/>
        </w:rPr>
        <w:t>Select and operate a CPU-only AI model using measured evidence rather than an assumed throughput, accuracy, or confidence threshold.</w:t>
      </w:r>
    </w:p>
    <w:p>
      <w:pPr>
        <w:pStyle w:val="Heading2"/>
      </w:pPr>
      <w:r>
        <w:t>When to use</w:t>
      </w:r>
    </w:p>
    <w:p>
      <w:pPr>
        <w:spacing w:after="100" w:line="259" w:lineRule="auto"/>
      </w:pPr>
      <w:r>
        <w:rPr>
          <w:sz w:val="19"/>
        </w:rPr>
        <w:t>Use before selecting the first model, before changing the model/OCR/runtime, before changing concurrency or routing thresholds, and after a material change to fixtures, preprocessing, or VM2 resources.</w:t>
      </w:r>
    </w:p>
    <w:p>
      <w:pPr>
        <w:pStyle w:val="Heading2"/>
      </w:pPr>
      <w:r>
        <w:t>Prerequisites</w:t>
      </w:r>
    </w:p>
    <w:p>
      <w:pPr>
        <w:pStyle w:val="ListNumber"/>
        <w:spacing w:after="40"/>
      </w:pPr>
      <w:r>
        <w:rPr>
          <w:sz w:val="18"/>
        </w:rPr>
        <w:t>A synthetic or redacted benchmark corpus represents launch languages, document classes, and representative layouts.</w:t>
      </w:r>
    </w:p>
    <w:p>
      <w:pPr>
        <w:pStyle w:val="ListNumber"/>
        <w:spacing w:after="40"/>
      </w:pPr>
      <w:r>
        <w:rPr>
          <w:sz w:val="18"/>
        </w:rPr>
        <w:t>The AI Engine is private and accepts stored object references rather than arbitrary public URLs.</w:t>
      </w:r>
    </w:p>
    <w:p>
      <w:pPr>
        <w:pStyle w:val="ListNumber"/>
        <w:spacing w:after="40"/>
      </w:pPr>
      <w:r>
        <w:rPr>
          <w:sz w:val="18"/>
        </w:rPr>
        <w:t>The model registry can record model ID, version, digest, runtime, license, languages, benchmark dataset, metrics, approval status, OCR version, engine version, and rollback metadata.</w:t>
      </w:r>
    </w:p>
    <w:p>
      <w:pPr>
        <w:pStyle w:val="ListNumber"/>
        <w:spacing w:after="40"/>
      </w:pPr>
      <w:r>
        <w:rPr>
          <w:sz w:val="18"/>
        </w:rPr>
        <w:t>The routing policy and human-review path are enabled. No benchmark can authorize sensitive action by itself.</w:t>
      </w:r>
    </w:p>
    <w:p>
      <w:pPr>
        <w:pStyle w:val="ListNumber"/>
        <w:spacing w:after="40"/>
      </w:pPr>
      <w:r>
        <w:rPr>
          <w:sz w:val="18"/>
        </w:rPr>
        <w:t>VM2 resource limits, file size, page count, pixel limit, timeout, and concurrency limit are recorded.</w:t>
      </w:r>
    </w:p>
    <w:p>
      <w:pPr>
        <w:pStyle w:val="Heading2"/>
      </w:pPr>
      <w:r>
        <w:t>Steps</w:t>
      </w:r>
    </w:p>
    <w:p>
      <w:pPr>
        <w:pStyle w:val="ListNumber"/>
        <w:spacing w:after="40"/>
      </w:pPr>
      <w:r>
        <w:rPr>
          <w:sz w:val="18"/>
        </w:rPr>
        <w:t>Create a benchmark record with model candidate, model/runtime version, OCR version, engine version, fixture version, CPU/RAM allocation, file size/page distribution, concurrency, preprocessing, and policy version.</w:t>
      </w:r>
    </w:p>
    <w:p>
      <w:pPr>
        <w:pStyle w:val="ListNumber"/>
        <w:spacing w:after="40"/>
      </w:pPr>
      <w:r>
        <w:rPr>
          <w:sz w:val="18"/>
        </w:rPr>
        <w:t>Run the same fixtures through the candidate using CPU-only VM2 conditions. Record p50/p95 latency, peak RSS, CPU/memory headroom, OCR quality, classification accuracy by class, extraction quality, confidence components, calibration, queue age, timeout/error rate, and failure reasons.</w:t>
      </w:r>
    </w:p>
    <w:p>
      <w:pPr>
        <w:pStyle w:val="ListNumber"/>
        <w:spacing w:after="40"/>
      </w:pPr>
      <w:r>
        <w:rPr>
          <w:sz w:val="18"/>
        </w:rPr>
        <w:t>Run a mixed load test: concurrent API and PostgreSQL load on VM1 while the AI workload runs on VM2. Confirm that database, queue, and backup services on VM1 and the AI Engine on VM2 remain bounded.</w:t>
      </w:r>
    </w:p>
    <w:p>
      <w:pPr>
        <w:pStyle w:val="ListNumber"/>
        <w:spacing w:after="40"/>
      </w:pPr>
      <w:r>
        <w:rPr>
          <w:sz w:val="18"/>
        </w:rPr>
        <w:t>Check safety behavior: missing model, timeout, low-quality OCR, malformed output, invalid class, missing evidence, stale policy, or unknown confidence must fail visibly or route to review. They must never become an approval.</w:t>
      </w:r>
    </w:p>
    <w:p>
      <w:pPr>
        <w:pStyle w:val="ListNumber"/>
        <w:spacing w:after="40"/>
      </w:pPr>
      <w:r>
        <w:rPr>
          <w:sz w:val="18"/>
        </w:rPr>
        <w:t>Compare the candidate against the currently approved model on the same fixtures. Record material gains and regressions by class, language, sensitivity, and routing outcome.</w:t>
      </w:r>
    </w:p>
    <w:p>
      <w:pPr>
        <w:pStyle w:val="ListNumber"/>
        <w:spacing w:after="40"/>
      </w:pPr>
      <w:r>
        <w:rPr>
          <w:sz w:val="18"/>
        </w:rPr>
        <w:t>Have the designated reviewer approve or reject promotion. Promotion requires the benchmark comparison, explicit change record, registry update, version/digest, rollback metadata, and confirmation that routing thresholds were not changed implicitly.</w:t>
      </w:r>
    </w:p>
    <w:p>
      <w:pPr>
        <w:pStyle w:val="ListNumber"/>
        <w:spacing w:after="40"/>
      </w:pPr>
      <w:r>
        <w:rPr>
          <w:sz w:val="18"/>
        </w:rPr>
        <w:t>Promote only by changing the approved model reference through the tagged release or approved configuration change. A model cannot self-promote or change routing thresholds.</w:t>
      </w:r>
    </w:p>
    <w:p>
      <w:pPr>
        <w:pStyle w:val="ListNumber"/>
        <w:spacing w:after="40"/>
      </w:pPr>
      <w:r>
        <w:rPr>
          <w:sz w:val="18"/>
        </w:rPr>
        <w:t xml:space="preserve">Run the synthetic smoke test and inspect model/version audit fields in </w:t>
      </w:r>
      <w:r>
        <w:rPr>
          <w:rFonts w:ascii="Courier New" w:hAnsi="Courier New"/>
          <w:sz w:val="18"/>
        </w:rPr>
        <w:t>ai_executions</w:t>
      </w:r>
      <w:r>
        <w:rPr>
          <w:sz w:val="18"/>
        </w:rPr>
        <w:t xml:space="preserve">, </w:t>
      </w:r>
      <w:r>
        <w:rPr>
          <w:rFonts w:ascii="Courier New" w:hAnsi="Courier New"/>
          <w:sz w:val="18"/>
        </w:rPr>
        <w:t>ai_results</w:t>
      </w:r>
      <w:r>
        <w:rPr>
          <w:sz w:val="18"/>
        </w:rPr>
        <w:t>, and related audit events.</w:t>
      </w:r>
    </w:p>
    <w:p>
      <w:pPr>
        <w:pStyle w:val="ListNumber"/>
        <w:spacing w:after="40"/>
      </w:pPr>
      <w:r>
        <w:rPr>
          <w:sz w:val="18"/>
        </w:rPr>
        <w:t>Monitor queue age, failures, review rate, correction rate, and resource headroom after promotion.</w:t>
      </w:r>
    </w:p>
    <w:p>
      <w:pPr>
        <w:pStyle w:val="ListNumber"/>
        <w:spacing w:after="40"/>
      </w:pPr>
      <w:r>
        <w:rPr>
          <w:sz w:val="18"/>
        </w:rPr>
        <w:t>Roll back to the prior approved model/version if the candidate exceeds the recorded resource budget, degrades measured quality or calibration, increases unsafe routing, or creates operational instability. Preserve all candidate results and the reason for rollback.</w:t>
      </w:r>
    </w:p>
    <w:p>
      <w:pPr>
        <w:pStyle w:val="Heading2"/>
      </w:pPr>
      <w:r>
        <w:t>Expected result</w:t>
      </w:r>
    </w:p>
    <w:p>
      <w:pPr>
        <w:spacing w:after="100" w:line="259" w:lineRule="auto"/>
      </w:pPr>
      <w:r>
        <w:rPr>
          <w:sz w:val="19"/>
        </w:rPr>
        <w:t>A model/version has a reproducible benchmark record, registry approval, model/OCR/engine audit fields, known resource behavior, and an explicit rollback path. Sensitive or uncertain work still routes to human review.</w:t>
      </w:r>
    </w:p>
    <w:p>
      <w:pPr>
        <w:pStyle w:val="Heading2"/>
      </w:pPr>
      <w:r>
        <w:t>Failure response</w:t>
      </w:r>
    </w:p>
    <w:p>
      <w:pPr>
        <w:spacing w:after="100" w:line="259" w:lineRule="auto"/>
      </w:pPr>
      <w:r>
        <w:rPr>
          <w:sz w:val="19"/>
        </w:rPr>
        <w:t>Do not promote. Reduce model size or concurrency, route more cases to human review, or use only an approved managed adapter after privacy and cost review. If the live model is unsafe, enter safe mode, stop sensitive automatic actions, preserve evidence, and roll back to the last approved version. Do not improve an apparent metric by silently weakening thresholds.</w:t>
      </w:r>
    </w:p>
    <w:p>
      <w:pPr>
        <w:pStyle w:val="Heading2"/>
      </w:pPr>
      <w:r>
        <w:t>New assumptions</w:t>
      </w:r>
    </w:p>
    <w:p>
      <w:pPr>
        <w:pStyle w:val="ListNumber"/>
        <w:spacing w:after="40"/>
      </w:pPr>
      <w:r>
        <w:rPr>
          <w:b/>
          <w:sz w:val="18"/>
        </w:rPr>
        <w:t>New operational assumption:</w:t>
      </w:r>
      <w:r>
        <w:rPr>
          <w:sz w:val="18"/>
        </w:rPr>
        <w:t xml:space="preserve"> The first benchmark corpus is large and representative enough to calibrate the first model; this is a new PRD assumption and must be recorded with coverage.</w:t>
      </w:r>
    </w:p>
    <w:p>
      <w:pPr>
        <w:pStyle w:val="ListNumber"/>
        <w:spacing w:after="40"/>
      </w:pPr>
      <w:r>
        <w:rPr>
          <w:b/>
          <w:sz w:val="18"/>
        </w:rPr>
        <w:t>New operational assumption:</w:t>
      </w:r>
      <w:r>
        <w:rPr>
          <w:sz w:val="18"/>
        </w:rPr>
        <w:t xml:space="preserve"> The operator selects numeric pass thresholds for latency, RSS, accuracy, calibration, queue age, and failure rate before comparing candidates.</w:t>
      </w:r>
    </w:p>
    <w:p>
      <w:pPr>
        <w:pStyle w:val="ListNumber"/>
        <w:spacing w:after="40"/>
      </w:pPr>
      <w:r>
        <w:rPr>
          <w:sz w:val="18"/>
        </w:rPr>
        <w:t>The approved inputs require benchmark evidence but do not define one global confidence threshold; thresholds must be calibrated by document class, language, and action risk.</w:t>
      </w:r>
    </w:p>
    <w:p>
      <w:pPr>
        <w:pStyle w:val="Heading1"/>
      </w:pPr>
      <w:r>
        <w:t>8. Procedure: Stuck job and dead-letter diagnosis, replay, and escalation</w:t>
      </w:r>
    </w:p>
    <w:p>
      <w:pPr>
        <w:pStyle w:val="Heading2"/>
      </w:pPr>
      <w:r>
        <w:t>Purpose</w:t>
      </w:r>
    </w:p>
    <w:p>
      <w:pPr>
        <w:spacing w:after="100" w:line="259" w:lineRule="auto"/>
      </w:pPr>
      <w:r>
        <w:rPr>
          <w:sz w:val="19"/>
        </w:rPr>
        <w:t>Recover failed AI, workflow, notification, or integration work without deleting evidence or creating duplicate business effects.</w:t>
      </w:r>
    </w:p>
    <w:p>
      <w:pPr>
        <w:pStyle w:val="Heading2"/>
      </w:pPr>
      <w:r>
        <w:t>When to use</w:t>
      </w:r>
    </w:p>
    <w:p>
      <w:pPr>
        <w:spacing w:after="100" w:line="259" w:lineRule="auto"/>
      </w:pPr>
      <w:r>
        <w:rPr>
          <w:sz w:val="19"/>
        </w:rPr>
        <w:t>Use when a job exceeds its lease, queue age grows, a worker stops heartbeating, retries are exhausted, a dead letter appears, or a provider outcome is unknown.</w:t>
      </w:r>
    </w:p>
    <w:p>
      <w:pPr>
        <w:pStyle w:val="Heading2"/>
      </w:pPr>
      <w:r>
        <w:t>Prerequisites</w:t>
      </w:r>
    </w:p>
    <w:p>
      <w:pPr>
        <w:pStyle w:val="ListNumber"/>
        <w:spacing w:after="40"/>
      </w:pPr>
      <w:r>
        <w:rPr>
          <w:sz w:val="18"/>
        </w:rPr>
        <w:t>The job has a durable PostgreSQL row with workspace, case/document, idempotency key, status, attempt count, lease timestamps, correlation ID, and error classification.</w:t>
      </w:r>
    </w:p>
    <w:p>
      <w:pPr>
        <w:pStyle w:val="ListNumber"/>
        <w:spacing w:after="40"/>
      </w:pPr>
      <w:r>
        <w:rPr>
          <w:sz w:val="18"/>
        </w:rPr>
        <w:t>Logs and provider status are available in redacted form.</w:t>
      </w:r>
    </w:p>
    <w:p>
      <w:pPr>
        <w:pStyle w:val="ListNumber"/>
        <w:spacing w:after="40"/>
      </w:pPr>
      <w:r>
        <w:rPr>
          <w:sz w:val="18"/>
        </w:rPr>
        <w:t>An authorized operator and reviewer can approve replay.</w:t>
      </w:r>
    </w:p>
    <w:p>
      <w:pPr>
        <w:pStyle w:val="ListNumber"/>
        <w:spacing w:after="40"/>
      </w:pPr>
      <w:r>
        <w:rPr>
          <w:sz w:val="18"/>
        </w:rPr>
        <w:t>Connector safe mode is available for unsafe or uncertain external actions.</w:t>
      </w:r>
    </w:p>
    <w:p>
      <w:pPr>
        <w:pStyle w:val="Heading2"/>
      </w:pPr>
      <w:r>
        <w:t>Steps</w:t>
      </w:r>
    </w:p>
    <w:p>
      <w:pPr>
        <w:pStyle w:val="ListNumber"/>
        <w:spacing w:after="40"/>
      </w:pPr>
      <w:r>
        <w:rPr>
          <w:sz w:val="18"/>
        </w:rPr>
        <w:t>Inspect durable status, lease expiry, attempt count, oldest age, error classification, worker heartbeat, correlation ID, model/runtime version, and related case/audit records.</w:t>
      </w:r>
    </w:p>
    <w:p>
      <w:pPr>
        <w:pStyle w:val="ListNumber"/>
        <w:spacing w:after="40"/>
      </w:pPr>
      <w:r>
        <w:rPr>
          <w:sz w:val="18"/>
        </w:rPr>
        <w:t>Confirm tenant and object scope. Do not diagnose by exporting raw sensitive documents into ordinary logs.</w:t>
      </w:r>
    </w:p>
    <w:p>
      <w:pPr>
        <w:pStyle w:val="ListNumber"/>
        <w:spacing w:after="40"/>
      </w:pPr>
      <w:r>
        <w:rPr>
          <w:sz w:val="18"/>
        </w:rPr>
        <w:t>Determine whether the error is transient, permanent/safety-related, or unknown external outcome.</w:t>
      </w:r>
    </w:p>
    <w:p>
      <w:pPr>
        <w:pStyle w:val="ListNumber"/>
        <w:spacing w:after="40"/>
      </w:pPr>
      <w:r>
        <w:rPr>
          <w:sz w:val="18"/>
        </w:rPr>
        <w:t>For a transient failure, retry only within the bounded retry budget and backoff policy. Confirm that the original business idempotency key remains in force.</w:t>
      </w:r>
    </w:p>
    <w:p>
      <w:pPr>
        <w:pStyle w:val="ListNumber"/>
        <w:spacing w:after="40"/>
      </w:pPr>
      <w:r>
        <w:rPr>
          <w:sz w:val="18"/>
        </w:rPr>
        <w:t>For a permanent validation, file-safety, policy, or unsupported-class failure, keep the failure visible and create or retain a review task or quarantine record. Do not turn the failure into approval.</w:t>
      </w:r>
    </w:p>
    <w:p>
      <w:pPr>
        <w:pStyle w:val="ListNumber"/>
        <w:spacing w:after="40"/>
      </w:pPr>
      <w:r>
        <w:rPr>
          <w:sz w:val="18"/>
        </w:rPr>
        <w:t>For an exhausted job, create or inspect the dead-letter record. Record a redacted diagnosis, evidence, proposed fix, replay authorization, and reviewer.</w:t>
      </w:r>
    </w:p>
    <w:p>
      <w:pPr>
        <w:pStyle w:val="ListNumber"/>
        <w:spacing w:after="40"/>
      </w:pPr>
      <w:r>
        <w:rPr>
          <w:sz w:val="18"/>
        </w:rPr>
        <w:t>For an unknown external outcome, query provider status before replay. A notification delivery status is not proof that a business action succeeded. Do not blindly replay.</w:t>
      </w:r>
    </w:p>
    <w:p>
      <w:pPr>
        <w:pStyle w:val="ListNumber"/>
        <w:spacing w:after="40"/>
      </w:pPr>
      <w:r>
        <w:rPr>
          <w:sz w:val="18"/>
        </w:rPr>
        <w:t>For an authorized replay, use the same business idempotency key, create a new attempt linked to the original, retain all prior attempts, and audit the operator, reason, and correlation ID.</w:t>
      </w:r>
    </w:p>
    <w:p>
      <w:pPr>
        <w:pStyle w:val="ListNumber"/>
        <w:spacing w:after="40"/>
      </w:pPr>
      <w:r>
        <w:rPr>
          <w:sz w:val="18"/>
        </w:rPr>
        <w:t>Confirm that duplicate delivery produces one business effect per idempotency key. Inspect the integration interaction and execution history.</w:t>
      </w:r>
    </w:p>
    <w:p>
      <w:pPr>
        <w:pStyle w:val="ListNumber"/>
        <w:spacing w:after="40"/>
      </w:pPr>
      <w:r>
        <w:rPr>
          <w:sz w:val="18"/>
        </w:rPr>
        <w:t>Escalate when the failure repeats, affects multiple tenants, indicates tenant isolation or data loss, involves a credential, exposes sensitive content, or cannot establish external status.</w:t>
      </w:r>
    </w:p>
    <w:p>
      <w:pPr>
        <w:pStyle w:val="Heading2"/>
      </w:pPr>
      <w:r>
        <w:t>Expected result</w:t>
      </w:r>
    </w:p>
    <w:p>
      <w:pPr>
        <w:spacing w:after="100" w:line="259" w:lineRule="auto"/>
      </w:pPr>
      <w:r>
        <w:rPr>
          <w:sz w:val="19"/>
        </w:rPr>
        <w:t>The original row, attempts, error, evidence, and audit history remain visible. Transient work is retried within budget, permanent or unsafe work is reviewed or quarantined, unknown outcomes are checked before replay, and any replay is idempotent and authorized.</w:t>
      </w:r>
    </w:p>
    <w:p>
      <w:pPr>
        <w:pStyle w:val="Heading2"/>
      </w:pPr>
      <w:r>
        <w:t>Failure response</w:t>
      </w:r>
    </w:p>
    <w:p>
      <w:pPr>
        <w:spacing w:after="100" w:line="259" w:lineRule="auto"/>
      </w:pPr>
      <w:r>
        <w:rPr>
          <w:sz w:val="19"/>
        </w:rPr>
        <w:t>Do not delete the job or dead letter. Do not run an unbounded retry loop. Stop unsafe connector actions for unknown or unsafe outcomes. Preserve evidence and invoke incident response if the problem suggests data loss, security exposure, cross-tenant access, repeated systemic failure, or an unverified external effect.</w:t>
      </w:r>
    </w:p>
    <w:p>
      <w:pPr>
        <w:pStyle w:val="Heading2"/>
      </w:pPr>
      <w:r>
        <w:t>New assumptions</w:t>
      </w:r>
    </w:p>
    <w:p>
      <w:pPr>
        <w:pStyle w:val="ListNumber"/>
        <w:spacing w:after="40"/>
      </w:pPr>
      <w:r>
        <w:rPr>
          <w:b/>
          <w:sz w:val="18"/>
        </w:rPr>
        <w:t>New operational assumption:</w:t>
      </w:r>
      <w:r>
        <w:rPr>
          <w:sz w:val="18"/>
        </w:rPr>
        <w:t xml:space="preserve"> A reviewer is available to authorize replay and escalation.</w:t>
      </w:r>
    </w:p>
    <w:p>
      <w:pPr>
        <w:pStyle w:val="ListNumber"/>
        <w:spacing w:after="40"/>
      </w:pPr>
      <w:r>
        <w:rPr>
          <w:b/>
          <w:sz w:val="18"/>
        </w:rPr>
        <w:t>New operational assumption:</w:t>
      </w:r>
      <w:r>
        <w:rPr>
          <w:sz w:val="18"/>
        </w:rPr>
        <w:t xml:space="preserve"> Each provider adapter exposes a status lookup or a documented route to human review for unknown outcomes.</w:t>
      </w:r>
    </w:p>
    <w:p>
      <w:pPr>
        <w:pStyle w:val="ListNumber"/>
        <w:spacing w:after="40"/>
      </w:pPr>
      <w:r>
        <w:rPr>
          <w:sz w:val="18"/>
        </w:rPr>
        <w:t>The approved inputs define bounded retries, dead letters, safe replay, and status lookup but do not define retry counts or time intervals; those values require an operational decision record.</w:t>
      </w:r>
    </w:p>
    <w:p>
      <w:pPr>
        <w:pStyle w:val="Heading1"/>
      </w:pPr>
      <w:r>
        <w:t>9. Procedure: Human review queue and correction history</w:t>
      </w:r>
    </w:p>
    <w:p>
      <w:pPr>
        <w:pStyle w:val="Heading2"/>
      </w:pPr>
      <w:r>
        <w:t>Purpose</w:t>
      </w:r>
    </w:p>
    <w:p>
      <w:pPr>
        <w:spacing w:after="100" w:line="259" w:lineRule="auto"/>
      </w:pPr>
      <w:r>
        <w:rPr>
          <w:sz w:val="19"/>
        </w:rPr>
        <w:t>Resolve uncertainty safely while preserving the original AI result, evidence, reviewer reasoning, approval context, and subsequent routing decision.</w:t>
      </w:r>
    </w:p>
    <w:p>
      <w:pPr>
        <w:pStyle w:val="Heading2"/>
      </w:pPr>
      <w:r>
        <w:t>When to use</w:t>
      </w:r>
    </w:p>
    <w:p>
      <w:pPr>
        <w:spacing w:after="100" w:line="259" w:lineRule="auto"/>
      </w:pPr>
      <w:r>
        <w:rPr>
          <w:sz w:val="19"/>
        </w:rPr>
        <w:t>Use for low confidence, sensitive documents or actions, AI/rule conflict, insufficient evidence, uncertain actions, file-safety failure, policy restriction, unsupported class, timeout, missing model, or any condition that the deterministic policy sends to review.</w:t>
      </w:r>
    </w:p>
    <w:p>
      <w:pPr>
        <w:pStyle w:val="Heading2"/>
      </w:pPr>
      <w:r>
        <w:t>Prerequisites</w:t>
      </w:r>
    </w:p>
    <w:p>
      <w:pPr>
        <w:pStyle w:val="ListNumber"/>
        <w:spacing w:after="40"/>
      </w:pPr>
      <w:r>
        <w:rPr>
          <w:sz w:val="18"/>
        </w:rPr>
        <w:t>The review task shows the case, document, reason, priority, due time, evidence regions, extracted fields, confidence components, deterministic rule outcomes, model/version metadata, and correlation ID.</w:t>
      </w:r>
    </w:p>
    <w:p>
      <w:pPr>
        <w:pStyle w:val="ListNumber"/>
        <w:spacing w:after="40"/>
      </w:pPr>
      <w:r>
        <w:rPr>
          <w:sz w:val="18"/>
        </w:rPr>
        <w:t>The reviewer has workspace membership and the required role. A client-supplied workspace ID is never sufficient authorization.</w:t>
      </w:r>
    </w:p>
    <w:p>
      <w:pPr>
        <w:pStyle w:val="ListNumber"/>
        <w:spacing w:after="40"/>
      </w:pPr>
      <w:r>
        <w:rPr>
          <w:sz w:val="18"/>
        </w:rPr>
        <w:t>The source document is accessed through a short-lived, tenant-scoped path and sensitive values are masked where policy requires.</w:t>
      </w:r>
    </w:p>
    <w:p>
      <w:pPr>
        <w:pStyle w:val="ListNumber"/>
        <w:spacing w:after="40"/>
      </w:pPr>
      <w:r>
        <w:rPr>
          <w:sz w:val="18"/>
        </w:rPr>
        <w:t>The workflow safe mode and approval rules are known.</w:t>
      </w:r>
    </w:p>
    <w:p>
      <w:pPr>
        <w:pStyle w:val="Heading2"/>
      </w:pPr>
      <w:r>
        <w:t>Steps</w:t>
      </w:r>
    </w:p>
    <w:p>
      <w:pPr>
        <w:pStyle w:val="ListNumber"/>
        <w:spacing w:after="40"/>
      </w:pPr>
      <w:r>
        <w:rPr>
          <w:sz w:val="18"/>
        </w:rPr>
        <w:t>Open the oldest or highest-priority review task assigned to your workspace. Confirm case, workspace, document, policy version, and review reason.</w:t>
      </w:r>
    </w:p>
    <w:p>
      <w:pPr>
        <w:pStyle w:val="ListNumber"/>
        <w:spacing w:after="40"/>
      </w:pPr>
      <w:r>
        <w:rPr>
          <w:sz w:val="18"/>
        </w:rPr>
        <w:t>Inspect source evidence, extraction values, confidence components, deterministic validations, file-safety status, sensitivity, model/OCR/engine versions, and prior correction history.</w:t>
      </w:r>
    </w:p>
    <w:p>
      <w:pPr>
        <w:pStyle w:val="ListNumber"/>
        <w:spacing w:after="40"/>
      </w:pPr>
      <w:r>
        <w:rPr>
          <w:sz w:val="18"/>
        </w:rPr>
        <w:t>Decide one of the allowed outcomes: approve the current result, correct a value or class, reject or request rework, route to a team, quarantine, or escalate. Do not invent an automated action outside the configured workflow.</w:t>
      </w:r>
    </w:p>
    <w:p>
      <w:pPr>
        <w:pStyle w:val="ListNumber"/>
        <w:spacing w:after="40"/>
      </w:pPr>
      <w:r>
        <w:rPr>
          <w:sz w:val="18"/>
        </w:rPr>
        <w:t>If correcting, record the previous result, corrected result, reason, actor, time, and approval context. Do not overwrite the original AI result.</w:t>
      </w:r>
    </w:p>
    <w:p>
      <w:pPr>
        <w:pStyle w:val="ListNumber"/>
        <w:spacing w:after="40"/>
      </w:pPr>
      <w:r>
        <w:rPr>
          <w:sz w:val="18"/>
        </w:rPr>
        <w:t>If approving a sensitive or consequential action, verify the required approval and safe-mode policy. A high confidence score alone is insufficient.</w:t>
      </w:r>
    </w:p>
    <w:p>
      <w:pPr>
        <w:pStyle w:val="ListNumber"/>
        <w:spacing w:after="40"/>
      </w:pPr>
      <w:r>
        <w:rPr>
          <w:sz w:val="18"/>
        </w:rPr>
        <w:t xml:space="preserve">Submit the review transaction. The system must create a </w:t>
      </w:r>
      <w:r>
        <w:rPr>
          <w:rFonts w:ascii="Courier New" w:hAnsi="Courier New"/>
          <w:sz w:val="18"/>
        </w:rPr>
        <w:t>human_corrections</w:t>
      </w:r>
      <w:r>
        <w:rPr>
          <w:sz w:val="18"/>
        </w:rPr>
        <w:t xml:space="preserve"> record when applicable, create a new </w:t>
      </w:r>
      <w:r>
        <w:rPr>
          <w:rFonts w:ascii="Courier New" w:hAnsi="Courier New"/>
          <w:sz w:val="18"/>
        </w:rPr>
        <w:t>routing_decisions</w:t>
      </w:r>
      <w:r>
        <w:rPr>
          <w:sz w:val="18"/>
        </w:rPr>
        <w:t xml:space="preserve"> record, append audit evidence, and enqueue the next workflow step only after the transaction is durable.</w:t>
      </w:r>
    </w:p>
    <w:p>
      <w:pPr>
        <w:pStyle w:val="ListNumber"/>
        <w:spacing w:after="40"/>
      </w:pPr>
      <w:r>
        <w:rPr>
          <w:sz w:val="18"/>
        </w:rPr>
        <w:t>Confirm the next state: reviewer-approved/corrected, workflow-ready, rework, quarantine, or escalation. Confirm the case timeline and correlation ID.</w:t>
      </w:r>
    </w:p>
    <w:p>
      <w:pPr>
        <w:pStyle w:val="ListNumber"/>
        <w:spacing w:after="40"/>
      </w:pPr>
      <w:r>
        <w:rPr>
          <w:sz w:val="18"/>
        </w:rPr>
        <w:t>Inspect the queue age and remaining oldest task. Do not close the queue merely because one item was resolved.</w:t>
      </w:r>
    </w:p>
    <w:p>
      <w:pPr>
        <w:pStyle w:val="Heading2"/>
      </w:pPr>
      <w:r>
        <w:t>Expected result</w:t>
      </w:r>
    </w:p>
    <w:p>
      <w:pPr>
        <w:spacing w:after="100" w:line="259" w:lineRule="auto"/>
      </w:pPr>
      <w:r>
        <w:rPr>
          <w:sz w:val="19"/>
        </w:rPr>
        <w:t>The original AI result and evidence remain immutable and visible. The reviewer decision, correction reason, actor, approval context, next route, and audit event are durable. No sensitive or uncertain action proceeds without the required authorization.</w:t>
      </w:r>
    </w:p>
    <w:p>
      <w:pPr>
        <w:pStyle w:val="Heading2"/>
      </w:pPr>
      <w:r>
        <w:t>Failure response</w:t>
      </w:r>
    </w:p>
    <w:p>
      <w:pPr>
        <w:spacing w:after="100" w:line="259" w:lineRule="auto"/>
      </w:pPr>
      <w:r>
        <w:rPr>
          <w:sz w:val="19"/>
        </w:rPr>
        <w:t>If evidence is missing, ownership is mismatched, the policy version is stale, or the reviewer cannot determine a safe outcome, leave the item in review or escalate. Do not approve a timeout, malformed output, missing model, or insufficient evidence. If the review transaction fails, preserve the current task and retry only after checking whether the transaction committed; avoid duplicate corrections.</w:t>
      </w:r>
    </w:p>
    <w:p>
      <w:pPr>
        <w:pStyle w:val="Heading2"/>
      </w:pPr>
      <w:r>
        <w:t>New assumptions</w:t>
      </w:r>
    </w:p>
    <w:p>
      <w:pPr>
        <w:pStyle w:val="ListNumber"/>
        <w:spacing w:after="40"/>
      </w:pPr>
      <w:r>
        <w:rPr>
          <w:b/>
          <w:sz w:val="18"/>
        </w:rPr>
        <w:t>New operational assumption:</w:t>
      </w:r>
      <w:r>
        <w:rPr>
          <w:sz w:val="18"/>
        </w:rPr>
        <w:t xml:space="preserve"> The organization defines which roles may review, correct, approve, delegate, reject, or rework each class of case.</w:t>
      </w:r>
    </w:p>
    <w:p>
      <w:pPr>
        <w:pStyle w:val="ListNumber"/>
        <w:spacing w:after="40"/>
      </w:pPr>
      <w:r>
        <w:rPr>
          <w:b/>
          <w:sz w:val="18"/>
        </w:rPr>
        <w:t>New operational assumption:</w:t>
      </w:r>
      <w:r>
        <w:rPr>
          <w:sz w:val="18"/>
        </w:rPr>
        <w:t xml:space="preserve"> Review priorities and due-time thresholds are configured before pilot use.</w:t>
      </w:r>
    </w:p>
    <w:p>
      <w:pPr>
        <w:pStyle w:val="ListNumber"/>
        <w:spacing w:after="40"/>
      </w:pPr>
      <w:r>
        <w:rPr>
          <w:sz w:val="18"/>
        </w:rPr>
        <w:t>The approved inputs require correction history and approval context but do not define reviewer staffing levels or service hours; those must be documented for any pilot.</w:t>
      </w:r>
    </w:p>
    <w:p>
      <w:pPr>
        <w:pStyle w:val="Heading1"/>
      </w:pPr>
      <w:r>
        <w:t>10. Procedure: Incident response</w:t>
      </w:r>
    </w:p>
    <w:p>
      <w:pPr>
        <w:pStyle w:val="Heading2"/>
      </w:pPr>
      <w:r>
        <w:t>Purpose</w:t>
      </w:r>
    </w:p>
    <w:p>
      <w:pPr>
        <w:spacing w:after="100" w:line="259" w:lineRule="auto"/>
      </w:pPr>
      <w:r>
        <w:rPr>
          <w:sz w:val="19"/>
        </w:rPr>
        <w:t>Contain a suspected security, tenant-isolation, data-loss, credential, unsafe-connector, or integrity incident while preserving evidence and avoiding an unverified recovery action.</w:t>
      </w:r>
    </w:p>
    <w:p>
      <w:pPr>
        <w:pStyle w:val="Heading2"/>
      </w:pPr>
      <w:r>
        <w:t>When to use</w:t>
      </w:r>
    </w:p>
    <w:p>
      <w:pPr>
        <w:spacing w:after="100" w:line="259" w:lineRule="auto"/>
      </w:pPr>
      <w:r>
        <w:rPr>
          <w:sz w:val="19"/>
        </w:rPr>
        <w:t>Use immediately when there is suspected exposure, cross-tenant access, data loss, unsafe external action, credential compromise, public database/AI exposure, repeated silent failure, or inability to establish the status of an external business action.</w:t>
      </w:r>
    </w:p>
    <w:p>
      <w:pPr>
        <w:pStyle w:val="Heading2"/>
      </w:pPr>
      <w:r>
        <w:t>Prerequisites</w:t>
      </w:r>
    </w:p>
    <w:p>
      <w:pPr>
        <w:pStyle w:val="ListNumber"/>
        <w:spacing w:after="40"/>
      </w:pPr>
      <w:r>
        <w:rPr>
          <w:sz w:val="18"/>
        </w:rPr>
        <w:t>The operator can restrict access and place connectors in safe mode.</w:t>
      </w:r>
    </w:p>
    <w:p>
      <w:pPr>
        <w:pStyle w:val="ListNumber"/>
        <w:spacing w:after="40"/>
      </w:pPr>
      <w:r>
        <w:rPr>
          <w:sz w:val="18"/>
        </w:rPr>
        <w:t>The operator can preserve redacted logs, audit events, correlation identifiers, job state, object hashes, provider references, and deployment state.</w:t>
      </w:r>
    </w:p>
    <w:p>
      <w:pPr>
        <w:pStyle w:val="ListNumber"/>
        <w:spacing w:after="40"/>
      </w:pPr>
      <w:r>
        <w:rPr>
          <w:sz w:val="18"/>
        </w:rPr>
        <w:t>The founder and any required counsel or incident contact are known.</w:t>
      </w:r>
    </w:p>
    <w:p>
      <w:pPr>
        <w:pStyle w:val="ListNumber"/>
        <w:spacing w:after="40"/>
      </w:pPr>
      <w:r>
        <w:rPr>
          <w:sz w:val="18"/>
        </w:rPr>
        <w:t xml:space="preserve">The operator understands that the architecture is not itself a legal or compliance certification. </w:t>
      </w:r>
      <w:r>
        <w:rPr>
          <w:color w:val="1F4E79"/>
          <w:sz w:val="18"/>
        </w:rPr>
        <w:t>[1]</w:t>
      </w:r>
      <w:r>
        <w:rPr>
          <w:sz w:val="18"/>
        </w:rPr>
        <w:t xml:space="preserve"> </w:t>
      </w:r>
      <w:r>
        <w:rPr>
          <w:color w:val="1F4E79"/>
          <w:sz w:val="18"/>
        </w:rPr>
        <w:t>[2]</w:t>
      </w:r>
    </w:p>
    <w:p>
      <w:pPr>
        <w:pStyle w:val="Heading2"/>
      </w:pPr>
      <w:r>
        <w:t>Steps</w:t>
      </w:r>
    </w:p>
    <w:p>
      <w:pPr>
        <w:spacing w:after="100" w:line="259" w:lineRule="auto"/>
      </w:pPr>
      <w:r>
        <w:rPr>
          <w:sz w:val="19"/>
        </w:rPr>
        <w:t xml:space="preserve">Follow this response exactly: </w:t>
      </w:r>
      <w:r>
        <w:rPr>
          <w:b/>
          <w:sz w:val="19"/>
        </w:rPr>
        <w:t>Preserve evidence, stop unsafe connector actions, revoke affected credentials, restrict access, identify tenant and object scope, notify the founder and counsel as required, and restore only after evidence preservation. Do not claim compliance from architecture alone.</w:t>
      </w:r>
      <w:r>
        <w:rPr>
          <w:sz w:val="19"/>
        </w:rPr>
        <w:t xml:space="preserve"> </w:t>
      </w:r>
      <w:r>
        <w:rPr>
          <w:color w:val="1F4E79"/>
          <w:sz w:val="19"/>
        </w:rPr>
        <w:t>[1]</w:t>
      </w:r>
    </w:p>
    <w:p>
      <w:pPr>
        <w:pStyle w:val="ListNumber"/>
        <w:spacing w:after="40"/>
      </w:pPr>
      <w:r>
        <w:rPr>
          <w:sz w:val="18"/>
        </w:rPr>
        <w:t>Preserve evidence first. Capture the UTC time, release tag, affected services, redacted logs, audit events, correlation IDs, job and lease state, object hashes, model/version data, provider references, and operator observations. Do not alter or delete the source evidence.</w:t>
      </w:r>
    </w:p>
    <w:p>
      <w:pPr>
        <w:pStyle w:val="ListNumber"/>
        <w:spacing w:after="40"/>
      </w:pPr>
      <w:r>
        <w:rPr>
          <w:sz w:val="18"/>
        </w:rPr>
        <w:t>Stop unsafe connector actions. Enable safe mode or stop the affected connector/worker path so uncertain or sensitive external actions cannot continue.</w:t>
      </w:r>
    </w:p>
    <w:p>
      <w:pPr>
        <w:pStyle w:val="ListNumber"/>
        <w:spacing w:after="40"/>
      </w:pPr>
      <w:r>
        <w:rPr>
          <w:sz w:val="18"/>
        </w:rPr>
        <w:t>Revoke affected credentials. Follow the secret-rotation procedure, but do not rotate away evidence needed to establish scope.</w:t>
      </w:r>
    </w:p>
    <w:p>
      <w:pPr>
        <w:pStyle w:val="ListNumber"/>
        <w:spacing w:after="40"/>
      </w:pPr>
      <w:r>
        <w:rPr>
          <w:sz w:val="18"/>
        </w:rPr>
        <w:t>Restrict access. Limit affected routes, workspaces, service tokens, or operator access to the minimum required for investigation.</w:t>
      </w:r>
    </w:p>
    <w:p>
      <w:pPr>
        <w:pStyle w:val="ListNumber"/>
        <w:spacing w:after="40"/>
      </w:pPr>
      <w:r>
        <w:rPr>
          <w:sz w:val="18"/>
        </w:rPr>
        <w:t>Identify tenant and object scope. Determine affected workspace(s), cases, documents, jobs, results, integrations, audit records, and time window. If scope is unknown, record it as unknown rather than narrowing it by assumption.</w:t>
      </w:r>
    </w:p>
    <w:p>
      <w:pPr>
        <w:pStyle w:val="ListNumber"/>
        <w:spacing w:after="40"/>
      </w:pPr>
      <w:r>
        <w:rPr>
          <w:sz w:val="18"/>
        </w:rPr>
        <w:t>Notify the founder and counsel as required. Use the incident record, not an unverified assurance statement. Legal, privacy, employment-data, breach, and retention obligations require scope-specific review.</w:t>
      </w:r>
    </w:p>
    <w:p>
      <w:pPr>
        <w:pStyle w:val="ListNumber"/>
        <w:spacing w:after="40"/>
      </w:pPr>
      <w:r>
        <w:rPr>
          <w:sz w:val="18"/>
        </w:rPr>
        <w:t>Restore only after evidence preservation. Use the encrypted-backup and isolated-restore procedure. Do not overwrite live state as an investigative shortcut.</w:t>
      </w:r>
    </w:p>
    <w:p>
      <w:pPr>
        <w:pStyle w:val="ListNumber"/>
        <w:spacing w:after="40"/>
      </w:pPr>
      <w:r>
        <w:rPr>
          <w:sz w:val="18"/>
        </w:rPr>
        <w:t>Record containment, credential actions, scope, notifications, recovery decision, customer communication decision, follow-up controls, and closure evidence.</w:t>
      </w:r>
    </w:p>
    <w:p>
      <w:pPr>
        <w:pStyle w:val="Heading2"/>
      </w:pPr>
      <w:r>
        <w:t>Expected result</w:t>
      </w:r>
    </w:p>
    <w:p>
      <w:pPr>
        <w:spacing w:after="100" w:line="259" w:lineRule="auto"/>
      </w:pPr>
      <w:r>
        <w:rPr>
          <w:sz w:val="19"/>
        </w:rPr>
        <w:t>Unsafe actions are stopped, credentials and access are controlled, tenant/object scope is identified or explicitly unknown, evidence is preserved, required people are notified, and recovery is performed only through an evidence-preserving decision.</w:t>
      </w:r>
    </w:p>
    <w:p>
      <w:pPr>
        <w:pStyle w:val="Heading2"/>
      </w:pPr>
      <w:r>
        <w:t>Failure response</w:t>
      </w:r>
    </w:p>
    <w:p>
      <w:pPr>
        <w:spacing w:after="100" w:line="259" w:lineRule="auto"/>
      </w:pPr>
      <w:r>
        <w:rPr>
          <w:sz w:val="19"/>
        </w:rPr>
        <w:t>If evidence cannot be preserved, scope cannot be established, a connector cannot be stopped, or the operator cannot determine whether a business action occurred, keep the affected path disabled and escalate. Do not claim the incident is resolved, do not replay unknown actions, and do not claim legal or compliance status from the architecture.</w:t>
      </w:r>
    </w:p>
    <w:p>
      <w:pPr>
        <w:pStyle w:val="Heading2"/>
      </w:pPr>
      <w:r>
        <w:t>New assumptions</w:t>
      </w:r>
    </w:p>
    <w:p>
      <w:pPr>
        <w:pStyle w:val="ListNumber"/>
        <w:spacing w:after="40"/>
      </w:pPr>
      <w:r>
        <w:rPr>
          <w:b/>
          <w:sz w:val="18"/>
        </w:rPr>
        <w:t>New operational assumption:</w:t>
      </w:r>
      <w:r>
        <w:rPr>
          <w:sz w:val="18"/>
        </w:rPr>
        <w:t xml:space="preserve"> The founder maintains a current incident contact and counsel escalation path.</w:t>
      </w:r>
    </w:p>
    <w:p>
      <w:pPr>
        <w:pStyle w:val="ListNumber"/>
        <w:spacing w:after="40"/>
      </w:pPr>
      <w:r>
        <w:rPr>
          <w:b/>
          <w:sz w:val="18"/>
        </w:rPr>
        <w:t>New operational assumption:</w:t>
      </w:r>
      <w:r>
        <w:rPr>
          <w:sz w:val="18"/>
        </w:rPr>
        <w:t xml:space="preserve"> Safe mode can stop each connector or all external writes without deleting durable case state.</w:t>
      </w:r>
    </w:p>
    <w:p>
      <w:pPr>
        <w:pStyle w:val="ListNumber"/>
        <w:spacing w:after="40"/>
      </w:pPr>
      <w:r>
        <w:rPr>
          <w:sz w:val="18"/>
        </w:rPr>
        <w:t>The approved inputs specify the incident sequence above but do not define statutory deadlines, notification wording, or legal classification; counsel must decide those matters.</w:t>
      </w:r>
    </w:p>
    <w:p>
      <w:pPr>
        <w:pStyle w:val="Heading1"/>
      </w:pPr>
      <w:r>
        <w:t>11. Sensitive-pilot readiness gate</w:t>
      </w:r>
    </w:p>
    <w:p>
      <w:pPr>
        <w:spacing w:after="100" w:line="259" w:lineRule="auto"/>
      </w:pPr>
      <w:r>
        <w:rPr>
          <w:sz w:val="19"/>
        </w:rPr>
        <w:t xml:space="preserve">Do not accept real sensitive data until every applicable control below has evidence. Mark each row </w:t>
      </w:r>
      <w:r>
        <w:rPr>
          <w:b/>
          <w:sz w:val="19"/>
        </w:rPr>
        <w:t>Implemented</w:t>
      </w:r>
      <w:r>
        <w:rPr>
          <w:sz w:val="19"/>
        </w:rPr>
        <w:t xml:space="preserve">, </w:t>
      </w:r>
      <w:r>
        <w:rPr>
          <w:b/>
          <w:sz w:val="19"/>
        </w:rPr>
        <w:t>Planned</w:t>
      </w:r>
      <w:r>
        <w:rPr>
          <w:sz w:val="19"/>
        </w:rPr>
        <w:t xml:space="preserve">, or </w:t>
      </w:r>
      <w:r>
        <w:rPr>
          <w:b/>
          <w:sz w:val="19"/>
        </w:rPr>
        <w:t>Assessment-required</w:t>
      </w:r>
      <w:r>
        <w:rPr>
          <w:sz w:val="19"/>
        </w:rPr>
        <w:t>, and attach the evidence reference. “Planned” is not a pass.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4E79"/>
            <w:vAlign w:val="center"/>
          </w:tcPr>
          <w:p>
            <w:pPr>
              <w:spacing w:after="0"/>
            </w:pPr>
            <w:r>
              <w:rPr>
                <w:b/>
                <w:color w:val="FFFFFF"/>
              </w:rPr>
            </w:r>
            <w:r>
              <w:rPr>
                <w:b/>
                <w:color w:val="FFFFFF"/>
                <w:sz w:val="16"/>
              </w:rPr>
              <w:t>Control</w:t>
            </w:r>
          </w:p>
        </w:tc>
        <w:tc>
          <w:tcPr>
            <w:tcW w:type="dxa" w:w="2541"/>
            <w:shd w:fill="1F4E79"/>
            <w:vAlign w:val="center"/>
          </w:tcPr>
          <w:p>
            <w:pPr>
              <w:spacing w:after="0"/>
            </w:pPr>
            <w:r>
              <w:rPr>
                <w:b/>
                <w:color w:val="FFFFFF"/>
              </w:rPr>
            </w:r>
            <w:r>
              <w:rPr>
                <w:b/>
                <w:color w:val="FFFFFF"/>
                <w:sz w:val="16"/>
              </w:rPr>
              <w:t>Required evidence</w:t>
            </w:r>
          </w:p>
        </w:tc>
        <w:tc>
          <w:tcPr>
            <w:tcW w:type="dxa" w:w="2541"/>
            <w:shd w:fill="1F4E79"/>
            <w:vAlign w:val="center"/>
          </w:tcPr>
          <w:p>
            <w:pPr>
              <w:spacing w:after="0"/>
            </w:pPr>
            <w:r>
              <w:rPr>
                <w:b/>
                <w:color w:val="FFFFFF"/>
              </w:rPr>
            </w:r>
            <w:r>
              <w:rPr>
                <w:b/>
                <w:color w:val="FFFFFF"/>
                <w:sz w:val="16"/>
              </w:rPr>
              <w:t>Status</w:t>
            </w:r>
          </w:p>
        </w:tc>
        <w:tc>
          <w:tcPr>
            <w:tcW w:type="dxa" w:w="2541"/>
            <w:shd w:fill="1F4E79"/>
            <w:vAlign w:val="center"/>
          </w:tcPr>
          <w:p>
            <w:pPr>
              <w:spacing w:after="0"/>
            </w:pPr>
            <w:r>
              <w:rPr>
                <w:b/>
                <w:color w:val="FFFFFF"/>
              </w:rPr>
            </w:r>
            <w:r>
              <w:rPr>
                <w:b/>
                <w:color w:val="FFFFFF"/>
                <w:sz w:val="16"/>
              </w:rPr>
              <w:t>Evidence reference / owner</w:t>
            </w:r>
          </w:p>
        </w:tc>
      </w:tr>
      <w:tr>
        <w:tc>
          <w:tcPr>
            <w:tcW w:type="dxa" w:w="2541"/>
            <w:vAlign w:val="center"/>
          </w:tcPr>
          <w:p>
            <w:pPr>
              <w:spacing w:after="0"/>
            </w:pPr>
            <w:r/>
            <w:r>
              <w:rPr>
                <w:sz w:val="16"/>
              </w:rPr>
              <w:t>Tenant isolation</w:t>
            </w:r>
          </w:p>
        </w:tc>
        <w:tc>
          <w:tcPr>
            <w:tcW w:type="dxa" w:w="2541"/>
            <w:vAlign w:val="center"/>
          </w:tcPr>
          <w:p>
            <w:pPr>
              <w:spacing w:after="0"/>
            </w:pPr>
            <w:r/>
            <w:r>
              <w:rPr>
                <w:sz w:val="16"/>
              </w:rPr>
              <w:t>Cross-tenant negative tests show users cannot read, alter, review, export, or trigger another workspace's cases, documents, jobs, results, workflows, integrations, billing, or audit events.</w:t>
            </w:r>
          </w:p>
        </w:tc>
        <w:tc>
          <w:tcPr>
            <w:tcW w:type="dxa" w:w="2541"/>
            <w:vAlign w:val="center"/>
          </w:tcPr>
          <w:p>
            <w:pPr>
              <w:spacing w:after="0"/>
            </w:pPr>
            <w:r/>
          </w:p>
        </w:tc>
        <w:tc>
          <w:tcPr>
            <w:tcW w:type="dxa" w:w="2541"/>
            <w:vAlign w:val="center"/>
          </w:tcPr>
          <w:p>
            <w:pPr>
              <w:spacing w:after="0"/>
            </w:pPr>
            <w:r/>
          </w:p>
        </w:tc>
      </w:tr>
      <w:tr>
        <w:tc>
          <w:tcPr>
            <w:tcW w:type="dxa" w:w="2541"/>
            <w:shd w:fill="EAF2F8"/>
            <w:vAlign w:val="center"/>
          </w:tcPr>
          <w:p>
            <w:pPr>
              <w:spacing w:after="0"/>
            </w:pPr>
            <w:r/>
            <w:r>
              <w:rPr>
                <w:sz w:val="16"/>
              </w:rPr>
              <w:t>Encrypted backup and isolated restore</w:t>
            </w:r>
          </w:p>
        </w:tc>
        <w:tc>
          <w:tcPr>
            <w:tcW w:type="dxa" w:w="2541"/>
            <w:shd w:fill="EAF2F8"/>
            <w:vAlign w:val="center"/>
          </w:tcPr>
          <w:p>
            <w:pPr>
              <w:spacing w:after="0"/>
            </w:pPr>
            <w:r/>
            <w:r>
              <w:rPr>
                <w:sz w:val="16"/>
              </w:rPr>
              <w:t>Encrypted PostgreSQL backup; checksum verified; required R2 metadata/objects restored into isolation; login, case, review, AI-result, worker, audit, and deletion/retention smoke tests pass.</w:t>
            </w:r>
          </w:p>
        </w:tc>
        <w:tc>
          <w:tcPr>
            <w:tcW w:type="dxa" w:w="2541"/>
            <w:shd w:fill="EAF2F8"/>
            <w:vAlign w:val="center"/>
          </w:tcPr>
          <w:p>
            <w:pPr>
              <w:spacing w:after="0"/>
            </w:pPr>
            <w:r/>
          </w:p>
        </w:tc>
        <w:tc>
          <w:tcPr>
            <w:tcW w:type="dxa" w:w="2541"/>
            <w:shd w:fill="EAF2F8"/>
            <w:vAlign w:val="center"/>
          </w:tcPr>
          <w:p>
            <w:pPr>
              <w:spacing w:after="0"/>
            </w:pPr>
            <w:r/>
          </w:p>
        </w:tc>
      </w:tr>
      <w:tr>
        <w:tc>
          <w:tcPr>
            <w:tcW w:type="dxa" w:w="2541"/>
            <w:vAlign w:val="center"/>
          </w:tcPr>
          <w:p>
            <w:pPr>
              <w:spacing w:after="0"/>
            </w:pPr>
            <w:r/>
            <w:r>
              <w:rPr>
                <w:sz w:val="16"/>
              </w:rPr>
              <w:t>Secret rotation</w:t>
            </w:r>
          </w:p>
        </w:tc>
        <w:tc>
          <w:tcPr>
            <w:tcW w:type="dxa" w:w="2541"/>
            <w:vAlign w:val="center"/>
          </w:tcPr>
          <w:p>
            <w:pPr>
              <w:spacing w:after="0"/>
            </w:pPr>
            <w:r/>
            <w:r>
              <w:rPr>
                <w:sz w:val="16"/>
              </w:rPr>
              <w:t>Inventory, scope review, replacement, health test, old-credential revocation, redacted logs, and next review date are recorded.</w:t>
            </w:r>
          </w:p>
        </w:tc>
        <w:tc>
          <w:tcPr>
            <w:tcW w:type="dxa" w:w="2541"/>
            <w:vAlign w:val="center"/>
          </w:tcPr>
          <w:p>
            <w:pPr>
              <w:spacing w:after="0"/>
            </w:pPr>
            <w:r/>
          </w:p>
        </w:tc>
        <w:tc>
          <w:tcPr>
            <w:tcW w:type="dxa" w:w="2541"/>
            <w:vAlign w:val="center"/>
          </w:tcPr>
          <w:p>
            <w:pPr>
              <w:spacing w:after="0"/>
            </w:pPr>
            <w:r/>
          </w:p>
        </w:tc>
      </w:tr>
      <w:tr>
        <w:tc>
          <w:tcPr>
            <w:tcW w:type="dxa" w:w="2541"/>
            <w:shd w:fill="EAF2F8"/>
            <w:vAlign w:val="center"/>
          </w:tcPr>
          <w:p>
            <w:pPr>
              <w:spacing w:after="0"/>
            </w:pPr>
            <w:r/>
            <w:r>
              <w:rPr>
                <w:sz w:val="16"/>
              </w:rPr>
              <w:t>AI model/version audit</w:t>
            </w:r>
          </w:p>
        </w:tc>
        <w:tc>
          <w:tcPr>
            <w:tcW w:type="dxa" w:w="2541"/>
            <w:shd w:fill="EAF2F8"/>
            <w:vAlign w:val="center"/>
          </w:tcPr>
          <w:p>
            <w:pPr>
              <w:spacing w:after="0"/>
            </w:pPr>
            <w:r/>
            <w:r>
              <w:rPr>
                <w:sz w:val="16"/>
              </w:rPr>
              <w:t>Each execution records model registry ID/version/digest, OCR and engine versions, input hash, preprocessing, timing, output schema, errors, and trace ID; promotion and rollback are documented.</w:t>
            </w:r>
          </w:p>
        </w:tc>
        <w:tc>
          <w:tcPr>
            <w:tcW w:type="dxa" w:w="2541"/>
            <w:shd w:fill="EAF2F8"/>
            <w:vAlign w:val="center"/>
          </w:tcPr>
          <w:p>
            <w:pPr>
              <w:spacing w:after="0"/>
            </w:pPr>
            <w:r/>
          </w:p>
        </w:tc>
        <w:tc>
          <w:tcPr>
            <w:tcW w:type="dxa" w:w="2541"/>
            <w:shd w:fill="EAF2F8"/>
            <w:vAlign w:val="center"/>
          </w:tcPr>
          <w:p>
            <w:pPr>
              <w:spacing w:after="0"/>
            </w:pPr>
            <w:r/>
          </w:p>
        </w:tc>
      </w:tr>
      <w:tr>
        <w:tc>
          <w:tcPr>
            <w:tcW w:type="dxa" w:w="2541"/>
            <w:vAlign w:val="center"/>
          </w:tcPr>
          <w:p>
            <w:pPr>
              <w:spacing w:after="0"/>
            </w:pPr>
            <w:r/>
            <w:r>
              <w:rPr>
                <w:sz w:val="16"/>
              </w:rPr>
              <w:t>Human correction history</w:t>
            </w:r>
          </w:p>
        </w:tc>
        <w:tc>
          <w:tcPr>
            <w:tcW w:type="dxa" w:w="2541"/>
            <w:vAlign w:val="center"/>
          </w:tcPr>
          <w:p>
            <w:pPr>
              <w:spacing w:after="0"/>
            </w:pPr>
            <w:r/>
            <w:r>
              <w:rPr>
                <w:sz w:val="16"/>
              </w:rPr>
              <w:t>Reviewer correction preserves original AI result and records previous/corrected values, actor, reason, approval context, new routing decision, and audit event.</w:t>
            </w:r>
          </w:p>
        </w:tc>
        <w:tc>
          <w:tcPr>
            <w:tcW w:type="dxa" w:w="2541"/>
            <w:vAlign w:val="center"/>
          </w:tcPr>
          <w:p>
            <w:pPr>
              <w:spacing w:after="0"/>
            </w:pPr>
            <w:r/>
          </w:p>
        </w:tc>
        <w:tc>
          <w:tcPr>
            <w:tcW w:type="dxa" w:w="2541"/>
            <w:vAlign w:val="center"/>
          </w:tcPr>
          <w:p>
            <w:pPr>
              <w:spacing w:after="0"/>
            </w:pPr>
            <w:r/>
          </w:p>
        </w:tc>
      </w:tr>
      <w:tr>
        <w:tc>
          <w:tcPr>
            <w:tcW w:type="dxa" w:w="2541"/>
            <w:shd w:fill="EAF2F8"/>
            <w:vAlign w:val="center"/>
          </w:tcPr>
          <w:p>
            <w:pPr>
              <w:spacing w:after="0"/>
            </w:pPr>
            <w:r/>
            <w:r>
              <w:rPr>
                <w:sz w:val="16"/>
              </w:rPr>
              <w:t>Unsafe connector stop</w:t>
            </w:r>
          </w:p>
        </w:tc>
        <w:tc>
          <w:tcPr>
            <w:tcW w:type="dxa" w:w="2541"/>
            <w:shd w:fill="EAF2F8"/>
            <w:vAlign w:val="center"/>
          </w:tcPr>
          <w:p>
            <w:pPr>
              <w:spacing w:after="0"/>
            </w:pPr>
            <w:r/>
            <w:r>
              <w:rPr>
                <w:sz w:val="16"/>
              </w:rPr>
              <w:t>Safe mode or stop procedure tested for each enabled connector; no unsafe action continues after the stop.</w:t>
            </w:r>
          </w:p>
        </w:tc>
        <w:tc>
          <w:tcPr>
            <w:tcW w:type="dxa" w:w="2541"/>
            <w:shd w:fill="EAF2F8"/>
            <w:vAlign w:val="center"/>
          </w:tcPr>
          <w:p>
            <w:pPr>
              <w:spacing w:after="0"/>
            </w:pPr>
            <w:r/>
          </w:p>
        </w:tc>
        <w:tc>
          <w:tcPr>
            <w:tcW w:type="dxa" w:w="2541"/>
            <w:shd w:fill="EAF2F8"/>
            <w:vAlign w:val="center"/>
          </w:tcPr>
          <w:p>
            <w:pPr>
              <w:spacing w:after="0"/>
            </w:pPr>
            <w:r/>
          </w:p>
        </w:tc>
      </w:tr>
      <w:tr>
        <w:tc>
          <w:tcPr>
            <w:tcW w:type="dxa" w:w="2541"/>
            <w:vAlign w:val="center"/>
          </w:tcPr>
          <w:p>
            <w:pPr>
              <w:spacing w:after="0"/>
            </w:pPr>
            <w:r/>
            <w:r>
              <w:rPr>
                <w:sz w:val="16"/>
              </w:rPr>
              <w:t>Safe replay</w:t>
            </w:r>
          </w:p>
        </w:tc>
        <w:tc>
          <w:tcPr>
            <w:tcW w:type="dxa" w:w="2541"/>
            <w:vAlign w:val="center"/>
          </w:tcPr>
          <w:p>
            <w:pPr>
              <w:spacing w:after="0"/>
            </w:pPr>
            <w:r/>
            <w:r>
              <w:rPr>
                <w:sz w:val="16"/>
              </w:rPr>
              <w:t>Transient retry, dead-letter diagnosis, unknown-outcome status lookup, same business idempotency key, linked replay attempt, and duplicate-delivery test pass.</w:t>
            </w:r>
          </w:p>
        </w:tc>
        <w:tc>
          <w:tcPr>
            <w:tcW w:type="dxa" w:w="2541"/>
            <w:vAlign w:val="center"/>
          </w:tcPr>
          <w:p>
            <w:pPr>
              <w:spacing w:after="0"/>
            </w:pPr>
            <w:r/>
          </w:p>
        </w:tc>
        <w:tc>
          <w:tcPr>
            <w:tcW w:type="dxa" w:w="2541"/>
            <w:vAlign w:val="center"/>
          </w:tcPr>
          <w:p>
            <w:pPr>
              <w:spacing w:after="0"/>
            </w:pPr>
            <w:r/>
          </w:p>
        </w:tc>
      </w:tr>
      <w:tr>
        <w:tc>
          <w:tcPr>
            <w:tcW w:type="dxa" w:w="2541"/>
            <w:shd w:fill="EAF2F8"/>
            <w:vAlign w:val="center"/>
          </w:tcPr>
          <w:p>
            <w:pPr>
              <w:spacing w:after="0"/>
            </w:pPr>
            <w:r/>
            <w:r>
              <w:rPr>
                <w:sz w:val="16"/>
              </w:rPr>
              <w:t>Retention and deletion</w:t>
            </w:r>
          </w:p>
        </w:tc>
        <w:tc>
          <w:tcPr>
            <w:tcW w:type="dxa" w:w="2541"/>
            <w:shd w:fill="EAF2F8"/>
            <w:vAlign w:val="center"/>
          </w:tcPr>
          <w:p>
            <w:pPr>
              <w:spacing w:after="0"/>
            </w:pPr>
            <w:r/>
            <w:r>
              <w:rPr>
                <w:sz w:val="16"/>
              </w:rPr>
              <w:t>Retention state, deletion request state, object cleanup, audit evidence, and legal-hold handling are demonstrable.</w:t>
            </w:r>
          </w:p>
        </w:tc>
        <w:tc>
          <w:tcPr>
            <w:tcW w:type="dxa" w:w="2541"/>
            <w:shd w:fill="EAF2F8"/>
            <w:vAlign w:val="center"/>
          </w:tcPr>
          <w:p>
            <w:pPr>
              <w:spacing w:after="0"/>
            </w:pPr>
            <w:r/>
          </w:p>
        </w:tc>
        <w:tc>
          <w:tcPr>
            <w:tcW w:type="dxa" w:w="2541"/>
            <w:shd w:fill="EAF2F8"/>
            <w:vAlign w:val="center"/>
          </w:tcPr>
          <w:p>
            <w:pPr>
              <w:spacing w:after="0"/>
            </w:pPr>
            <w:r/>
          </w:p>
        </w:tc>
      </w:tr>
      <w:tr>
        <w:tc>
          <w:tcPr>
            <w:tcW w:type="dxa" w:w="2541"/>
            <w:vAlign w:val="center"/>
          </w:tcPr>
          <w:p>
            <w:pPr>
              <w:spacing w:after="0"/>
            </w:pPr>
            <w:r/>
            <w:r>
              <w:rPr>
                <w:sz w:val="16"/>
              </w:rPr>
              <w:t>Resource alerts</w:t>
            </w:r>
          </w:p>
        </w:tc>
        <w:tc>
          <w:tcPr>
            <w:tcW w:type="dxa" w:w="2541"/>
            <w:vAlign w:val="center"/>
          </w:tcPr>
          <w:p>
            <w:pPr>
              <w:spacing w:after="0"/>
            </w:pPr>
            <w:r/>
            <w:r>
              <w:rPr>
                <w:sz w:val="16"/>
              </w:rPr>
              <w:t>CPU, memory, disk, model storage, temporary page storage, queue age, worker heartbeat, and review backlog alerts or inspection thresholds are tested on the two-VM baseline.</w:t>
            </w:r>
          </w:p>
        </w:tc>
        <w:tc>
          <w:tcPr>
            <w:tcW w:type="dxa" w:w="2541"/>
            <w:vAlign w:val="center"/>
          </w:tcPr>
          <w:p>
            <w:pPr>
              <w:spacing w:after="0"/>
            </w:pPr>
            <w:r/>
          </w:p>
        </w:tc>
        <w:tc>
          <w:tcPr>
            <w:tcW w:type="dxa" w:w="2541"/>
            <w:vAlign w:val="center"/>
          </w:tcPr>
          <w:p>
            <w:pPr>
              <w:spacing w:after="0"/>
            </w:pPr>
            <w:r/>
          </w:p>
        </w:tc>
      </w:tr>
      <w:tr>
        <w:tc>
          <w:tcPr>
            <w:tcW w:type="dxa" w:w="2541"/>
            <w:shd w:fill="EAF2F8"/>
            <w:vAlign w:val="center"/>
          </w:tcPr>
          <w:p>
            <w:pPr>
              <w:spacing w:after="0"/>
            </w:pPr>
            <w:r/>
            <w:r>
              <w:rPr>
                <w:sz w:val="16"/>
              </w:rPr>
              <w:t>Release control</w:t>
            </w:r>
          </w:p>
        </w:tc>
        <w:tc>
          <w:tcPr>
            <w:tcW w:type="dxa" w:w="2541"/>
            <w:shd w:fill="EAF2F8"/>
            <w:vAlign w:val="center"/>
          </w:tcPr>
          <w:p>
            <w:pPr>
              <w:spacing w:after="0"/>
            </w:pPr>
            <w:r/>
            <w:r>
              <w:rPr>
                <w:sz w:val="16"/>
              </w:rPr>
              <w:t>Tagged ARM-compatible release, reviewed migrations, backup/checksum, health checks, smoke tests, rollback notes, and no unresolved critical security/data-loss defect.</w:t>
            </w:r>
          </w:p>
        </w:tc>
        <w:tc>
          <w:tcPr>
            <w:tcW w:type="dxa" w:w="2541"/>
            <w:shd w:fill="EAF2F8"/>
            <w:vAlign w:val="center"/>
          </w:tcPr>
          <w:p>
            <w:pPr>
              <w:spacing w:after="0"/>
            </w:pPr>
            <w:r/>
          </w:p>
        </w:tc>
        <w:tc>
          <w:tcPr>
            <w:tcW w:type="dxa" w:w="2541"/>
            <w:shd w:fill="EAF2F8"/>
            <w:vAlign w:val="center"/>
          </w:tcPr>
          <w:p>
            <w:pPr>
              <w:spacing w:after="0"/>
            </w:pPr>
            <w:r/>
          </w:p>
        </w:tc>
      </w:tr>
      <w:tr>
        <w:tc>
          <w:tcPr>
            <w:tcW w:type="dxa" w:w="2541"/>
            <w:vAlign w:val="center"/>
          </w:tcPr>
          <w:p>
            <w:pPr>
              <w:spacing w:after="0"/>
            </w:pPr>
            <w:r/>
            <w:r>
              <w:rPr>
                <w:sz w:val="16"/>
              </w:rPr>
              <w:t>Incident response</w:t>
            </w:r>
          </w:p>
        </w:tc>
        <w:tc>
          <w:tcPr>
            <w:tcW w:type="dxa" w:w="2541"/>
            <w:vAlign w:val="center"/>
          </w:tcPr>
          <w:p>
            <w:pPr>
              <w:spacing w:after="0"/>
            </w:pPr>
            <w:r/>
            <w:r>
              <w:rPr>
                <w:sz w:val="16"/>
              </w:rPr>
              <w:t>The exact incident sequence in Section 10 has been rehearsed and an incident record shows evidence preservation and connector stop.</w:t>
            </w:r>
          </w:p>
        </w:tc>
        <w:tc>
          <w:tcPr>
            <w:tcW w:type="dxa" w:w="2541"/>
            <w:vAlign w:val="center"/>
          </w:tcPr>
          <w:p>
            <w:pPr>
              <w:spacing w:after="0"/>
            </w:pPr>
            <w:r/>
          </w:p>
        </w:tc>
        <w:tc>
          <w:tcPr>
            <w:tcW w:type="dxa" w:w="2541"/>
            <w:vAlign w:val="center"/>
          </w:tcPr>
          <w:p>
            <w:pPr>
              <w:spacing w:after="0"/>
            </w:pPr>
            <w:r/>
          </w:p>
        </w:tc>
      </w:tr>
    </w:tbl>
    <w:p>
      <w:pPr>
        <w:spacing w:after="0"/>
      </w:pPr>
    </w:p>
    <w:p>
      <w:pPr>
        <w:pStyle w:val="Heading2"/>
      </w:pPr>
      <w:r>
        <w:t>11.1 Sign-off format</w:t>
      </w:r>
    </w:p>
    <w:p>
      <w:pPr>
        <w:ind w:left="317"/>
      </w:pPr>
      <w:r>
        <w:rPr>
          <w:rFonts w:ascii="Courier New" w:hAnsi="Courier New"/>
          <w:sz w:val="15"/>
        </w:rPr>
        <w:t>Formiva 2.0 sensitive-pilot decision</w:t>
        <w:br/>
        <w:br/>
        <w:t>Pilot/workspace scope: ______________________________________________</w:t>
        <w:br/>
        <w:t>Workflow/version: _________________________________________________</w:t>
        <w:br/>
        <w:t>Data classes permitted: ___________________________________________</w:t>
        <w:br/>
        <w:t>Connectors enabled: ______________________________________________</w:t>
        <w:br/>
        <w:t>Release tag: _____________________________________________________</w:t>
        <w:br/>
        <w:t>Decision date (UTC): ______________________________________________</w:t>
        <w:br/>
        <w:br/>
        <w:t>Tenant isolation:              Implemented / Planned / Assessment-required</w:t>
        <w:br/>
        <w:t>Encrypted restore:              Implemented / Planned / Assessment-required</w:t>
        <w:br/>
        <w:t>Secret rotation:                Implemented / Planned / Assessment-required</w:t>
        <w:br/>
        <w:t>Model/version audit:            Implemented / Planned / Assessment-required</w:t>
        <w:br/>
        <w:t>Human correction history:       Implemented / Planned / Assessment-required</w:t>
        <w:br/>
        <w:t>Unsafe connector stop:          Implemented / Planned / Assessment-required</w:t>
        <w:br/>
        <w:t>Safe replay:                    Implemented / Planned / Assessment-required</w:t>
        <w:br/>
        <w:t>Retention/deletion:             Implemented / Planned / Assessment-required</w:t>
        <w:br/>
        <w:t>Resource alerts:                Implemented / Planned / Assessment-required</w:t>
        <w:br/>
        <w:t>Incident response rehearsal:    Implemented / Planned / Assessment-required</w:t>
        <w:br/>
        <w:br/>
        <w:t>Open risks and compensating controls:</w:t>
        <w:br/>
        <w:t>____________________________________________________________________</w:t>
        <w:br/>
        <w:t>____________________________________________________________________</w:t>
        <w:br/>
        <w:br/>
        <w:t>Decision: APPROVE / APPROVE WITH RESTRICTIONS / DO NOT APPROVE</w:t>
        <w:br/>
        <w:t>Restrictions and expiry:</w:t>
        <w:br/>
        <w:t>____________________________________________________________________</w:t>
        <w:br/>
        <w:br/>
        <w:t>Founder/operator name and signature: _________________________________</w:t>
        <w:br/>
        <w:t>Technical reviewer name and signature: ______________________________</w:t>
        <w:br/>
        <w:t>Security/privacy or counsel review, if required: _____________________</w:t>
        <w:br/>
        <w:t>Date and time (UTC): ________________________________________________</w:t>
      </w:r>
    </w:p>
    <w:p>
      <w:pPr>
        <w:pStyle w:val="Heading2"/>
      </w:pPr>
      <w:r>
        <w:t>Expected result</w:t>
      </w:r>
    </w:p>
    <w:p>
      <w:pPr>
        <w:spacing w:after="100" w:line="259" w:lineRule="auto"/>
      </w:pPr>
      <w:r>
        <w:rPr>
          <w:sz w:val="19"/>
        </w:rPr>
        <w:t>The sign-off identifies the exact scope, version, permitted data, enabled connectors, evidence, restrictions, owners, and decision. A sensitive pilot is approved only when the required controls are implemented and evidenced, not merely described.</w:t>
      </w:r>
    </w:p>
    <w:p>
      <w:pPr>
        <w:pStyle w:val="Heading2"/>
      </w:pPr>
      <w:r>
        <w:t>Failure response</w:t>
      </w:r>
    </w:p>
    <w:p>
      <w:pPr>
        <w:spacing w:after="100" w:line="259" w:lineRule="auto"/>
      </w:pPr>
      <w:r>
        <w:rPr>
          <w:sz w:val="19"/>
        </w:rPr>
        <w:t xml:space="preserve">If any critical tenant-isolation, restore, secret, model-audit, correction-history, unsafe-stop, replay, retention/deletion, resource-alert, incident, or data-loss gate fails, select </w:t>
      </w:r>
      <w:r>
        <w:rPr>
          <w:b/>
          <w:sz w:val="19"/>
        </w:rPr>
        <w:t>DO NOT APPROVE</w:t>
      </w:r>
      <w:r>
        <w:rPr>
          <w:sz w:val="19"/>
        </w:rPr>
        <w:t xml:space="preserve"> or restrict the pilot to synthetic/redacted data and safe mode. Record the remediation owner and retest evidence.</w:t>
      </w:r>
    </w:p>
    <w:p>
      <w:pPr>
        <w:pStyle w:val="Heading2"/>
      </w:pPr>
      <w:r>
        <w:t>New assumptions</w:t>
      </w:r>
    </w:p>
    <w:p>
      <w:pPr>
        <w:pStyle w:val="ListNumber"/>
        <w:spacing w:after="40"/>
      </w:pPr>
      <w:r>
        <w:rPr>
          <w:b/>
          <w:sz w:val="18"/>
        </w:rPr>
        <w:t>New operational assumption:</w:t>
      </w:r>
      <w:r>
        <w:rPr>
          <w:sz w:val="18"/>
        </w:rPr>
        <w:t xml:space="preserve"> A named founder/operator and independent technical reviewer can sign the gate.</w:t>
      </w:r>
    </w:p>
    <w:p>
      <w:pPr>
        <w:pStyle w:val="ListNumber"/>
        <w:spacing w:after="40"/>
      </w:pPr>
      <w:r>
        <w:rPr>
          <w:b/>
          <w:sz w:val="18"/>
        </w:rPr>
        <w:t>New operational assumption:</w:t>
      </w:r>
      <w:r>
        <w:rPr>
          <w:sz w:val="18"/>
        </w:rPr>
        <w:t xml:space="preserve"> The pilot scope can be restricted by workflow version, workspace, data class, and connector.</w:t>
      </w:r>
    </w:p>
    <w:p>
      <w:pPr>
        <w:pStyle w:val="ListNumber"/>
        <w:spacing w:after="40"/>
      </w:pPr>
      <w:r>
        <w:rPr>
          <w:sz w:val="18"/>
        </w:rPr>
        <w:t>The approved inputs require the listed controls but do not define a universal legal approval or certification process; counsel and an independent assessment are used where the scope requires them.</w:t>
      </w:r>
    </w:p>
    <w:p>
      <w:pPr>
        <w:pStyle w:val="Heading1"/>
      </w:pPr>
      <w:r>
        <w:t>12. Reference notes</w:t>
      </w:r>
    </w:p>
    <w:p>
      <w:pPr>
        <w:spacing w:after="100" w:line="259" w:lineRule="auto"/>
      </w:pPr>
      <w:r>
        <w:rPr>
          <w:sz w:val="19"/>
        </w:rPr>
        <w:t>This SOP uses five approved internal sources only. Numeric references point to those sources rather than to local file locations.</w:t>
      </w:r>
    </w:p>
    <w:p>
      <w:pPr>
        <w:spacing w:after="100" w:line="259" w:lineRule="auto"/>
      </w:pPr>
      <w:r>
        <w:rPr>
          <w:color w:val="1F4E79"/>
          <w:sz w:val="19"/>
        </w:rPr>
        <w:t>[1]</w:t>
      </w:r>
      <w:r>
        <w:rPr>
          <w:sz w:val="19"/>
        </w:rPr>
        <w:t xml:space="preserve">: "Formiva Coding Plan, Roadmap &amp; Build Manual for a Non-Developer Founder"  </w:t>
      </w:r>
    </w:p>
    <w:p>
      <w:pPr>
        <w:spacing w:after="100" w:line="259" w:lineRule="auto"/>
      </w:pPr>
      <w:r>
        <w:rPr>
          <w:color w:val="1F4E79"/>
          <w:sz w:val="19"/>
        </w:rPr>
        <w:t>[2]</w:t>
      </w:r>
      <w:r>
        <w:rPr>
          <w:sz w:val="19"/>
        </w:rPr>
        <w:t xml:space="preserve">: "Formiva Technical Documentation — CaseFlow Platform"  </w:t>
      </w:r>
    </w:p>
    <w:p>
      <w:pPr>
        <w:spacing w:after="100" w:line="259" w:lineRule="auto"/>
      </w:pPr>
      <w:r>
        <w:rPr>
          <w:color w:val="1F4E79"/>
          <w:sz w:val="19"/>
        </w:rPr>
        <w:t>[3]</w:t>
      </w:r>
      <w:r>
        <w:rPr>
          <w:sz w:val="19"/>
        </w:rPr>
        <w:t xml:space="preserve">: "Formiva Database Planning, Architecture &amp; Schema"  </w:t>
      </w:r>
    </w:p>
    <w:p>
      <w:pPr>
        <w:spacing w:after="100" w:line="259" w:lineRule="auto"/>
      </w:pPr>
      <w:r>
        <w:rPr>
          <w:color w:val="1F4E79"/>
          <w:sz w:val="19"/>
        </w:rPr>
        <w:t>[4]</w:t>
      </w:r>
      <w:r>
        <w:rPr>
          <w:sz w:val="19"/>
        </w:rPr>
        <w:t xml:space="preserve">: "Formiva 2.0 Redesigned Product Requirements Document"  </w:t>
      </w:r>
    </w:p>
    <w:p>
      <w:pPr>
        <w:spacing w:after="100" w:line="259" w:lineRule="auto"/>
      </w:pPr>
      <w:r>
        <w:rPr>
          <w:color w:val="1F4E79"/>
          <w:sz w:val="19"/>
        </w:rPr>
        <w:t>[5]</w:t>
      </w:r>
      <w:r>
        <w:rPr>
          <w:sz w:val="19"/>
        </w:rPr>
        <w:t>: "Formiva 2.0 Redesigned Business Plan"</w:t>
      </w:r>
    </w:p>
    <w:p>
      <w:pPr>
        <w:spacing w:after="100" w:line="259" w:lineRule="auto"/>
      </w:pPr>
      <w:r>
        <w:rPr>
          <w:sz w:val="19"/>
        </w:rPr>
        <w:t>The source documents describe a planning baseline, not implemented software. Provider limits, pricing, terms, quotas, regional availability, and legal obligations require verification before external commitment. The baseline does not support a blanket compliance claim.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FORMIVA 2.0  |  FORMIVA 2.0 STANDARD OPERATING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Formiva 2.0 Standard Operating Procedures</dc:title>
  <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