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Formiva Database Plan and Schema Specification</w:t>
      </w:r>
    </w:p>
    <w:p>
      <w:pPr>
        <w:spacing w:after="200"/>
      </w:pPr>
      <w:r>
        <w:rPr>
          <w:rFonts w:ascii="Calibri" w:cs="Calibri" w:eastAsia="Calibri" w:hAnsi="Calibri"/>
          <w:color w:val="4B5563"/>
          <w:sz w:val="28"/>
          <w:szCs w:val="28"/>
        </w:rPr>
        <w:t xml:space="preserve">PostgreSQL 16 design for a multi-tenant, audit-grade intake and approval platform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2.1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20 September 2026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Replaces: Formiva Database Planning, Architecture and Schema (2.0)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Companion package: Formiva_DB_v2.1 (migrations 001-008, tests, README)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Revision 2: government-document policy added (migration 007)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Status: schema written and tested on PostgreSQL 16.15 (107 automated checks and a 12-session concurrency race pass); not yet deployed</w:t>
      </w:r>
    </w:p>
    <w:p>
      <w:pPr>
        <w:pBdr>
          <w:bottom w:val="single" w:color="1A56DB" w:sz="12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Contents</w:t>
      </w:r>
    </w:p>
    <w:p>
      <w:pPr>
        <w:spacing w:after="50" w:before="70"/>
        <w:ind w:left="0"/>
      </w:pPr>
      <w:hyperlink w:history="1" w:anchor="h1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1. Purpose and status</w:t>
        </w:r>
      </w:hyperlink>
    </w:p>
    <w:p>
      <w:pPr>
        <w:spacing w:after="50" w:before="70"/>
        <w:ind w:left="0"/>
      </w:pPr>
      <w:hyperlink w:history="1" w:anchor="h2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2. Design principles</w:t>
        </w:r>
      </w:hyperlink>
    </w:p>
    <w:p>
      <w:pPr>
        <w:spacing w:after="50" w:before="70"/>
        <w:ind w:left="0"/>
      </w:pPr>
      <w:hyperlink w:history="1" w:anchor="h3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3. Tenant isolation model</w:t>
        </w:r>
      </w:hyperlink>
    </w:p>
    <w:p>
      <w:pPr>
        <w:spacing w:after="50" w:before="70"/>
        <w:ind w:left="0"/>
      </w:pPr>
      <w:hyperlink w:history="1" w:anchor="h4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4. Roles and privileges</w:t>
        </w:r>
      </w:hyperlink>
    </w:p>
    <w:p>
      <w:pPr>
        <w:spacing w:after="50" w:before="70"/>
        <w:ind w:left="0"/>
      </w:pPr>
      <w:hyperlink w:history="1" w:anchor="h5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5. Table catalog</w:t>
        </w:r>
      </w:hyperlink>
    </w:p>
    <w:p>
      <w:pPr>
        <w:spacing w:after="20" w:before="0"/>
        <w:ind w:left="380"/>
      </w:pPr>
      <w:hyperlink w:history="1" w:anchor="h6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5.1 Identity, tenancy and access (7 tables)</w:t>
        </w:r>
      </w:hyperlink>
    </w:p>
    <w:p>
      <w:pPr>
        <w:spacing w:after="20" w:before="0"/>
        <w:ind w:left="380"/>
      </w:pPr>
      <w:hyperlink w:history="1" w:anchor="h7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5.2 Forms and public access (4 tables)</w:t>
        </w:r>
      </w:hyperlink>
    </w:p>
    <w:p>
      <w:pPr>
        <w:spacing w:after="20" w:before="0"/>
        <w:ind w:left="380"/>
      </w:pPr>
      <w:hyperlink w:history="1" w:anchor="h8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5.3 Workflow definitions (6 tables)</w:t>
        </w:r>
      </w:hyperlink>
    </w:p>
    <w:p>
      <w:pPr>
        <w:spacing w:after="20" w:before="0"/>
        <w:ind w:left="380"/>
      </w:pPr>
      <w:hyperlink w:history="1" w:anchor="h9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5.4 Cases, documents and evidence (9 tables)</w:t>
        </w:r>
      </w:hyperlink>
    </w:p>
    <w:p>
      <w:pPr>
        <w:spacing w:after="20" w:before="0"/>
        <w:ind w:left="380"/>
      </w:pPr>
      <w:hyperlink w:history="1" w:anchor="h10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5.5 AI control plane (11 tables)</w:t>
        </w:r>
      </w:hyperlink>
    </w:p>
    <w:p>
      <w:pPr>
        <w:spacing w:after="20" w:before="0"/>
        <w:ind w:left="380"/>
      </w:pPr>
      <w:hyperlink w:history="1" w:anchor="h11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5.6 Review, approval and SLA (6 tables)</w:t>
        </w:r>
      </w:hyperlink>
    </w:p>
    <w:p>
      <w:pPr>
        <w:spacing w:after="20" w:before="0"/>
        <w:ind w:left="380"/>
      </w:pPr>
      <w:hyperlink w:history="1" w:anchor="h12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5.7 Execution, integrations, billing (18 tables)</w:t>
        </w:r>
      </w:hyperlink>
    </w:p>
    <w:p>
      <w:pPr>
        <w:spacing w:after="20" w:before="0"/>
        <w:ind w:left="380"/>
      </w:pPr>
      <w:hyperlink w:history="1" w:anchor="h13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5.8 Governance, audit and recovery (5 tables)</w:t>
        </w:r>
      </w:hyperlink>
    </w:p>
    <w:p>
      <w:pPr>
        <w:spacing w:after="50" w:before="70"/>
        <w:ind w:left="0"/>
      </w:pPr>
      <w:hyperlink w:history="1" w:anchor="h14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6. State machines</w:t>
        </w:r>
      </w:hyperlink>
    </w:p>
    <w:p>
      <w:pPr>
        <w:spacing w:after="20" w:before="0"/>
        <w:ind w:left="380"/>
      </w:pPr>
      <w:hyperlink w:history="1" w:anchor="h15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6.1 Cases</w:t>
        </w:r>
      </w:hyperlink>
    </w:p>
    <w:p>
      <w:pPr>
        <w:spacing w:after="20" w:before="0"/>
        <w:ind w:left="380"/>
      </w:pPr>
      <w:hyperlink w:history="1" w:anchor="h16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6.2 AI jobs, workflow steps, integration interactions, review tasks</w:t>
        </w:r>
      </w:hyperlink>
    </w:p>
    <w:p>
      <w:pPr>
        <w:spacing w:after="50" w:before="70"/>
        <w:ind w:left="0"/>
      </w:pPr>
      <w:hyperlink w:history="1" w:anchor="h17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7. Transaction patterns</w:t>
        </w:r>
      </w:hyperlink>
    </w:p>
    <w:p>
      <w:pPr>
        <w:spacing w:after="20" w:before="0"/>
        <w:ind w:left="380"/>
      </w:pPr>
      <w:hyperlink w:history="1" w:anchor="h18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7.1 Submission</w:t>
        </w:r>
      </w:hyperlink>
    </w:p>
    <w:p>
      <w:pPr>
        <w:spacing w:after="20" w:before="0"/>
        <w:ind w:left="380"/>
      </w:pPr>
      <w:hyperlink w:history="1" w:anchor="h19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7.2 Claiming work (worker)</w:t>
        </w:r>
      </w:hyperlink>
    </w:p>
    <w:p>
      <w:pPr>
        <w:spacing w:after="20" w:before="0"/>
        <w:ind w:left="380"/>
      </w:pPr>
      <w:hyperlink w:history="1" w:anchor="h20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7.3 Recording an AI result</w:t>
        </w:r>
      </w:hyperlink>
    </w:p>
    <w:p>
      <w:pPr>
        <w:spacing w:after="20" w:before="0"/>
        <w:ind w:left="380"/>
      </w:pPr>
      <w:hyperlink w:history="1" w:anchor="h21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7.4 Integration call (exactly-once guard)</w:t>
        </w:r>
      </w:hyperlink>
    </w:p>
    <w:p>
      <w:pPr>
        <w:spacing w:after="20" w:before="0"/>
        <w:ind w:left="380"/>
      </w:pPr>
      <w:hyperlink w:history="1" w:anchor="h22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7.5 Human correction</w:t>
        </w:r>
      </w:hyperlink>
    </w:p>
    <w:p>
      <w:pPr>
        <w:spacing w:after="20" w:before="0"/>
        <w:ind w:left="380"/>
      </w:pPr>
      <w:hyperlink w:history="1" w:anchor="h23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7.6 Approval and action</w:t>
        </w:r>
      </w:hyperlink>
    </w:p>
    <w:p>
      <w:pPr>
        <w:spacing w:after="20" w:before="0"/>
        <w:ind w:left="380"/>
      </w:pPr>
      <w:hyperlink w:history="1" w:anchor="h24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7.7 Audit</w:t>
        </w:r>
      </w:hyperlink>
    </w:p>
    <w:p>
      <w:pPr>
        <w:spacing w:after="20" w:before="0"/>
        <w:ind w:left="380"/>
      </w:pPr>
      <w:hyperlink w:history="1" w:anchor="h25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7.8 Creating a workspace</w:t>
        </w:r>
      </w:hyperlink>
    </w:p>
    <w:p>
      <w:pPr>
        <w:spacing w:after="50" w:before="70"/>
        <w:ind w:left="0"/>
      </w:pPr>
      <w:hyperlink w:history="1" w:anchor="h26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8. Sensitive data and encryption</w:t>
        </w:r>
      </w:hyperlink>
    </w:p>
    <w:p>
      <w:pPr>
        <w:spacing w:after="20" w:before="0"/>
        <w:ind w:left="380"/>
      </w:pPr>
      <w:hyperlink w:history="1" w:anchor="h27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8.1 Government documents in the database (migration 007)</w:t>
        </w:r>
      </w:hyperlink>
    </w:p>
    <w:p>
      <w:pPr>
        <w:spacing w:after="20" w:before="0"/>
        <w:ind w:left="380"/>
      </w:pPr>
      <w:hyperlink w:history="1" w:anchor="h28">
        <w:r>
          <w:rPr>
            <w:rFonts w:ascii="Calibri" w:cs="Calibri" w:eastAsia="Calibri" w:hAnsi="Calibri"/>
            <w:b w:val="false"/>
            <w:bCs w:val="false"/>
            <w:color w:val="374151"/>
            <w:sz w:val="19"/>
            <w:szCs w:val="19"/>
          </w:rPr>
          <w:t xml:space="preserve">8.2 Generic connectors (migration 008, ADR-16)</w:t>
        </w:r>
      </w:hyperlink>
    </w:p>
    <w:p>
      <w:pPr>
        <w:spacing w:after="50" w:before="70"/>
        <w:ind w:left="0"/>
      </w:pPr>
      <w:hyperlink w:history="1" w:anchor="h29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9. Retention, deletion and legal hold</w:t>
        </w:r>
      </w:hyperlink>
    </w:p>
    <w:p>
      <w:pPr>
        <w:spacing w:after="50" w:before="70"/>
        <w:ind w:left="0"/>
      </w:pPr>
      <w:hyperlink w:history="1" w:anchor="h30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10. Performance and capacity</w:t>
        </w:r>
      </w:hyperlink>
    </w:p>
    <w:p>
      <w:pPr>
        <w:spacing w:after="50" w:before="70"/>
        <w:ind w:left="0"/>
      </w:pPr>
      <w:hyperlink w:history="1" w:anchor="h31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11. Backup, restore and migration rules</w:t>
        </w:r>
      </w:hyperlink>
    </w:p>
    <w:p>
      <w:pPr>
        <w:spacing w:after="50" w:before="70"/>
        <w:ind w:left="0"/>
      </w:pPr>
      <w:hyperlink w:history="1" w:anchor="h32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12. What the test suites prove</w:t>
        </w:r>
      </w:hyperlink>
    </w:p>
    <w:p>
      <w:pPr>
        <w:spacing w:after="50" w:before="70"/>
        <w:ind w:left="0"/>
      </w:pPr>
      <w:hyperlink w:history="1" w:anchor="h33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13. Useful analytics queries (for Phase 11)</w:t>
        </w:r>
      </w:hyperlink>
    </w:p>
    <w:p>
      <w:pPr>
        <w:spacing w:after="50" w:before="70"/>
        <w:ind w:left="0"/>
      </w:pPr>
      <w:hyperlink w:history="1" w:anchor="h34">
        <w:r>
          <w:rPr>
            <w:rFonts w:ascii="Calibri" w:cs="Calibri" w:eastAsia="Calibri" w:hAnsi="Calibri"/>
            <w:b/>
            <w:bCs/>
            <w:color w:val="1F3A5F"/>
            <w:sz w:val="21"/>
            <w:szCs w:val="21"/>
          </w:rPr>
          <w:t xml:space="preserve">14. Known limitations and open decisions</w:t>
        </w:r>
      </w:hyperlink>
    </w:p>
    <w:p>
      <w:r>
        <w:br w:type="page"/>
      </w:r>
    </w:p>
    <w:p>
      <w:pPr>
        <w:pStyle w:val="Heading1"/>
        <w:keepNext/>
      </w:pPr>
      <w:bookmarkStart w:name="h1" w:id="1"/>
      <w:r>
        <w:rPr>
          <w:rFonts w:ascii="Calibri" w:cs="Calibri" w:eastAsia="Calibri" w:hAnsi="Calibri"/>
        </w:rPr>
        <w:t xml:space="preserve">1. Purpose and status</w:t>
      </w:r>
      <w:bookmarkEnd w:id="1"/>
    </w:p>
    <w:p>
      <w:pPr>
        <w:spacing w:after="100" w:line="264"/>
      </w:pPr>
      <w:r>
        <w:rPr>
          <w:rFonts w:ascii="Calibri" w:cs="Calibri" w:eastAsia="Calibri" w:hAnsi="Calibri"/>
        </w:rPr>
        <w:t xml:space="preserve">This document specifies the database that holds every Formiva case, document record, AI result, routing decision, review, approval, integration attempt and audit event. It is written for three readers: you (to understand what is protected and why), the AI coding tool (to write correct data-access code), and the technical reviewer (to check the controls).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2"/>
        <w:gridCol w:w="6654"/>
      </w:tblGrid>
      <w:tr>
        <w:trPr>
          <w:cantSplit/>
          <w:tblHeader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Engine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PostgreSQL 16, running 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VM1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the API and workers (ADR-01)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Tables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66 in schema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public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59 are tenant-owned with forced row-level security; 7 are global catalogs (permissions, billing plans, model registry, benchmark runs, document subtypes, connector categories, connector templates)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 objects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66 triggers, 6 privileged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SECURITY DEFINER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functions, 1 metrics view, 4 helper procedures, a state-transition table with 109 rows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Migrations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001_foundation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008_generic_connectors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(SQL-first, ADR-10)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Tests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107 assertions in four SQL suites plus a shell concurrency race (12 sessions, 10 jobs, each claimed once). Every claim in this document that says "enforced" is backed by one of them</w:t>
            </w:r>
          </w:p>
        </w:tc>
      </w:tr>
      <w:tr>
        <w:trPr>
          <w:cantSplit/>
          <w:tblHeader w:val="false"/>
        </w:trPr>
        <w:tc>
          <w:tcPr>
            <w:tcW w:type="dxa" w:w="32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is not yet proven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 at pilot scale, backup and restore on VM1, behaviour behind a connection pooler, and the API layer that calls all this. Those are POC gates</w:t>
            </w:r>
          </w:p>
        </w:tc>
      </w:tr>
    </w:tbl>
    <w:p>
      <w:pPr>
        <w:spacing w:after="120"/>
      </w:pPr>
    </w:p>
    <w:p>
      <w:pPr>
        <w:pBdr>
          <w:left w:val="single" w:color="1A56DB" w:sz="24" w:space="6"/>
        </w:pBdr>
        <w:shd w:fill="E8EEF7" w:color="auto" w:val="clear"/>
        <w:spacing w:after="40" w:line="252"/>
        <w:ind w:left="160" w:right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Decision:</w:t>
      </w:r>
      <w:r>
        <w:rPr>
          <w:rFonts w:ascii="Calibri" w:cs="Calibri" w:eastAsia="Calibri" w:hAnsi="Calibri"/>
          <w:sz w:val="20"/>
          <w:szCs w:val="20"/>
        </w:rPr>
        <w:t xml:space="preserve"> the database is the last line of defence. Application code must be correct, but when it is wrong, the database must still refuse to leak a tenant's data, overwrite evidence, skip an approval or run a state change that the state machine does not allow.</w:t>
      </w:r>
    </w:p>
    <w:p>
      <w:pPr>
        <w:spacing w:after="100"/>
      </w:pPr>
    </w:p>
    <w:p>
      <w:pPr>
        <w:pStyle w:val="Heading1"/>
        <w:keepNext/>
      </w:pPr>
      <w:bookmarkStart w:name="h2" w:id="2"/>
      <w:r>
        <w:rPr>
          <w:rFonts w:ascii="Calibri" w:cs="Calibri" w:eastAsia="Calibri" w:hAnsi="Calibri"/>
        </w:rPr>
        <w:t xml:space="preserve">2. Design principles</w:t>
      </w:r>
      <w:bookmarkEnd w:id="2"/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Tenant isolation is enforced three ways at once:</w:t>
      </w:r>
      <w:r>
        <w:rPr>
          <w:rFonts w:ascii="Calibri" w:cs="Calibri" w:eastAsia="Calibri" w:hAnsi="Calibri"/>
        </w:rPr>
        <w:t xml:space="preserve"> composite foreign keys (a child row cannot point at another tenant's parent), forced row-level security on every tenant table, and an authorization layer in the API. A bug in one layer does not open the others.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Deny by default.</w:t>
      </w:r>
      <w:r>
        <w:rPr>
          <w:rFonts w:ascii="Calibri" w:cs="Calibri" w:eastAsia="Calibri" w:hAnsi="Calibri"/>
        </w:rPr>
        <w:t xml:space="preserve"> With no tenant context set, tenant tables return zero rows.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Append-only evidence.</w:t>
      </w:r>
      <w:r>
        <w:rPr>
          <w:rFonts w:ascii="Calibri" w:cs="Calibri" w:eastAsia="Calibri" w:hAnsi="Calibri"/>
        </w:rPr>
        <w:t xml:space="preserve"> AI results, source evidence, extractions, validation results, routing decisions, human corrections, consent records, file scans, integration attempts and audit events cannot be updated or deleted, by trigger and by privilege.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Immutable once published.</w:t>
      </w:r>
      <w:r>
        <w:rPr>
          <w:rFonts w:ascii="Calibri" w:cs="Calibri" w:eastAsia="Calibri" w:hAnsi="Calibri"/>
        </w:rPr>
        <w:t xml:space="preserve"> Form versions, workflow versions, their child rows and active routing policies freeze. Rollback moves a pointer; history is never rewritten.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State machines live in the database.</w:t>
      </w:r>
      <w:r>
        <w:rPr>
          <w:rFonts w:ascii="Calibri" w:cs="Calibri" w:eastAsia="Calibri" w:hAnsi="Calibri"/>
        </w:rPr>
        <w:t xml:space="preserve"> A transition table lists every legal change for cases, AI jobs, workflow steps, integration interactions and review tasks. Illegal changes are rejected.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Safety invariants are constraints, not conventions.</w:t>
      </w:r>
      <w:r>
        <w:rPr>
          <w:rFonts w:ascii="Calibri" w:cs="Calibri" w:eastAsia="Calibri" w:hAnsi="Calibri"/>
        </w:rPr>
        <w:t xml:space="preserve"> Government documents need an opt-in policy with a stated purpose; Aadhaar policies must require a masked copy; highly sensitive values must be ciphertext; a sensitive case cannot execute an action without a complete approval; sensitive or irreversible thresholds cannot allow auto-proceed; an unknown external outcome cannot go straight back to the queue.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The database is the queue.</w:t>
      </w:r>
      <w:r>
        <w:rPr>
          <w:rFonts w:ascii="Calibri" w:cs="Calibri" w:eastAsia="Calibri" w:hAnsi="Calibri"/>
        </w:rPr>
        <w:t xml:space="preserve"> Workers claim jobs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FOR UPDATE SKIP LOCKED</w:t>
      </w:r>
      <w:r>
        <w:rPr>
          <w:rFonts w:ascii="Calibri" w:cs="Calibri" w:eastAsia="Calibri" w:hAnsi="Calibri"/>
        </w:rPr>
        <w:t xml:space="preserve"> under leases (ADR-04). There is no second copy of job state to reconcile.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Idempotency is a unique index.</w:t>
      </w:r>
      <w:r>
        <w:rPr>
          <w:rFonts w:ascii="Calibri" w:cs="Calibri" w:eastAsia="Calibri" w:hAnsi="Calibri"/>
        </w:rPr>
        <w:t xml:space="preserve"> One business effect per (workspace, idempotency key).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Time-ordered facts, plain types.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timestamptz</w:t>
      </w:r>
      <w:r>
        <w:rPr>
          <w:rFonts w:ascii="Calibri" w:cs="Calibri" w:eastAsia="Calibri" w:hAnsi="Calibri"/>
        </w:rPr>
        <w:t xml:space="preserve"> everywhere, UUID primary keys, text with CHECK constraints instead of enum types (easier to evolve), JSONB only for genuinely variable payloads.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Secrets are never stored, only referenced.</w:t>
      </w:r>
      <w:r>
        <w:rPr>
          <w:rFonts w:ascii="Calibri" w:cs="Calibri" w:eastAsia="Calibri" w:hAnsi="Calibri"/>
        </w:rPr>
        <w:t xml:space="preserve"> Credential fields hold references; API keys and respondent tokens hold hashes only.</w:t>
      </w:r>
    </w:p>
    <w:p>
      <w:pPr>
        <w:pStyle w:val="Heading1"/>
        <w:keepNext/>
      </w:pPr>
      <w:bookmarkStart w:name="h3" w:id="3"/>
      <w:r>
        <w:rPr>
          <w:rFonts w:ascii="Calibri" w:cs="Calibri" w:eastAsia="Calibri" w:hAnsi="Calibri"/>
        </w:rPr>
        <w:t xml:space="preserve">3. Tenant isolation model</w:t>
      </w:r>
      <w:bookmarkEnd w:id="3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4845"/>
        <w:gridCol w:w="2047"/>
      </w:tblGrid>
      <w:tr>
        <w:trPr>
          <w:cantSplit/>
          <w:tblHeader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Layer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Mechanism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Proven by test</w:t>
            </w:r>
          </w:p>
        </w:tc>
      </w:tr>
      <w:tr>
        <w:trPr>
          <w:cantSplit/>
          <w:tblHeader w:val="false"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L1 Application authorization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Membership and permission checks in the API; workspace taken from the token, never from the body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suite (Phase 2)</w:t>
            </w:r>
          </w:p>
        </w:tc>
      </w:tr>
      <w:tr>
        <w:trPr>
          <w:cantSplit/>
          <w:tblHeader w:val="false"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L2 Session context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transaction runs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select app.set_context(workspace, user)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app.current_workspace()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reads it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T01a-d</w:t>
            </w:r>
          </w:p>
        </w:tc>
      </w:tr>
      <w:tr>
        <w:trPr>
          <w:cantSplit/>
          <w:tblHeader w:val="false"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L3 Row-level security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tenant_isolation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policy on 59 tables: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workspace_id = app.current_workspace()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both reads and writes;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 ROW LEVEL SECURITY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 even table owners obey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T01, T02</w:t>
            </w:r>
          </w:p>
        </w:tc>
      </w:tr>
      <w:tr>
        <w:trPr>
          <w:cantSplit/>
          <w:tblHeader w:val="false"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L4 Composite foreign keys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parent has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 (id, workspace_id)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each child references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(parent_id, workspace_id)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T03</w:t>
            </w:r>
          </w:p>
        </w:tc>
      </w:tr>
      <w:tr>
        <w:trPr>
          <w:cantSplit/>
          <w:tblHeader w:val="false"/>
        </w:trPr>
        <w:tc>
          <w:tcPr>
            <w:tcW w:type="dxa" w:w="30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L5 Privilege separation</w:t>
            </w:r>
          </w:p>
        </w:tc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app role has no BYPASSRLS; only the NOLOGIN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formiva_definer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role does, and only inside six reviewed functions</w:t>
            </w:r>
          </w:p>
        </w:tc>
        <w:tc>
          <w:tcPr>
            <w:tcW w:type="dxa" w:w="20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T13d, T15</w:t>
            </w:r>
          </w:p>
        </w:tc>
      </w:tr>
    </w:tbl>
    <w:p>
      <w:pPr>
        <w:spacing w:after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286500" cy="1847850"/>
            <wp:effectExtent t="0" r="0" b="0" l="0"/>
            <wp:docPr id="1" name="Figure 1: The five isolation layers" descr="Figure 1: The five isolation layers" title="Figure 1: The five isolation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1: The five isolation layers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Usage contract for code: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every request / job, inside ONE transaction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begin;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select app.set_context('&lt;workspace uuid&gt;', '&lt;user uuid&gt;');   -- transaction-local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... all reads and writes ...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commit;</w:t>
      </w:r>
    </w:p>
    <w:p>
      <w:pPr>
        <w:spacing w:after="100"/>
      </w:pPr>
    </w:p>
    <w:p>
      <w:pPr>
        <w:pBdr>
          <w:left w:val="single" w:color="E08A00" w:sz="24" w:space="6"/>
        </w:pBdr>
        <w:shd w:fill="FFF4E5" w:color="auto" w:val="clear"/>
        <w:spacing w:after="40" w:line="252"/>
        <w:ind w:left="160" w:right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Warning:</w:t>
      </w:r>
      <w:r>
        <w:rPr>
          <w:rFonts w:ascii="Calibri" w:cs="Calibri" w:eastAsia="Calibri" w:hAnsi="Calibri"/>
          <w:sz w:val="20"/>
          <w:szCs w:val="20"/>
        </w:rPr>
        <w:t xml:space="preserve"> the context is transaction-local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set_config(..., true)</w:t>
      </w:r>
      <w:r>
        <w:rPr>
          <w:rFonts w:ascii="Calibri" w:cs="Calibri" w:eastAsia="Calibri" w:hAnsi="Calibri"/>
          <w:sz w:val="20"/>
          <w:szCs w:val="20"/>
        </w:rPr>
        <w:t xml:space="preserve">). If a connection pooler in transaction mode is ever added, keep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withTenant()</w:t>
      </w:r>
      <w:r>
        <w:rPr>
          <w:rFonts w:ascii="Calibri" w:cs="Calibri" w:eastAsia="Calibri" w:hAnsi="Calibri"/>
          <w:sz w:val="20"/>
          <w:szCs w:val="20"/>
        </w:rPr>
        <w:t xml:space="preserve"> as the only way to run queries so the context and the statements share one transaction. Do not use session-level settings.</w:t>
      </w:r>
    </w:p>
    <w:p>
      <w:pPr>
        <w:spacing w:after="100"/>
      </w:pPr>
    </w:p>
    <w:p>
      <w:pPr>
        <w:pStyle w:val="Heading1"/>
        <w:keepNext/>
      </w:pPr>
      <w:bookmarkStart w:name="h4" w:id="4"/>
      <w:r>
        <w:rPr>
          <w:rFonts w:ascii="Calibri" w:cs="Calibri" w:eastAsia="Calibri" w:hAnsi="Calibri"/>
        </w:rPr>
        <w:t xml:space="preserve">4. Roles and privileges</w:t>
      </w:r>
      <w:bookmarkEnd w:id="4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1168"/>
        <w:gridCol w:w="2504"/>
        <w:gridCol w:w="2504"/>
        <w:gridCol w:w="2506"/>
      </w:tblGrid>
      <w:tr>
        <w:trPr>
          <w:cantSplit/>
          <w:tblHeader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Can do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Cannot do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formiva_app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(group)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via API login role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runtime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SELECT, INSERT, UPDATE on tenant tables (RLS-limited); DELETE only on draft-editable tables (respondent_tokens, case_values while draft, form_fields and workflow nodes/edges while draft, role_permissions, delegations, webhook endpoints); call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ops.workspaces_for_user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ops.resolve_respondent_token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or delete append-only tables; write global catalogs; bypass RLS; call queue-claim functions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formiva_worker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(group)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via worker login role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Workers and scheduler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app minus all DELETE; execute the claim and reaper functions; read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ops.queue_health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anything; write global catalogs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formiva_readonly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login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Reporting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 under RLS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write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formiva_ops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operator login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 registry, plans, incidents, platform credentials, metrics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Write global catalogs and platform-level rows; read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ops.queue_health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 tenant data without setting a context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formiva_definer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Owns the privileged functions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Bypass RLS (BYPASSRLS) for six functions only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in</w:t>
            </w:r>
          </w:p>
        </w:tc>
      </w:tr>
      <w:tr>
        <w:trPr>
          <w:cantSplit/>
          <w:tblHeader w:val="false"/>
        </w:trPr>
        <w:tc>
          <w:tcPr>
            <w:tcW w:type="dxa" w:w="1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Migration admin</w:t>
            </w:r>
          </w:p>
        </w:tc>
        <w:tc>
          <w:tcPr>
            <w:tcW w:type="dxa" w:w="11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You, occasionally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Applies migrations</w:t>
            </w:r>
          </w:p>
        </w:tc>
        <w:tc>
          <w:tcPr>
            <w:tcW w:type="dxa" w:w="25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Everything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not be used by the application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Production creates LOGIN roles that inherit from these groups, with passwords from the secret store. Never connect the application as the migration admin or a superuser.</w:t>
      </w:r>
    </w:p>
    <w:p>
      <w:pPr>
        <w:pStyle w:val="Heading1"/>
        <w:keepNext/>
      </w:pPr>
      <w:bookmarkStart w:name="h5" w:id="5"/>
      <w:r>
        <w:rPr>
          <w:rFonts w:ascii="Calibri" w:cs="Calibri" w:eastAsia="Calibri" w:hAnsi="Calibri"/>
        </w:rPr>
        <w:t xml:space="preserve">5. Table catalog</w:t>
      </w:r>
      <w:bookmarkEnd w:id="5"/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Mutability classes.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= mutable. </w:t>
      </w:r>
      <w:r>
        <w:rPr>
          <w:rFonts w:ascii="Calibri" w:cs="Calibri" w:eastAsia="Calibri" w:hAnsi="Calibri"/>
          <w:b/>
          <w:bCs/>
        </w:rPr>
        <w:t xml:space="preserve">A</w:t>
      </w:r>
      <w:r>
        <w:rPr>
          <w:rFonts w:ascii="Calibri" w:cs="Calibri" w:eastAsia="Calibri" w:hAnsi="Calibri"/>
        </w:rPr>
        <w:t xml:space="preserve"> = append-only (trigger and privilege block update, delete and truncate). </w:t>
      </w:r>
      <w:r>
        <w:rPr>
          <w:rFonts w:ascii="Calibri" w:cs="Calibri" w:eastAsia="Calibri" w:hAnsi="Calibri"/>
          <w:b/>
          <w:bCs/>
        </w:rPr>
        <w:t xml:space="preserve">P</w:t>
      </w:r>
      <w:r>
        <w:rPr>
          <w:rFonts w:ascii="Calibri" w:cs="Calibri" w:eastAsia="Calibri" w:hAnsi="Calibri"/>
        </w:rPr>
        <w:t xml:space="preserve"> = immutable once published. </w:t>
      </w:r>
      <w:r>
        <w:rPr>
          <w:rFonts w:ascii="Calibri" w:cs="Calibri" w:eastAsia="Calibri" w:hAnsi="Calibri"/>
          <w:b/>
          <w:bCs/>
        </w:rPr>
        <w:t xml:space="preserve">F</w:t>
      </w:r>
      <w:r>
        <w:rPr>
          <w:rFonts w:ascii="Calibri" w:cs="Calibri" w:eastAsia="Calibri" w:hAnsi="Calibri"/>
        </w:rPr>
        <w:t xml:space="preserve"> = free to edit while the parent is a draft, frozen afterwards.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= state-machine controlled.</w:t>
      </w:r>
    </w:p>
    <w:p>
      <w:pPr>
        <w:pStyle w:val="Heading2"/>
        <w:keepNext/>
      </w:pPr>
      <w:bookmarkStart w:name="h6" w:id="6"/>
      <w:r>
        <w:rPr>
          <w:rFonts w:ascii="Calibri" w:cs="Calibri" w:eastAsia="Calibri" w:hAnsi="Calibri"/>
        </w:rPr>
        <w:t xml:space="preserve">5.1 Identity, tenancy and access (7 tables)</w:t>
      </w:r>
      <w:bookmarkEnd w:id="6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"/>
        <w:gridCol w:w="3714"/>
        <w:gridCol w:w="3714"/>
        <w:gridCol w:w="993"/>
      </w:tblGrid>
      <w:tr>
        <w:trPr>
          <w:cantSplit/>
          <w:tblHeader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users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Projection of the Clerk identity (authentication only)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auth_subject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 (citext); RLS: self or co-member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workspaces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tenant boundary;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safe_mode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default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review_sensitive_actions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slug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status check; RLS: own row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roles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Per-workspace roles (seven system roles created by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app.bootstrap_workspace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name)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(id, workspace_id)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permissions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catalog of 26 permission keys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key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role_permissions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to permission mapping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(role_id, permission_key)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composite FK to roles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workspace_members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Membership, status, role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user_id)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index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(user_id, status)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workspace_counters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Race-free per-workspace counters (case numbers)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app.next_counter</w:t>
            </w:r>
          </w:p>
        </w:tc>
        <w:tc>
          <w:tcPr>
            <w:tcW w:type="dxa" w:w="37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name)</w:t>
            </w:r>
          </w:p>
        </w:tc>
        <w:tc>
          <w:tcPr>
            <w:tcW w:type="dxa" w:w="9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System roles: owner (all), admin, reviewer, approver, integration_operator, auditor, viewer. A reviewer cannot approve; an approver cannot review or export audit; an auditor can read and export audit but cannot change anything (test T18).</w:t>
      </w:r>
    </w:p>
    <w:p>
      <w:pPr>
        <w:pStyle w:val="Heading2"/>
        <w:keepNext/>
      </w:pPr>
      <w:bookmarkStart w:name="h7" w:id="7"/>
      <w:r>
        <w:rPr>
          <w:rFonts w:ascii="Calibri" w:cs="Calibri" w:eastAsia="Calibri" w:hAnsi="Calibri"/>
        </w:rPr>
        <w:t xml:space="preserve">5.2 Forms and public access (4 tables)</w:t>
      </w:r>
      <w:bookmarkEnd w:id="7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3624"/>
        <w:gridCol w:w="3624"/>
        <w:gridCol w:w="887"/>
      </w:tblGrid>
      <w:tr>
        <w:trPr>
          <w:cantSplit/>
          <w:tblHeader/>
        </w:trPr>
        <w:tc>
          <w:tcPr>
            <w:tcW w:type="dxa" w:w="1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8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form_templates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named form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8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form_template_versions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Versioned compiled schema, privacy-notice version, SHA-256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(template_id, version_number)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published requires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published_at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hash; trigger blocks edits to published or retired versions</w:t>
            </w:r>
          </w:p>
        </w:tc>
        <w:tc>
          <w:tcPr>
            <w:tcW w:type="dxa" w:w="8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form_fields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 definitions with sensitivity label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(version_id, field_key)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frozen when parent is published (T08f)</w:t>
            </w:r>
          </w:p>
        </w:tc>
        <w:tc>
          <w:tcPr>
            <w:tcW w:type="dxa" w:w="8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respondent_tokens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Public-link and resume tokens,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hash only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(32 bytes), expiry, revocation</w:t>
            </w:r>
          </w:p>
        </w:tc>
        <w:tc>
          <w:tcPr>
            <w:tcW w:type="dxa" w:w="36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token_hash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 with length check (T17d); partial index on expiry</w:t>
            </w:r>
          </w:p>
        </w:tc>
        <w:tc>
          <w:tcPr>
            <w:tcW w:type="dxa" w:w="8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h8" w:id="8"/>
      <w:r>
        <w:rPr>
          <w:rFonts w:ascii="Calibri" w:cs="Calibri" w:eastAsia="Calibri" w:hAnsi="Calibri"/>
        </w:rPr>
        <w:t xml:space="preserve">5.3 Workflow definitions (6 tables)</w:t>
      </w:r>
      <w:bookmarkEnd w:id="8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7"/>
        <w:gridCol w:w="3594"/>
        <w:gridCol w:w="3594"/>
        <w:gridCol w:w="881"/>
      </w:tblGrid>
      <w:tr>
        <w:trPr>
          <w:cantSplit/>
          <w:tblHeader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workflow_definitions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named workflow with an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active_version_id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pointer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Trigger: pointer may only reference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published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version (T08a)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workflow_versions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Versioned definition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config_json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SHA-256)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Published versions immutable and undeletable; only published to retired allowed (T08c-h)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workflow_nodes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node types (used by the future visual editor)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(version_id, node_key)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frozen with parent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workflow_edges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 edges with conditions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FKs to nodes by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(version_id, node_key)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frozen with parent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workflow_dry_runs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 of dry-run against fixtures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creates an interaction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8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workflow_publish_events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Publish, rollback, retire history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Actor, prior and new status, validation report</w:t>
            </w:r>
          </w:p>
        </w:tc>
        <w:tc>
          <w:tcPr>
            <w:tcW w:type="dxa" w:w="88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h9" w:id="9"/>
      <w:r>
        <w:rPr>
          <w:rFonts w:ascii="Calibri" w:cs="Calibri" w:eastAsia="Calibri" w:hAnsi="Calibri"/>
        </w:rPr>
        <w:t xml:space="preserve">5.4 Cases, documents and evidence (9 tables)</w:t>
      </w:r>
      <w:bookmarkEnd w:id="9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3594"/>
        <w:gridCol w:w="3594"/>
        <w:gridCol w:w="961"/>
      </w:tblGrid>
      <w:tr>
        <w:trPr>
          <w:cantSplit/>
          <w:tblHeader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unit of business work; 16 states;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sensitivity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default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sensitive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case_number)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partial unique index 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business_key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composite FKs to form and workflow versions; state-transition and approval-guard triggers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consent_records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Notice version, purpose, granted, IP hash (DPDP evidence)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FK to case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case_participants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Respondent, reviewer, approver, owner; external contact encrypted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FK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case_values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Submitted and corrected values as revisions; highly sensitive values ciphertext only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(case_id, field_key, revision)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CHECK: highly sensitive requires ciphertext and key id and no plaintext (T09a-b); frozen after submission, corrections insert a new revision (T10c-d)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retention_policies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 retention rules per data kind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name)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delete mode hard_delete, crypto_erase or anonymize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case_documents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 metadata: tenant-scoped object key, hash, class,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subtype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status, sensitivity, retention, legal-hold flag. A trigger enforces the government-document policy (section 8.1)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(bucket, object_key)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SHA-256 length check; quarantined requires a reason; partial retention index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document_subtypes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Global catalog of 22 document subtypes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(10 government-issued) with class, default sensitivity and description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key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read-only to runtime roles (T29c)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document_type_policies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Per-workspace collection policy: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mode (not collected, optional, required), require-masked, store-file, retain days, reveal permission,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doc_subtype)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CHECK Aadhaar requires masked; CHECK a collected type needs a purpose (T23, T24)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document_scans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Evidence of every file-safety check (ClamAV, magic sniff, PDF sanitizer, image limits, archive limits)</w:t>
            </w:r>
          </w:p>
        </w:tc>
        <w:tc>
          <w:tcPr>
            <w:tcW w:type="dxa" w:w="359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FK</w:t>
            </w:r>
          </w:p>
        </w:tc>
        <w:tc>
          <w:tcPr>
            <w:tcW w:type="dxa" w:w="9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h10" w:id="10"/>
      <w:r>
        <w:rPr>
          <w:rFonts w:ascii="Calibri" w:cs="Calibri" w:eastAsia="Calibri" w:hAnsi="Calibri"/>
        </w:rPr>
        <w:t xml:space="preserve">5.5 AI control plane (11 tables)</w:t>
      </w:r>
      <w:bookmarkEnd w:id="10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3455"/>
        <w:gridCol w:w="3455"/>
        <w:gridCol w:w="923"/>
      </w:tblGrid>
      <w:tr>
        <w:trPr>
          <w:cantSplit/>
          <w:tblHeader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ai_model_registry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 list of candidate, approved, rejected and retired models with licence, digest, runtime, languages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(model_key, version)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approved requires approver and time (T15f)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ai_benchmark_runs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Pre-registered thresholds plus measured p50, p95, peak memory, queue age, accuracy, calibration, failure rate, mixed-load flag, pass/fail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to registry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routing_policies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Workspace policy versions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onboarding-v3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policy_version)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routing_policy_thresholds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class, language and action risk minimum confidence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CHECK: sensitive or irreversible risk can never allow auto-proceed (T12b); frozen when the policy is active (T12c)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ai_jobs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 AI work item with lease, attempts, backoff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idempotency_key)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 (T07a); CHECK lease present exactly when claimed or running (T12d); partial indexes for ready and leased rows; state-transition trigger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ai_executions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row per attempt, including failures: model, engine and OCR versions, timings, memory, error class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(ai_job_id, attempt_no)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ai_results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Structured model output: class,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subtype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language, calibrated confidence, components, sensitivity, recommendation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per execution; range check 0 to 1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source_evidence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Page, region, text hash, optional redacted excerpt per result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FKs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document_extractions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Extracted fields with confidence and evidence IDs; highly sensitive as ciphertext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CHECK as case values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document_validation_results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Deterministic rule outcomes with rule versions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 index on needs-review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routing_decisions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backend's routing decision, reasons, thresholds applied, superseding link</w:t>
            </w:r>
          </w:p>
        </w:tc>
        <w:tc>
          <w:tcPr>
            <w:tcW w:type="dxa" w:w="34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decision_key)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h11" w:id="11"/>
      <w:r>
        <w:rPr>
          <w:rFonts w:ascii="Calibri" w:cs="Calibri" w:eastAsia="Calibri" w:hAnsi="Calibri"/>
        </w:rPr>
        <w:t xml:space="preserve">5.6 Review, approval and SLA (6 tables)</w:t>
      </w:r>
      <w:bookmarkEnd w:id="11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3684"/>
        <w:gridCol w:w="3684"/>
        <w:gridCol w:w="901"/>
      </w:tblGrid>
      <w:tr>
        <w:trPr>
          <w:cantSplit/>
          <w:tblHeader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review_tasks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Exception queue with lease, priority, due time, resolution and optimistic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row_version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 queue index; resolved requires resolution, resolver and time; transition trigger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human_corrections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Previous and corrected value, reason (3 or more characters), approval context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FKs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approvals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Decision per approver per step per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round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(case, step, approver, round)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decided approvals are final (T11d); rejection requires a reason (T11e)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approval_delegations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Time-boxed delegation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Exclusion constraint: no overlapping windows per delegator (T12a)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sla_policies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Targets and escalation rules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6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sla_instances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Running SLA timers</w:t>
            </w:r>
          </w:p>
        </w:tc>
        <w:tc>
          <w:tcPr>
            <w:tcW w:type="dxa" w:w="36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 index on due time</w:t>
            </w:r>
          </w:p>
        </w:tc>
        <w:tc>
          <w:tcPr>
            <w:tcW w:type="dxa" w:w="9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h12" w:id="12"/>
      <w:r>
        <w:rPr>
          <w:rFonts w:ascii="Calibri" w:cs="Calibri" w:eastAsia="Calibri" w:hAnsi="Calibri"/>
        </w:rPr>
        <w:t xml:space="preserve">5.7 Execution, integrations, billing (18 tables)</w:t>
      </w:r>
      <w:bookmarkEnd w:id="12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3482"/>
        <w:gridCol w:w="3482"/>
        <w:gridCol w:w="930"/>
      </w:tblGrid>
      <w:tr>
        <w:trPr>
          <w:cantSplit/>
          <w:tblHeader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workflow_executions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Runtime instance of a workflow version for a case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business_key)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workflow_execution_steps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 step state with lease and retry counters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Lease CHECK; partial indexes; transition trigger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integration_connections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Provider connection with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credential reference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scopes, health, safe-mode override,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rejects values that look like pasted secrets (T09c); provider is free-form (lowercase key), not a fixed list (T31-T33)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connector_categories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Global catalog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of 12 integration categories: ticketing, crm, hrms, lms, sis_university, spreadsheet, payments, messaging, webhook, identity, storage, other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key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read-only to runtime roles (T34b)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connector_templates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Documented examples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of free or open-source tools per category (Zammad, EspoCRM, Moodle, and more) — reference data only, never credentials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(category, name)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integration_field_mappings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Versioned mapping per workflow version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per connection, workflow version, version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integration_interactions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One row per intended business effect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safe-mode flag; lease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idempotency_key)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 (T07b); statuses include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in_flight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unknown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review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transition trigger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integration_executions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provider attempt: outcome, HTTP status, provider reference, redacted result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(interaction_id, attempt_no)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unique provider reference per workspace and provider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external_action_attempts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 ledger for every side effect (integration or internal); replay link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idempotency_key)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history (queued, sent, delivered, bounced, complained, failed).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Never proof that a business action succeeded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 queue index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webhook_endpoints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outbound endpoints; HTTPS only; secret by reference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name)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inbound_webhook_events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Clerk, Resend, Razorpay callbacks: replay protection and signature result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(provider, provider_event_id)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api_keys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Hash of key, prefix, scopes, expiry, revocation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key_hash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unique, 32 bytes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service_credentials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Inventory of secrets for rotation (references only)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name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rotation due date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billing_plans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Free, Starter (INR 999), Vertical Pro (INR 2,999), Governance (INR 7,999); limits are placeholders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 (ops only)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subscriptions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state including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manual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provider for early pilots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live subscription per workspace (partial unique)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usage_events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Idempotent metering source of truth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event_key)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2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usage_counters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 aggregates</w:t>
            </w:r>
          </w:p>
        </w:tc>
        <w:tc>
          <w:tcPr>
            <w:tcW w:type="dxa" w:w="348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period_start, metric)</w:t>
            </w:r>
          </w:p>
        </w:tc>
        <w:tc>
          <w:tcPr>
            <w:tcW w:type="dxa" w:w="9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app.record_usage()</w:t>
      </w:r>
      <w:r>
        <w:rPr>
          <w:rFonts w:ascii="Calibri" w:cs="Calibri" w:eastAsia="Calibri" w:hAnsi="Calibri"/>
        </w:rPr>
        <w:t xml:space="preserve"> inserts the event and increments the counter once; a replay returns false and changes nothing (T07c-e).</w:t>
      </w:r>
    </w:p>
    <w:p>
      <w:pPr>
        <w:pStyle w:val="Heading2"/>
        <w:keepNext/>
      </w:pPr>
      <w:bookmarkStart w:name="h13" w:id="13"/>
      <w:r>
        <w:rPr>
          <w:rFonts w:ascii="Calibri" w:cs="Calibri" w:eastAsia="Calibri" w:hAnsi="Calibri"/>
        </w:rPr>
        <w:t xml:space="preserve">5.8 Governance, audit and recovery (5 tables)</w:t>
      </w:r>
      <w:bookmarkEnd w:id="13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3777"/>
        <w:gridCol w:w="3777"/>
        <w:gridCol w:w="925"/>
      </w:tblGrid>
      <w:tr>
        <w:trPr>
          <w:cantSplit/>
          <w:tblHeader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constraints and indexes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</w:t>
            </w:r>
          </w:p>
        </w:tc>
      </w:tr>
      <w:tr>
        <w:trPr>
          <w:cantSplit/>
          <w:tblHeader w:val="false"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legal_holds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Case, document or workspace hold with reason and release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 index on active holds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deletion_requests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Request, approval, execution, proof-of-deletion evidence, SLA due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Completed requires a completion time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incident_records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Severity, scope, actions, notifications, evidence references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 requires a closing time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dead_letter_items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exhausted or abandoned item, diagnosis, replay authorization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Replay states require an authorizing user and time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4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audit_events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Tamper-evident log, per-workspace hash chain</w:t>
            </w:r>
          </w:p>
        </w:tc>
        <w:tc>
          <w:tcPr>
            <w:tcW w:type="dxa" w:w="37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(workspace_id, chain_seq)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unique; append-only (T05c-e); chain verified by function (T06)</w:t>
            </w:r>
          </w:p>
        </w:tc>
        <w:tc>
          <w:tcPr>
            <w:tcW w:type="dxa" w:w="9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1"/>
        <w:keepNext/>
      </w:pPr>
      <w:bookmarkStart w:name="h14" w:id="14"/>
      <w:r>
        <w:rPr>
          <w:rFonts w:ascii="Calibri" w:cs="Calibri" w:eastAsia="Calibri" w:hAnsi="Calibri"/>
        </w:rPr>
        <w:t xml:space="preserve">6. State machines</w:t>
      </w:r>
      <w:bookmarkEnd w:id="14"/>
    </w:p>
    <w:p>
      <w:pPr>
        <w:spacing w:after="100" w:line="264"/>
      </w:pPr>
      <w:r>
        <w:rPr>
          <w:rFonts w:ascii="Calibri" w:cs="Calibri" w:eastAsia="Calibri" w:hAnsi="Calibri"/>
        </w:rPr>
        <w:t xml:space="preserve">Enforced by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app.state_transitions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enforce_transition</w:t>
      </w:r>
      <w:r>
        <w:rPr>
          <w:rFonts w:ascii="Calibri" w:cs="Calibri" w:eastAsia="Calibri" w:hAnsi="Calibri"/>
        </w:rPr>
        <w:t xml:space="preserve"> trigger. Statuses listed with their permitted next states. Terminal states have none.</w:t>
      </w:r>
    </w:p>
    <w:p>
      <w:pPr>
        <w:pStyle w:val="Heading2"/>
        <w:keepNext/>
      </w:pPr>
      <w:bookmarkStart w:name="h15" w:id="15"/>
      <w:r>
        <w:rPr>
          <w:rFonts w:ascii="Calibri" w:cs="Calibri" w:eastAsia="Calibri" w:hAnsi="Calibri"/>
        </w:rPr>
        <w:t xml:space="preserve">6.1 Cases</w:t>
      </w:r>
      <w:bookmarkEnd w:id="15"/>
    </w:p>
    <w:p>
      <w:pPr>
        <w:keepNext/>
        <w:spacing w:after="40" w:before="80"/>
        <w:jc w:val="center"/>
      </w:pPr>
      <w:r>
        <w:drawing>
          <wp:inline distT="0" distB="0" distL="0" distR="0">
            <wp:extent cx="3324225" cy="7620000"/>
            <wp:effectExtent t="0" r="0" b="0" l="0"/>
            <wp:docPr id="1" name="Figure 2: Case state machine as enforced by the database" descr="Figure 2: Case state machine as enforced by the database" title="Figure 2: Case state machine as enforced by th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2: Case state machine as enforced by the database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7076"/>
      </w:tblGrid>
      <w:tr>
        <w:trPr>
          <w:cantSplit/>
          <w:tblHeader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From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submitted,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submitted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intake_validated, quarantined, rejected,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intake_validated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ai_processing, review_queued, workflow_ready, quarantined,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ai_processing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review_queued, workflow_ready, quarantined,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review_queued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review_in_progress, quarantined,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review_in_progress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workflow_ready, review_queued, rejected, quarantined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workflow_ready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approval_pending, action_executing,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approval_pending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action_executing, rejected, review_queued,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action_executing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completed, action_blocked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action_blocked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action_executing (authorized replay), review_queued,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review_queued, closed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quarantined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review_queued (authorized release), closed, cancelled</w:t>
            </w:r>
          </w:p>
        </w:tc>
      </w:tr>
      <w:tr>
        <w:trPr>
          <w:cantSplit/>
          <w:tblHeader w:val="false"/>
        </w:trPr>
        <w:tc>
          <w:tcPr>
            <w:tcW w:type="dxa" w:w="28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closed, cancelled</w:t>
            </w:r>
          </w:p>
        </w:tc>
        <w:tc>
          <w:tcPr>
            <w:tcW w:type="dxa" w:w="707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Guard on entering `action_executing`:</w:t>
      </w:r>
      <w:r>
        <w:rPr>
          <w:rFonts w:ascii="Calibri" w:cs="Calibri" w:eastAsia="Calibri" w:hAnsi="Calibri"/>
        </w:rPr>
        <w:t xml:space="preserve"> if the case sensitivity is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sensitive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highly_sensitive</w:t>
      </w:r>
      <w:r>
        <w:rPr>
          <w:rFonts w:ascii="Calibri" w:cs="Calibri" w:eastAsia="Calibri" w:hAnsi="Calibri"/>
        </w:rPr>
        <w:t xml:space="preserve"> (the default is sensitive), the latest approval round must contain at least one approved decision and no pending, rejected or rework-requested decisions (tests T11a-c).</w:t>
      </w:r>
    </w:p>
    <w:p>
      <w:pPr>
        <w:pStyle w:val="Heading2"/>
        <w:keepNext/>
      </w:pPr>
      <w:bookmarkStart w:name="h16" w:id="16"/>
      <w:r>
        <w:rPr>
          <w:rFonts w:ascii="Calibri" w:cs="Calibri" w:eastAsia="Calibri" w:hAnsi="Calibri"/>
        </w:rPr>
        <w:t xml:space="preserve">6.2 AI jobs, workflow steps, integration interactions, review tasks</w:t>
      </w:r>
      <w:bookmarkEnd w:id="16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556"/>
      </w:tblGrid>
      <w:tr>
        <w:trPr>
          <w:cantSplit/>
          <w:tblHeader/>
        </w:trPr>
        <w:tc>
          <w:tcPr>
            <w:tcW w:type="dxa" w:w="3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Entity</w:t>
            </w:r>
          </w:p>
        </w:tc>
        <w:tc>
          <w:tcPr>
            <w:tcW w:type="dxa" w:w="655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Transitions</w:t>
            </w:r>
          </w:p>
        </w:tc>
      </w:tr>
      <w:tr>
        <w:trPr>
          <w:cantSplit/>
          <w:tblHeader w:val="false"/>
        </w:trPr>
        <w:tc>
          <w:tcPr>
            <w:tcW w:type="dxa" w:w="3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job</w:t>
            </w:r>
          </w:p>
        </w:tc>
        <w:tc>
          <w:tcPr>
            <w:tcW w:type="dxa" w:w="655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 to queued; queued to claimed or cancelled; retrying to claimed or cancelled; claimed to running, queued, retrying or dead_letter; running to completed, review, retrying, failed or dead_letter; failed to review or dead_letter; dead_letter to queued (authorized replay); review to completed</w:t>
            </w:r>
          </w:p>
        </w:tc>
      </w:tr>
      <w:tr>
        <w:trPr>
          <w:cantSplit/>
          <w:tblHeader w:val="false"/>
        </w:trPr>
        <w:tc>
          <w:tcPr>
            <w:tcW w:type="dxa" w:w="3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Workflow step</w:t>
            </w:r>
          </w:p>
        </w:tc>
        <w:tc>
          <w:tcPr>
            <w:tcW w:type="dxa" w:w="655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to claimed or skipped; retrying to claimed; claimed to running, pending, retrying or dead_letter; running to succeeded, failed, retrying, waiting_approval, waiting_review or dead_letter; waiting states to succeeded, failed or skipped; failed to dead_letter; dead_letter to pending</w:t>
            </w:r>
          </w:p>
        </w:tc>
      </w:tr>
      <w:tr>
        <w:trPr>
          <w:cantSplit/>
          <w:tblHeader w:val="false"/>
        </w:trPr>
        <w:tc>
          <w:tcPr>
            <w:tcW w:type="dxa" w:w="3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Integration interaction</w:t>
            </w:r>
          </w:p>
        </w:tc>
        <w:tc>
          <w:tcPr>
            <w:tcW w:type="dxa" w:w="655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 to queued; queued to claimed or cancelled; claimed to in_flight, queued or failed_permanent; in_flight to succeeded, failed_transient, failed_permanent 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unknown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failed_transient to queued or failed_permanent;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unknown to succeeded or review only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review to queued, succeeded, failed_permanent or cancelled; failed_permanent to review or cancelled</w:t>
            </w:r>
          </w:p>
        </w:tc>
      </w:tr>
      <w:tr>
        <w:trPr>
          <w:cantSplit/>
          <w:tblHeader w:val="false"/>
        </w:trPr>
        <w:tc>
          <w:tcPr>
            <w:tcW w:type="dxa" w:w="3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task</w:t>
            </w:r>
          </w:p>
        </w:tc>
        <w:tc>
          <w:tcPr>
            <w:tcW w:type="dxa" w:w="655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 to claimed, cancelled or escalated; claimed to open, resolved, rejected, escalated or cancelled; escalated to open</w:t>
            </w:r>
          </w:p>
        </w:tc>
      </w:tr>
    </w:tbl>
    <w:p>
      <w:pPr>
        <w:spacing w:after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286500" cy="6505575"/>
            <wp:effectExtent t="0" r="0" b="0" l="0"/>
            <wp:docPr id="1" name="Figure 3: Integration interaction states" descr="Figure 3: Integration interaction states" title="Figure 3: Integration interaction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Figure 3: Integration interaction states</w:t>
      </w:r>
    </w:p>
    <w:p>
      <w:pPr>
        <w:pBdr>
          <w:left w:val="single" w:color="1A56DB" w:sz="24" w:space="6"/>
        </w:pBdr>
        <w:shd w:fill="E8EEF7" w:color="auto" w:val="clear"/>
        <w:spacing w:after="40" w:line="252"/>
        <w:ind w:left="160" w:right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unknown</w:t>
      </w:r>
      <w:r>
        <w:rPr>
          <w:rFonts w:ascii="Calibri" w:cs="Calibri" w:eastAsia="Calibri" w:hAnsi="Calibri"/>
          <w:sz w:val="20"/>
          <w:szCs w:val="20"/>
        </w:rPr>
        <w:t xml:space="preserve"> can never move directly back to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queued</w:t>
      </w:r>
      <w:r>
        <w:rPr>
          <w:rFonts w:ascii="Calibri" w:cs="Calibri" w:eastAsia="Calibri" w:hAnsi="Calibri"/>
          <w:sz w:val="20"/>
          <w:szCs w:val="20"/>
        </w:rPr>
        <w:t xml:space="preserve">. An unknown outcome means a provider call may have been sent. The only paths out are a status lookup that confirms success, or a human review that authorizes a replay under the same idempotency key (tests T14g-i).</w:t>
      </w:r>
    </w:p>
    <w:p>
      <w:pPr>
        <w:spacing w:after="100"/>
      </w:pPr>
    </w:p>
    <w:p>
      <w:pPr>
        <w:pStyle w:val="Heading1"/>
        <w:keepNext/>
      </w:pPr>
      <w:bookmarkStart w:name="h17" w:id="17"/>
      <w:r>
        <w:rPr>
          <w:rFonts w:ascii="Calibri" w:cs="Calibri" w:eastAsia="Calibri" w:hAnsi="Calibri"/>
        </w:rPr>
        <w:t xml:space="preserve">7. Transaction patterns</w:t>
      </w:r>
      <w:bookmarkEnd w:id="17"/>
    </w:p>
    <w:p>
      <w:pPr>
        <w:spacing w:after="100" w:line="264"/>
      </w:pPr>
      <w:r>
        <w:rPr>
          <w:rFonts w:ascii="Calibri" w:cs="Calibri" w:eastAsia="Calibri" w:hAnsi="Calibri"/>
        </w:rPr>
        <w:t xml:space="preserve">These are the patterns the API and workers must follow. Each is a single transaction unless noted.</w:t>
      </w:r>
    </w:p>
    <w:p>
      <w:pPr>
        <w:pStyle w:val="Heading2"/>
        <w:keepNext/>
      </w:pPr>
      <w:bookmarkStart w:name="h18" w:id="18"/>
      <w:r>
        <w:rPr>
          <w:rFonts w:ascii="Calibri" w:cs="Calibri" w:eastAsia="Calibri" w:hAnsi="Calibri"/>
        </w:rPr>
        <w:t xml:space="preserve">7.1 Submission</w:t>
      </w:r>
      <w:bookmarkEnd w:id="18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withTenant(workspace, user) {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cases (status draft) -&gt; update status submitted            -- legal transition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case_values (revisions; highly sensitive = ciphertext + key_id + masked_preview)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case_documents (already scanned clean)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ai_jobs (status queued, idempotency_key = ws:case:doc:sha256:policy)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select app.audit('case.submitted', 'case', case_id, ...)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}   -- nothing is published to any external queue; workers poll</w:t>
      </w:r>
    </w:p>
    <w:p>
      <w:pPr>
        <w:spacing w:after="100"/>
      </w:pPr>
    </w:p>
    <w:p>
      <w:pPr>
        <w:pStyle w:val="Heading2"/>
        <w:keepNext/>
      </w:pPr>
      <w:bookmarkStart w:name="h19" w:id="19"/>
      <w:r>
        <w:rPr>
          <w:rFonts w:ascii="Calibri" w:cs="Calibri" w:eastAsia="Calibri" w:hAnsi="Calibri"/>
        </w:rPr>
        <w:t xml:space="preserve">7.2 Claiming work (worker)</w:t>
      </w:r>
      <w:bookmarkEnd w:id="19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no tenant context; runs as formiva_worker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select * from ops.claim_next_ai_job('worker-1', 300);   -- returns (job_id, ws_id, case_id, ...)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then process inside withTenant(ws_id, null) and heartbeat by updating lease_until</w:t>
      </w:r>
    </w:p>
    <w:p>
      <w:pPr>
        <w:spacing w:after="10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The claim function selects one ready row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FOR UPDATE SKIP LOCKED</w:t>
      </w:r>
      <w:r>
        <w:rPr>
          <w:rFonts w:ascii="Calibri" w:cs="Calibri" w:eastAsia="Calibri" w:hAnsi="Calibri"/>
        </w:rPr>
        <w:t xml:space="preserve">, sets status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claimed</w:t>
      </w:r>
      <w:r>
        <w:rPr>
          <w:rFonts w:ascii="Calibri" w:cs="Calibri" w:eastAsia="Calibri" w:hAnsi="Calibri"/>
        </w:rPr>
        <w:t xml:space="preserve">, lease owner, lease expiry and increments the attempt counter. Twelve concurrent sessions claimed ten jobs exactly once each (concurrency test).</w:t>
      </w:r>
    </w:p>
    <w:p>
      <w:pPr>
        <w:pStyle w:val="Heading2"/>
        <w:keepNext/>
      </w:pPr>
      <w:bookmarkStart w:name="h20" w:id="20"/>
      <w:r>
        <w:rPr>
          <w:rFonts w:ascii="Calibri" w:cs="Calibri" w:eastAsia="Calibri" w:hAnsi="Calibri"/>
        </w:rPr>
        <w:t xml:space="preserve">7.3 Recording an AI result</w:t>
      </w:r>
      <w:bookmarkEnd w:id="20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withTenant(ws) {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ai_executions (attempt, model, versions, timings)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ai_results, source_evidence, document_extractions, document_validation_results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routing_decisions (decision_key unique)              -- backend decision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review_tasks  OR  advance case + workflow step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update ai_jobs (running -&gt; completed | review)              -- lease cleared automatically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select app.audit('ai.result.recorded', ...)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pStyle w:val="Heading2"/>
        <w:keepNext/>
      </w:pPr>
      <w:bookmarkStart w:name="h21" w:id="21"/>
      <w:r>
        <w:rPr>
          <w:rFonts w:ascii="Calibri" w:cs="Calibri" w:eastAsia="Calibri" w:hAnsi="Calibri"/>
        </w:rPr>
        <w:t xml:space="preserve">7.4 Integration call (exactly-once guard)</w:t>
      </w:r>
      <w:bookmarkEnd w:id="21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1. insert integration_interactions (idempotency_key = caseId:notify:policyVersion)   -- unique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2. claim (queued -&gt; claimed), then set in_flight BEFORE calling the provider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3. call provider with the SAME idempotency key and a timeout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4. insert integration_executions (outcome), update interaction: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 success -&gt; succeeded | transient -&gt; failed_transient -&gt; queued (backoff)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 permanent -&gt; failed_permanent | unclear -&gt; unknown -&gt; lookup or review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5. if the process dies while in_flight, ops.requeue_expired_leases() marks it UNKNOWN</w:t>
      </w:r>
    </w:p>
    <w:p>
      <w:pPr>
        <w:spacing w:after="100"/>
      </w:pPr>
    </w:p>
    <w:p>
      <w:pPr>
        <w:pStyle w:val="Heading2"/>
        <w:keepNext/>
      </w:pPr>
      <w:bookmarkStart w:name="h22" w:id="22"/>
      <w:r>
        <w:rPr>
          <w:rFonts w:ascii="Calibri" w:cs="Calibri" w:eastAsia="Calibri" w:hAnsi="Calibri"/>
        </w:rPr>
        <w:t xml:space="preserve">7.5 Human correction</w:t>
      </w:r>
      <w:bookmarkEnd w:id="22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withTenant(ws, reviewer) {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select review_tasks ... where id = $1 and row_version = $2      -- optimistic lock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human_corrections (previous, corrected, reason)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case_values (revision + 1, source human_correction)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routing_decisions (supersedes_id = previous)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update review_tasks (claimed -&gt; resolved) ; audit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}   -- the original ai_results / source_evidence rows are untouched</w:t>
      </w:r>
    </w:p>
    <w:p>
      <w:pPr>
        <w:spacing w:after="100"/>
      </w:pPr>
    </w:p>
    <w:p>
      <w:pPr>
        <w:pStyle w:val="Heading2"/>
        <w:keepNext/>
      </w:pPr>
      <w:bookmarkStart w:name="h23" w:id="23"/>
      <w:r>
        <w:rPr>
          <w:rFonts w:ascii="Calibri" w:cs="Calibri" w:eastAsia="Calibri" w:hAnsi="Calibri"/>
        </w:rPr>
        <w:t xml:space="preserve">7.6 Approval and action</w:t>
      </w:r>
      <w:bookmarkEnd w:id="23"/>
    </w:p>
    <w:p>
      <w:pPr>
        <w:spacing w:after="100" w:line="264"/>
      </w:pPr>
      <w:r>
        <w:rPr>
          <w:rFonts w:ascii="Calibri" w:cs="Calibri" w:eastAsia="Calibri" w:hAnsi="Calibri"/>
        </w:rPr>
        <w:t xml:space="preserve">Insert approvals for the round, record decisions (final once decided; rejection needs a reason), then update the case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action_executing</w:t>
      </w:r>
      <w:r>
        <w:rPr>
          <w:rFonts w:ascii="Calibri" w:cs="Calibri" w:eastAsia="Calibri" w:hAnsi="Calibri"/>
        </w:rPr>
        <w:t xml:space="preserve">. The guard trigger refuses the update if approval is incomplete.</w:t>
      </w:r>
    </w:p>
    <w:p>
      <w:pPr>
        <w:pStyle w:val="Heading2"/>
        <w:keepNext/>
      </w:pPr>
      <w:bookmarkStart w:name="h24" w:id="24"/>
      <w:r>
        <w:rPr>
          <w:rFonts w:ascii="Calibri" w:cs="Calibri" w:eastAsia="Calibri" w:hAnsi="Calibri"/>
        </w:rPr>
        <w:t xml:space="preserve">7.7 Audit</w:t>
      </w:r>
      <w:bookmarkEnd w:id="24"/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select app.audit(action, object_type, object_id, reason, payload, actor_type, actor_id, correlation_id)</w:t>
      </w:r>
      <w:r>
        <w:rPr>
          <w:rFonts w:ascii="Calibri" w:cs="Calibri" w:eastAsia="Calibri" w:hAnsi="Calibri"/>
        </w:rPr>
        <w:t xml:space="preserve"> inserts an event. A trigger takes a per-workspace advisory lock, assigns the next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chain_seq</w:t>
      </w:r>
      <w:r>
        <w:rPr>
          <w:rFonts w:ascii="Calibri" w:cs="Calibri" w:eastAsia="Calibri" w:hAnsi="Calibri"/>
        </w:rPr>
        <w:t xml:space="preserve">, links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prev_hash</w:t>
      </w:r>
      <w:r>
        <w:rPr>
          <w:rFonts w:ascii="Calibri" w:cs="Calibri" w:eastAsia="Calibri" w:hAnsi="Calibri"/>
        </w:rPr>
        <w:t xml:space="preserve"> and computes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event_hash</w:t>
      </w:r>
      <w:r>
        <w:rPr>
          <w:rFonts w:ascii="Calibri" w:cs="Calibri" w:eastAsia="Calibri" w:hAnsi="Calibri"/>
        </w:rPr>
        <w:t xml:space="preserve"> (SHA-256 over the previous hash and all event fields with a fixed UTC time format).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app.verify_audit_chain(workspace)</w:t>
      </w:r>
      <w:r>
        <w:rPr>
          <w:rFonts w:ascii="Calibri" w:cs="Calibri" w:eastAsia="Calibri" w:hAnsi="Calibri"/>
        </w:rPr>
        <w:t xml:space="preserve"> recomputes the chain and returns the first broken sequence number. </w:t>
      </w:r>
      <w:r>
        <w:rPr>
          <w:rFonts w:ascii="Calibri" w:cs="Calibri" w:eastAsia="Calibri" w:hAnsi="Calibri"/>
          <w:b/>
          <w:bCs/>
        </w:rPr>
        <w:t xml:space="preserve">Payloads must contain redacted metadata only.</w:t>
      </w:r>
    </w:p>
    <w:p>
      <w:pPr>
        <w:pBdr>
          <w:left w:val="single" w:color="1A56DB" w:sz="24" w:space="6"/>
        </w:pBdr>
        <w:shd w:fill="E8EEF7" w:color="auto" w:val="clear"/>
        <w:spacing w:after="40" w:line="252"/>
        <w:ind w:left="160" w:right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Decision:</w:t>
      </w:r>
      <w:r>
        <w:rPr>
          <w:rFonts w:ascii="Calibri" w:cs="Calibri" w:eastAsia="Calibri" w:hAnsi="Calibri"/>
          <w:sz w:val="20"/>
          <w:szCs w:val="20"/>
        </w:rPr>
        <w:t xml:space="preserve"> anchor the chain: once a day the scheduler writes each workspace's latest hash to a write-once object in a different bucket (or emails it to the founder). Without an external anchor a database administrator could rewrite the whole chain consistently.</w:t>
      </w:r>
    </w:p>
    <w:p>
      <w:pPr>
        <w:spacing w:after="100"/>
      </w:pPr>
    </w:p>
    <w:p>
      <w:pPr>
        <w:pStyle w:val="Heading2"/>
        <w:keepNext/>
      </w:pPr>
      <w:bookmarkStart w:name="h25" w:id="25"/>
      <w:r>
        <w:rPr>
          <w:rFonts w:ascii="Calibri" w:cs="Calibri" w:eastAsia="Calibri" w:hAnsi="Calibri"/>
        </w:rPr>
        <w:t xml:space="preserve">7.8 Creating a workspace</w:t>
      </w:r>
      <w:bookmarkEnd w:id="25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withTenant(newWorkspaceId, ownerUser) {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insert workspaces (id = newWorkspaceId, ...)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select app.bootstrap_workspace(newWorkspaceId, ownerUser);      -- 7 roles, owner membership, audit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select app.seed_document_policies(newWorkspaceId);              -- default government-document policy (employer edits it)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pStyle w:val="Heading1"/>
        <w:keepNext/>
      </w:pPr>
      <w:bookmarkStart w:name="h26" w:id="26"/>
      <w:r>
        <w:rPr>
          <w:rFonts w:ascii="Calibri" w:cs="Calibri" w:eastAsia="Calibri" w:hAnsi="Calibri"/>
        </w:rPr>
        <w:t xml:space="preserve">8. Sensitive data and encryption</w:t>
      </w:r>
      <w:bookmarkEnd w:id="26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3"/>
        <w:gridCol w:w="4166"/>
        <w:gridCol w:w="4167"/>
      </w:tblGrid>
      <w:tr>
        <w:trPr>
          <w:cantSplit/>
          <w:tblHeader/>
        </w:trPr>
        <w:tc>
          <w:tcPr>
            <w:tcW w:type="dxa" w:w="15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 class</w:t>
            </w:r>
          </w:p>
        </w:tc>
        <w:tc>
          <w:tcPr>
            <w:tcW w:type="dxa" w:w="4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Examples</w:t>
            </w:r>
          </w:p>
        </w:tc>
        <w:tc>
          <w:tcPr>
            <w:tcW w:type="dxa" w:w="416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Storage rule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Highly sensitive</w:t>
            </w:r>
          </w:p>
        </w:tc>
        <w:tc>
          <w:tcPr>
            <w:tcW w:type="dxa" w:w="4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 numbers (Aadhaar, PAN, passport), bank account numbers</w:t>
            </w:r>
          </w:p>
        </w:tc>
        <w:tc>
          <w:tcPr>
            <w:tcW w:type="dxa" w:w="416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Ciphertext only (AES-256-GCM envelope),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key_id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masked_preview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(Aadhaar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XXXX-XXXX-1234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enforced by CHECK; never logged; never in AI prompts beyond the engine's own scrubbed output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Sensitive</w:t>
            </w:r>
          </w:p>
        </w:tc>
        <w:tc>
          <w:tcPr>
            <w:tcW w:type="dxa" w:w="4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Names, dates of birth, addresses, employment and education details, document files</w:t>
            </w:r>
          </w:p>
        </w:tc>
        <w:tc>
          <w:tcPr>
            <w:tcW w:type="dxa" w:w="416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Access-controlled, masked in UI by default, may be encrypted per policy; file object keys are tenant-scoped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Confidential</w:t>
            </w:r>
          </w:p>
        </w:tc>
        <w:tc>
          <w:tcPr>
            <w:tcW w:type="dxa" w:w="4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Workflow definitions, integration mappings</w:t>
            </w:r>
          </w:p>
        </w:tc>
        <w:tc>
          <w:tcPr>
            <w:tcW w:type="dxa" w:w="416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Access-controlled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/ public</w:t>
            </w:r>
          </w:p>
        </w:tc>
        <w:tc>
          <w:tcPr>
            <w:tcW w:type="dxa" w:w="4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 labels, published form structure</w:t>
            </w:r>
          </w:p>
        </w:tc>
        <w:tc>
          <w:tcPr>
            <w:tcW w:type="dxa" w:w="416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Envelope encryption (ADR-11).</w:t>
      </w:r>
      <w:r>
        <w:rPr>
          <w:rFonts w:ascii="Calibri" w:cs="Calibri" w:eastAsia="Calibri" w:hAnsi="Calibri"/>
        </w:rPr>
        <w:t xml:space="preserve"> A master key stays outside the database (OCI Vault or a SOPS-encrypted key file, decision D-4). Each workspace has a data key, itself encrypted by the master key and stored with 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key_id</w:t>
      </w:r>
      <w:r>
        <w:rPr>
          <w:rFonts w:ascii="Calibri" w:cs="Calibri" w:eastAsia="Calibri" w:hAnsi="Calibri"/>
        </w:rPr>
        <w:t xml:space="preserve">. Values are encrypted in the application with AES-256-GCM (random 96-bit nonce, workspace and field bound as associated data). Rotating the master key re-wraps data keys without touching values. Destroying a workspace data key (crypto-erase) makes every ciphertext for that scope unreadable.</w:t>
      </w:r>
    </w:p>
    <w:p>
      <w:pPr>
        <w:pStyle w:val="Heading2"/>
        <w:keepNext/>
      </w:pPr>
      <w:bookmarkStart w:name="h27" w:id="27"/>
      <w:r>
        <w:rPr>
          <w:rFonts w:ascii="Calibri" w:cs="Calibri" w:eastAsia="Calibri" w:hAnsi="Calibri"/>
        </w:rPr>
        <w:t xml:space="preserve">8.1 Government documents in the database (migration 007)</w:t>
      </w:r>
      <w:bookmarkEnd w:id="27"/>
    </w:p>
    <w:p>
      <w:pPr>
        <w:spacing w:after="100" w:line="264"/>
      </w:pPr>
      <w:r>
        <w:rPr>
          <w:rFonts w:ascii="Calibri" w:cs="Calibri" w:eastAsia="Calibri" w:hAnsi="Calibri"/>
        </w:rPr>
        <w:t xml:space="preserve">Formiva </w:t>
      </w:r>
      <w:r>
        <w:rPr>
          <w:rFonts w:ascii="Calibri" w:cs="Calibri" w:eastAsia="Calibri" w:hAnsi="Calibri"/>
          <w:b/>
          <w:bCs/>
        </w:rPr>
        <w:t xml:space="preserve">reads</w:t>
      </w:r>
      <w:r>
        <w:rPr>
          <w:rFonts w:ascii="Calibri" w:cs="Calibri" w:eastAsia="Calibri" w:hAnsi="Calibri"/>
        </w:rPr>
        <w:t xml:space="preserve"> government documents and extracts a few fields; it does </w:t>
      </w:r>
      <w:r>
        <w:rPr>
          <w:rFonts w:ascii="Calibri" w:cs="Calibri" w:eastAsia="Calibri" w:hAnsi="Calibri"/>
          <w:b/>
          <w:bCs/>
        </w:rPr>
        <w:t xml:space="preserve">not verify authenticity</w:t>
      </w:r>
      <w:r>
        <w:rPr>
          <w:rFonts w:ascii="Calibri" w:cs="Calibri" w:eastAsia="Calibri" w:hAnsi="Calibri"/>
        </w:rPr>
        <w:t xml:space="preserve"> (Technical Documentation section 7.11). The database enforces the policy so that application mistakes cannot break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5"/>
        <w:gridCol w:w="3553"/>
        <w:gridCol w:w="1508"/>
      </w:tblGrid>
      <w:tr>
        <w:trPr>
          <w:cantSplit/>
          <w:tblHeader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Where it is enforced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catalog of 22 document subtypes says which are government-issued (aadhaar, pan, passport, driving_licence, voter_id, uan_epf, esic, itr_ack, caste_community_certificate, police_verification) and their default sensitivity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document_subtypes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T20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government document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cannot be stored unless the workspace has a policy that allows 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(fail closed)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 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case_documents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T21, T26, T29d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Aadhaar policy must require a masked copy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document_type_policies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T23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Collecting any type requires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stated purpose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(ten characters or more)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document_type_policies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T24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Identity documents must be classified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highly sensitive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and the class must match the subtype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T25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 date is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 automatically from the policy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T27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results can only name a subtype that exists in the catalog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T28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Highly sensitive values are ciphertext only; Aadhaar is never stored in full, even as ciphertext (application rule; the AI Engine scrubs it)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plus AI Engine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T09</w:t>
            </w:r>
          </w:p>
        </w:tc>
      </w:tr>
      <w:tr>
        <w:trPr>
          <w:cantSplit/>
          <w:tblHeader w:val="false"/>
        </w:trPr>
        <w:tc>
          <w:tcPr>
            <w:tcW w:type="dxa" w:w="48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Policies are per tenant; the catalog cannot be edited by runtime roles</w:t>
            </w:r>
          </w:p>
        </w:tc>
        <w:tc>
          <w:tcPr>
            <w:tcW w:type="dxa" w:w="35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Row-level security and privileges</w:t>
            </w:r>
          </w:p>
        </w:tc>
        <w:tc>
          <w:tcPr>
            <w:tcW w:type="dxa" w:w="15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T29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Default policies are seeded by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app.seed_document_policies(workspace)</w:t>
      </w:r>
      <w:r>
        <w:rPr>
          <w:rFonts w:ascii="Calibri" w:cs="Calibri" w:eastAsia="Calibri" w:hAnsi="Calibri"/>
        </w:rPr>
        <w:t xml:space="preserve">: PAN required; Aadhaar, passport, driving licence, voter ID, UAN and ESIC optional; return-acknowledgement, caste or community certificate and police verification </w:t>
      </w:r>
      <w:r>
        <w:rPr>
          <w:rFonts w:ascii="Calibri" w:cs="Calibri" w:eastAsia="Calibri" w:hAnsi="Calibri"/>
          <w:b/>
          <w:bCs/>
        </w:rPr>
        <w:t xml:space="preserve">not collected</w:t>
      </w:r>
      <w:r>
        <w:rPr>
          <w:rFonts w:ascii="Calibri" w:cs="Calibri" w:eastAsia="Calibri" w:hAnsi="Calibri"/>
        </w:rPr>
        <w:t xml:space="preserve">. The employer edits them.</w:t>
      </w:r>
    </w:p>
    <w:p>
      <w:pPr>
        <w:pStyle w:val="Heading2"/>
        <w:keepNext/>
      </w:pPr>
      <w:bookmarkStart w:name="h28" w:id="28"/>
      <w:r>
        <w:rPr>
          <w:rFonts w:ascii="Calibri" w:cs="Calibri" w:eastAsia="Calibri" w:hAnsi="Calibri"/>
        </w:rPr>
        <w:t xml:space="preserve">8.2 Generic connectors (migration 008, ADR-16)</w:t>
      </w:r>
      <w:bookmarkEnd w:id="28"/>
    </w:p>
    <w:p>
      <w:pPr>
        <w:spacing w:after="100" w:line="264"/>
      </w:pPr>
      <w:r>
        <w:rPr>
          <w:rFonts w:ascii="Calibri" w:cs="Calibri" w:eastAsia="Calibri" w:hAnsi="Calibri"/>
        </w:rPr>
        <w:t xml:space="preserve">The original schema listed six fixed providers. Since integrations must now reach "any other API" (ticket tools, CRM, HRMS, LMS, university/student-information systems, and more), migration 008 replaces the fixed list with: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connector_categories</w:t>
      </w:r>
      <w:r>
        <w:rPr>
          <w:rFonts w:ascii="Calibri" w:cs="Calibri" w:eastAsia="Calibri" w:hAnsi="Calibri"/>
        </w:rPr>
        <w:t xml:space="preserve"> — 12 categories (ticketing, crm, hrms, lms, sis_university, spreadsheet, payments, messaging, webhook, identity, storage, other), a global read-only catalog.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connector_templates</w:t>
      </w:r>
      <w:r>
        <w:rPr>
          <w:rFonts w:ascii="Calibri" w:cs="Calibri" w:eastAsia="Calibri" w:hAnsi="Calibri"/>
        </w:rPr>
        <w:t xml:space="preserve"> — documented, free or open-source examples per category (for instance Zammad or Freescout for ticketing, EspoCRM for CRM, Moodle for an LMS), so a non-developer has a starting point without a code search. This is reference data, not credentials, and not a guarantee that a tool's terms have not changed.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integration_connections.provider</w:t>
      </w:r>
      <w:r>
        <w:rPr>
          <w:rFonts w:ascii="Calibri" w:cs="Calibri" w:eastAsia="Calibri" w:hAnsi="Calibri"/>
        </w:rPr>
        <w:t xml:space="preserve"> is now a free-form lowercase key (CHECK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^[a-z][a-z0-9_]{1,39}$</w:t>
      </w:r>
      <w:r>
        <w:rPr>
          <w:rFonts w:ascii="Calibri" w:cs="Calibri" w:eastAsia="Calibri" w:hAnsi="Calibri"/>
        </w:rPr>
        <w:t xml:space="preserve">) instead of a fixed enum, with a new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category</w:t>
      </w:r>
      <w:r>
        <w:rPr>
          <w:rFonts w:ascii="Calibri" w:cs="Calibri" w:eastAsia="Calibri" w:hAnsi="Calibri"/>
        </w:rPr>
        <w:t xml:space="preserve"> column pointing at the catalog.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Every other rule for integrations is unchanged: one row per business effect, idempotency keys, safe mode, credential references only, and success/transient/permanent/unknown outcome classification (Section 7). A university or student-information system rarely exposes one standard API, so its default path is the generic signed-webhook or REST adapter (already built in Phase 9) rather than a named integration.</w:t>
      </w:r>
    </w:p>
    <w:p>
      <w:pPr>
        <w:pStyle w:val="Heading1"/>
        <w:keepNext/>
      </w:pPr>
      <w:bookmarkStart w:name="h29" w:id="29"/>
      <w:r>
        <w:rPr>
          <w:rFonts w:ascii="Calibri" w:cs="Calibri" w:eastAsia="Calibri" w:hAnsi="Calibri"/>
        </w:rPr>
        <w:t xml:space="preserve">9. Retention, deletion and legal hold</w:t>
      </w:r>
      <w:bookmarkEnd w:id="29"/>
    </w:p>
    <w:p>
      <w:pPr>
        <w:spacing w:after="100" w:line="264"/>
      </w:pPr>
      <w:r>
        <w:rPr>
          <w:rFonts w:ascii="Calibri" w:cs="Calibri" w:eastAsia="Calibri" w:hAnsi="Calibri"/>
        </w:rPr>
        <w:t xml:space="preserve">Retention periods are legal and contractual decisions; the columns below are ready but the numbers are </w:t>
      </w:r>
      <w:r>
        <w:rPr>
          <w:rFonts w:ascii="Calibri" w:cs="Calibri" w:eastAsia="Calibri" w:hAnsi="Calibri"/>
          <w:b/>
          <w:bCs/>
        </w:rPr>
        <w:t xml:space="preserve">not set by this document</w:t>
      </w:r>
      <w:r>
        <w:rPr>
          <w:rFonts w:ascii="Calibri" w:cs="Calibri" w:eastAsia="Calibri" w:hAnsi="Calibri"/>
        </w:rPr>
        <w:t xml:space="preserve">. Record them in the decision log after counsel review.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4"/>
        <w:gridCol w:w="3745"/>
        <w:gridCol w:w="3747"/>
      </w:tblGrid>
      <w:tr>
        <w:trPr>
          <w:cantSplit/>
          <w:tblHeader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Uploaded documents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case_documents.retain_until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retention_policies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sweeper deletes the object and marks the row deleted unless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legal_hold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true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Government identity documents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document_type_policies.retain_days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store_file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 date set automatically on insert (T27);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store_file = false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means extract, review, then delete the file; periods are decision D-6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Extracted evidence excerpts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source_evidence.redacted_excerpt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Deleted or nulled on the same schedule (excerpts are optional)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Case values, extractions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Cascade with case deletion or anonymization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Deletion request workflow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events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deleted while the workspace exists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Contain hashes and metadata only, so they can survive personal-data deletion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Backups</w:t>
            </w:r>
          </w:p>
        </w:tc>
        <w:tc>
          <w:tcPr>
            <w:tcW w:type="dxa" w:w="37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 backups bucket</w:t>
            </w:r>
          </w:p>
        </w:tc>
        <w:tc>
          <w:tcPr>
            <w:tcW w:type="dxa" w:w="37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Lifecycle rules; deleted data ages out of backups; document this to customers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Deletion procedure:</w:t>
      </w:r>
      <w:r>
        <w:rPr>
          <w:rFonts w:ascii="Calibri" w:cs="Calibri" w:eastAsia="Calibri" w:hAnsi="Calibri"/>
        </w:rPr>
        <w:t xml:space="preserve"> request (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deletion.request</w:t>
      </w:r>
      <w:r>
        <w:rPr>
          <w:rFonts w:ascii="Calibri" w:cs="Calibri" w:eastAsia="Calibri" w:hAnsi="Calibri"/>
        </w:rPr>
        <w:t xml:space="preserve">), approval (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deletion.approve</w:t>
      </w:r>
      <w:r>
        <w:rPr>
          <w:rFonts w:ascii="Calibri" w:cs="Calibri" w:eastAsia="Calibri" w:hAnsi="Calibri"/>
        </w:rPr>
        <w:t xml:space="preserve">), block if a legal hold exists, delete R2 objects, delete or anonymize rows, crypto-erase where designed, record proof (object keys, hashes, timestamps)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deletion_requests.evidence</w:t>
      </w:r>
      <w:r>
        <w:rPr>
          <w:rFonts w:ascii="Calibri" w:cs="Calibri" w:eastAsia="Calibri" w:hAnsi="Calibri"/>
        </w:rPr>
        <w:t xml:space="preserve">, audit the action. Deletion must not break the audit chain because audit payloads hold no personal data.</w:t>
      </w:r>
    </w:p>
    <w:p>
      <w:pPr>
        <w:pStyle w:val="Heading1"/>
        <w:keepNext/>
      </w:pPr>
      <w:bookmarkStart w:name="h30" w:id="30"/>
      <w:r>
        <w:rPr>
          <w:rFonts w:ascii="Calibri" w:cs="Calibri" w:eastAsia="Calibri" w:hAnsi="Calibri"/>
        </w:rPr>
        <w:t xml:space="preserve">10. Performance and capacity</w:t>
      </w:r>
      <w:bookmarkEnd w:id="30"/>
    </w:p>
    <w:p>
      <w:pPr>
        <w:spacing w:after="100" w:line="264"/>
      </w:pPr>
      <w:r>
        <w:rPr>
          <w:rFonts w:ascii="Calibri" w:cs="Calibri" w:eastAsia="Calibri" w:hAnsi="Calibri"/>
        </w:rPr>
        <w:t xml:space="preserve">Volumes below are planning hypotheses for the pilots; measure and replace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7"/>
        <w:gridCol w:w="4052"/>
        <w:gridCol w:w="2027"/>
      </w:tblGrid>
      <w:tr>
        <w:trPr>
          <w:cantSplit/>
          <w:tblHeader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Pilot estimate (12 months)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Growth driver</w:t>
            </w:r>
          </w:p>
        </w:tc>
      </w:tr>
      <w:tr>
        <w:trPr>
          <w:cantSplit/>
          <w:tblHeader w:val="false"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cases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1,000-10,000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Hires per customer</w:t>
            </w:r>
          </w:p>
        </w:tc>
      </w:tr>
      <w:tr>
        <w:trPr>
          <w:cantSplit/>
          <w:tblHeader w:val="false"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case_documents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8-12 per case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 slots</w:t>
            </w:r>
          </w:p>
        </w:tc>
      </w:tr>
      <w:tr>
        <w:trPr>
          <w:cantSplit/>
          <w:tblHeader w:val="false"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ai_jobs, ai_executions, ai_results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About one per document, plus retries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Documents</w:t>
            </w:r>
          </w:p>
        </w:tc>
      </w:tr>
      <w:tr>
        <w:trPr>
          <w:cantSplit/>
          <w:tblHeader w:val="false"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audit_events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30-60 per case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state change</w:t>
            </w:r>
          </w:p>
        </w:tc>
      </w:tr>
      <w:tr>
        <w:trPr>
          <w:cantSplit/>
          <w:tblHeader w:val="false"/>
        </w:trPr>
        <w:tc>
          <w:tcPr>
            <w:tcW w:type="dxa" w:w="3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integration_executions</w:t>
            </w:r>
          </w:p>
        </w:tc>
        <w:tc>
          <w:tcPr>
            <w:tcW w:type="dxa" w:w="40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2-5 per case</w:t>
            </w:r>
          </w:p>
        </w:tc>
        <w:tc>
          <w:tcPr>
            <w:tcW w:type="dxa" w:w="20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Notifications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Indexes:</w:t>
      </w:r>
      <w:r>
        <w:rPr>
          <w:rFonts w:ascii="Calibri" w:cs="Calibri" w:eastAsia="Calibri" w:hAnsi="Calibri"/>
        </w:rPr>
        <w:t xml:space="preserve"> partial indexes serve the hot paths (ready jobs, leased jobs, open review tasks, running SLAs, unknown interactions, active legal holds). Add new indexes only from measured slow queries.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Queue tables churn.</w:t>
      </w:r>
      <w:r>
        <w:rPr>
          <w:rFonts w:ascii="Calibri" w:cs="Calibri" w:eastAsia="Calibri" w:hAnsi="Calibri"/>
        </w:rPr>
        <w:t xml:space="preserve"> Set aggressive autovacuum on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ai_jobs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workflow_execution_steps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integration_interactions</w:t>
      </w:r>
      <w:r>
        <w:rPr>
          <w:rFonts w:ascii="Calibri" w:cs="Calibri" w:eastAsia="Calibri" w:hAnsi="Calibri"/>
        </w:rPr>
        <w:t xml:space="preserve"> (for example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autovacuum_vacuum_scale_factor = 0.02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fillfactor = 85</w:t>
      </w:r>
      <w:r>
        <w:rPr>
          <w:rFonts w:ascii="Calibri" w:cs="Calibri" w:eastAsia="Calibri" w:hAnsi="Calibri"/>
        </w:rPr>
        <w:t xml:space="preserve">); measure bloat monthly.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Connections:</w:t>
      </w:r>
      <w:r>
        <w:rPr>
          <w:rFonts w:ascii="Calibri" w:cs="Calibri" w:eastAsia="Calibri" w:hAnsi="Calibri"/>
        </w:rPr>
        <w:t xml:space="preserve"> a pool of 10-20 per service is plenty at pilot scale.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max_connections = 60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Timeouts: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statement_timeout = 15s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lock_timeout = 3s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idle_in_transaction_session_timeout = 30s</w:t>
      </w:r>
      <w:r>
        <w:rPr>
          <w:rFonts w:ascii="Calibri" w:cs="Calibri" w:eastAsia="Calibri" w:hAnsi="Calibri"/>
        </w:rPr>
        <w:t xml:space="preserve"> for application roles; longer only for named maintenance jobs.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Partitioning:</w:t>
      </w:r>
      <w:r>
        <w:rPr>
          <w:rFonts w:ascii="Calibri" w:cs="Calibri" w:eastAsia="Calibri" w:hAnsi="Calibri"/>
        </w:rPr>
        <w:t xml:space="preserve"> not needed for the pilots. Revisit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audit_events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ai_executions</w:t>
      </w:r>
      <w:r>
        <w:rPr>
          <w:rFonts w:ascii="Calibri" w:cs="Calibri" w:eastAsia="Calibri" w:hAnsi="Calibri"/>
        </w:rPr>
        <w:t xml:space="preserve"> when either passes about 10 million rows or backups slow down. Partitioning by month and workspace hash is the likely design; the hash chain is per workspace so it partitions cleanly.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Audit chain contention:</w:t>
      </w:r>
      <w:r>
        <w:rPr>
          <w:rFonts w:ascii="Calibri" w:cs="Calibri" w:eastAsia="Calibri" w:hAnsi="Calibri"/>
        </w:rPr>
        <w:t xml:space="preserve"> the advisory lock serializes audit writes per workspace only. At pilot rates this is negligible; measure p95 audit insert time in Phase 7.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Memory:</w:t>
      </w:r>
      <w:r>
        <w:rPr>
          <w:rFonts w:ascii="Calibri" w:cs="Calibri" w:eastAsia="Calibri" w:hAnsi="Calibri"/>
        </w:rPr>
        <w:t xml:space="preserve"> PostgreSQL on VM1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shared_buffers = 1 GB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effective_cache_size = 4 GB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work_mem = 16 MB</w:t>
      </w:r>
      <w:r>
        <w:rPr>
          <w:rFonts w:ascii="Calibri" w:cs="Calibri" w:eastAsia="Calibri" w:hAnsi="Calibri"/>
        </w:rPr>
        <w:t xml:space="preserve"> as starting points on a 12 GB VM shared with the web app, API, workers and ClamAV. Tune from measurements.</w:t>
      </w:r>
    </w:p>
    <w:p>
      <w:pPr>
        <w:pStyle w:val="Heading1"/>
        <w:keepNext/>
      </w:pPr>
      <w:bookmarkStart w:name="h31" w:id="31"/>
      <w:r>
        <w:rPr>
          <w:rFonts w:ascii="Calibri" w:cs="Calibri" w:eastAsia="Calibri" w:hAnsi="Calibri"/>
        </w:rPr>
        <w:t xml:space="preserve">11. Backup, restore and migration rules</w:t>
      </w:r>
      <w:bookmarkEnd w:id="31"/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Backups (Phase 10).</w:t>
      </w:r>
      <w:r>
        <w:rPr>
          <w:rFonts w:ascii="Calibri" w:cs="Calibri" w:eastAsia="Calibri" w:hAnsi="Calibri"/>
        </w:rPr>
        <w:t xml:space="preserve"> Nightly logical backups (custom format), encrypted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age</w:t>
      </w:r>
      <w:r>
        <w:rPr>
          <w:rFonts w:ascii="Calibri" w:cs="Calibri" w:eastAsia="Calibri" w:hAnsi="Calibri"/>
        </w:rPr>
        <w:t xml:space="preserve"> to a public key whose private half is offline, uploaded to the backups bucket with a manifest and checksum; every 6 hours during pilots. Point-in-time recovery with WAL archiving (pgBackRest or WAL-G) is a later option if the recovery point objective must be under 6 hours. Targets are hypotheses until drilled: RPO 6-24 hours, RTO 4-8 hours. A restore into an isolated database, followed by the SQL suites and the tenant negative tests, is a release gate.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Migration rules.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</w:rPr>
        <w:t xml:space="preserve">Never edit an applied migration; add the next numbered file. The runner stores a checksum and refuses changed files.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</w:rPr>
        <w:t xml:space="preserve">Prefer additive changes (expand, migrate data, contract in a later release).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onsolas" w:cs="Consolas" w:eastAsia="Consolas" w:hAnsi="Consolas"/>
          <w:color w:val="9F1239"/>
          <w:sz w:val="19"/>
          <w:szCs w:val="19"/>
        </w:rPr>
        <w:t xml:space="preserve">SET lock_timeout</w:t>
      </w:r>
      <w:r>
        <w:rPr>
          <w:rFonts w:ascii="Calibri" w:cs="Calibri" w:eastAsia="Calibri" w:hAnsi="Calibri"/>
        </w:rPr>
        <w:t xml:space="preserve"> in every migration; create indexes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CONCURRENTLY</w:t>
      </w:r>
      <w:r>
        <w:rPr>
          <w:rFonts w:ascii="Calibri" w:cs="Calibri" w:eastAsia="Calibri" w:hAnsi="Calibri"/>
        </w:rPr>
        <w:t xml:space="preserve"> in separate non-transactional files for large tables.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</w:rPr>
        <w:t xml:space="preserve">Every new tenant table gets: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workspace_id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UNIQUE (id, workspace_id)</w:t>
      </w:r>
      <w:r>
        <w:rPr>
          <w:rFonts w:ascii="Calibri" w:cs="Calibri" w:eastAsia="Calibri" w:hAnsi="Calibri"/>
        </w:rPr>
        <w:t xml:space="preserve"> if it has children, composite FKs,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call app.tenantize(...)</w:t>
      </w:r>
      <w:r>
        <w:rPr>
          <w:rFonts w:ascii="Calibri" w:cs="Calibri" w:eastAsia="Calibri" w:hAnsi="Calibri"/>
        </w:rPr>
        <w:t xml:space="preserve">, and, if evidence,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call app.append_only(...)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</w:rPr>
        <w:t xml:space="preserve">Every new status column gets a transition set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app.state_transitions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</w:rPr>
        <w:t xml:space="preserve">Run both SQL suites in CI on every migration; add a test for every new invariant.</w:t>
      </w:r>
    </w:p>
    <w:p>
      <w:pPr>
        <w:pStyle w:val="Heading1"/>
        <w:keepNext/>
      </w:pPr>
      <w:bookmarkStart w:name="h32" w:id="32"/>
      <w:r>
        <w:rPr>
          <w:rFonts w:ascii="Calibri" w:cs="Calibri" w:eastAsia="Calibri" w:hAnsi="Calibri"/>
        </w:rPr>
        <w:t xml:space="preserve">12. What the test suites prove</w:t>
      </w:r>
      <w:bookmarkEnd w:id="32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626"/>
        <w:gridCol w:w="6654"/>
      </w:tblGrid>
      <w:tr>
        <w:trPr>
          <w:cantSplit/>
          <w:tblHeader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group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Assertions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Proves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T01-T04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Cross-tenant reads are impossible, no context returns nothing, cross-tenant inserts and references are refused, user and workspace visibility is scoped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T05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results, routing decisions and audit events cannot be updated, deleted or truncated, by trigger and by privilege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T06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chain verifies, tampering is detected, chains are independent per workspace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T07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Idempotency for AI jobs and integration interactions; usage events count once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T08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Published versions are immutable; active pointer only to published; rollback by pointer; retired cannot return to draft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T09-T10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Highly sensitive plaintext refused; secret-looking references refused; illegal transitions refused; case values frozen after submission and corrected by revision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T11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sensitive action without approval; approvals are final; rejection needs a reason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T12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Overlapping delegations refused; sensitive thresholds cannot auto-proceed; active policy frozen; lease consistency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T13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Workers claim across tenants without context, each job once; API role cannot call claim functions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T14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Expired leases retry, exhausted jobs dead-letter visibly, in-flight expiry becomes unknown, unknown never goes straight to queued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T20-T29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Government documents: catalog of 22 subtypes with 10 government-issued; a government document without a workspace policy is refused; seeded defaults are idempotent; Aadhaar policy must require a masked copy; purpose is mandatory; identity documents must be highly sensitive and match their class; not-collected types are refused; retention date comes from the policy; unknown AI subtypes are refused; policies are isolated per tenant; runtime roles cannot edit the catalog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T15-T19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Privilege matrix, model approval rule, login and token helpers, bootstrap roles, metrics view without tenant data</w:t>
            </w:r>
          </w:p>
        </w:tc>
      </w:tr>
      <w:tr>
        <w:trPr>
          <w:cantSplit/>
          <w:tblHeader w:val="false"/>
        </w:trPr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Race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66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concurrent sessions claim 10 jobs exactly once each</w:t>
            </w:r>
          </w:p>
        </w:tc>
      </w:tr>
    </w:tbl>
    <w:p>
      <w:pPr>
        <w:spacing w:after="120"/>
      </w:pPr>
    </w:p>
    <w:p>
      <w:pPr>
        <w:pStyle w:val="Heading1"/>
        <w:keepNext/>
      </w:pPr>
      <w:bookmarkStart w:name="h33" w:id="33"/>
      <w:r>
        <w:rPr>
          <w:rFonts w:ascii="Calibri" w:cs="Calibri" w:eastAsia="Calibri" w:hAnsi="Calibri"/>
        </w:rPr>
        <w:t xml:space="preserve">13. Useful analytics queries (for Phase 11)</w:t>
      </w:r>
      <w:bookmarkEnd w:id="33"/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first-pass completeness and human-review rate per workspace (run as formiva_readonly with context)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select count(*) filter (where c.status in ('completed','confirmed','closed')) as finished,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     count(*) filter (where exists (select 1 from review_tasks r where r.case_id = c.id)) as reviewed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from cases c where c.submitted_at &gt;= now() - interval '30 days';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time from submission to workflow_ready (approximate, from audit)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select percentile_cont(0.5) within group (order by extract(epoch from (a2.occurred_at - a1.occurred_at))) as p50_s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 from audit_events a1 join audit_events a2 on a2.object_id = a1.object_id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where a1.action = 'case.submitted' and a2.action = 'case.workflow_ready';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-- oldest ready job age per queue (operator, no tenant data)</w:t>
      </w:r>
    </w:p>
    <w:p>
      <w:pPr>
        <w:keepLines/>
        <w:pBdr>
          <w:left w:val="single" w:color="1A56DB" w:sz="18" w:space="6"/>
        </w:pBdr>
        <w:shd w:fill="F3F4F6" w:color="auto" w:val="clear"/>
        <w:spacing w:after="0" w:line="228"/>
        <w:ind w:left="140"/>
      </w:pPr>
      <w:r>
        <w:rPr>
          <w:rFonts w:ascii="Consolas" w:cs="Consolas" w:eastAsia="Consolas" w:hAnsi="Consolas"/>
          <w:sz w:val="16"/>
          <w:szCs w:val="16"/>
        </w:rPr>
        <w:t xml:space="preserve">select * from ops.queue_health;</w:t>
      </w:r>
    </w:p>
    <w:p>
      <w:pPr>
        <w:spacing w:after="100"/>
      </w:pPr>
    </w:p>
    <w:p>
      <w:pPr>
        <w:pStyle w:val="Heading1"/>
        <w:keepNext/>
      </w:pPr>
      <w:bookmarkStart w:name="h34" w:id="34"/>
      <w:r>
        <w:rPr>
          <w:rFonts w:ascii="Calibri" w:cs="Calibri" w:eastAsia="Calibri" w:hAnsi="Calibri"/>
        </w:rPr>
        <w:t xml:space="preserve">14. Known limitations and open decisions</w:t>
      </w:r>
      <w:bookmarkEnd w:id="34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4413"/>
        <w:gridCol w:w="4415"/>
      </w:tblGrid>
      <w:tr>
        <w:trPr>
          <w:cantSplit/>
          <w:tblHeader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Decision or action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DB-1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PostgreSQL 16 has no built-in UUIDv7; IDs are random UUIDs, which spreads writes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Acceptable at pilot scale; revisit on upgrade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DB-2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Payloads in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audit_events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integration_executions.redacted_result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error_detail_redacted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rely on the application to redact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Log-redaction tests in Phase 10; never put raw text in payloads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DB-3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six definer functions bypass row-level security by design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Reviewed and minimal; each has a fixed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search_path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changes need reviewer approval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DB-4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audit chain is only tamper-evident if its head is anchored outside the database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anchor job (section 7.7)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DB-5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 periods, backup retention and deletion SLAs are not set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Counsel and founder decisions (D-6)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DB-6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Row-level security adds planner overhead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Measure in Phase 7; the composite indexes lead with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workspace_id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where it matters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DB-7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billing_plans.limits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are placeholders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from pilot data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DB-9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Policies are per document subtype, not per form slot; the web form must offer only the slots the policy allows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Enforced in the API and UI (Coding Plan Prompt 3.5)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DB-11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connector_templates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reference data, not a guarantee that a listed tool's free tier or API has not changed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Verify each tool's current terms before connecting it (Technical Documentation Section 4.6.1)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DB-10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Authenticity is not verified, by design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checks only; HR verifies through official portals (SOP)</w:t>
            </w:r>
          </w:p>
        </w:tc>
      </w:tr>
      <w:tr>
        <w:trPr>
          <w:cantSplit/>
          <w:tblHeader w:val="false"/>
        </w:trPr>
        <w:tc>
          <w:tcPr>
            <w:tcW w:type="dxa" w:w="10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DB-8</w:t>
            </w:r>
          </w:p>
        </w:tc>
        <w:tc>
          <w:tcPr>
            <w:tcW w:type="dxa" w:w="4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connection pooler</w:t>
            </w:r>
          </w:p>
        </w:tc>
        <w:tc>
          <w:tcPr>
            <w:tcW w:type="dxa" w:w="44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needed at this scale; if added, session-safety rules in section 3 apply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planning document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2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Formiva Database Plan and Schema Specification  |  Formiva CaseFlow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  <w:lvl w:ilvl="2" w15:tentative="1">
      <w:start w:val="1"/>
      <w:numFmt w:val="bullet"/>
      <w:lvlText w:val="·"/>
      <w:lvlJc w:val="left"/>
      <w:pPr>
        <w:ind w:left="11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  <w:lvl w:ilvl="1" w15:tentative="1">
      <w:start w:val="1"/>
      <w:numFmt w:val="decimal"/>
      <w:lvlText w:val="%2."/>
      <w:lvlJc w:val="left"/>
      <w:pPr>
        <w:ind w:left="860" w:hanging="340"/>
      </w:pPr>
    </w:lvl>
    <w:lvl w:ilvl="2" w15:tentative="1">
      <w:start w:val="1"/>
      <w:numFmt w:val="decimal"/>
      <w:lvlText w:val="%3."/>
      <w:lvlJc w:val="left"/>
      <w:pPr>
        <w:ind w:left="12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A56D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1182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Calibri" w:cs="Calibri" w:eastAsia="Calibri" w:hAnsi="Calibri"/>
      <w:b/>
      <w:bCs/>
      <w:i/>
      <w:i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8d289be74a586a8e52fcf4481a72271088ca28.png"/><Relationship Id="rId10" Type="http://schemas.openxmlformats.org/officeDocument/2006/relationships/image" Target="media/c44f3b437c731d3f81d5adf655513c92591ffa1f.png"/><Relationship Id="rId11" Type="http://schemas.openxmlformats.org/officeDocument/2006/relationships/image" Target="media/40f612dafd23a36ca82679ec3b1d2a3e436834d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Formiva Database Plan and Schema Specification</dc:title>
  <dc:creator>Formiva</dc:creator>
  <cp:lastModifiedBy>Un-named</cp:lastModifiedBy>
  <cp:revision>1</cp:revision>
  <dcterms:created xsi:type="dcterms:W3CDTF">2026-09-26T18:16:55.565Z</dcterms:created>
  <dcterms:modified xsi:type="dcterms:W3CDTF">2026-09-26T18:16:55.565Z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