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69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1"/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KL策略（支撑位阻力位）</w:t>
      </w:r>
    </w:p>
    <w:p w14:paraId="394922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策略介绍：</w:t>
      </w:r>
    </w:p>
    <w:p w14:paraId="33756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支撑线、压力线作为上述形态分析关键，如何准确的识别一段行情的压力线、支撑线就成了技术面量化的关键问题。本策略从经典技术分析理论出发，将其核心规则（如压力线、支撑线的几何特征）转化为具体的数学参数（如斜率），然后进行大规模历史回测，以验证这些传统方法的实战价值，构造一些具体的择时策略，准确的识别支撑线、压力线辅助交易决策。</w:t>
      </w:r>
    </w:p>
    <w:p w14:paraId="56A441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1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策略解析</w:t>
      </w:r>
    </w:p>
    <w:p w14:paraId="6150F2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压力支撑带构造</w:t>
      </w:r>
    </w:p>
    <w:p w14:paraId="072F4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传统支撑压力线通常基于历史价格极值点的主观连接，本策略参考渤海证券《压力线与支撑线的识别算法及应用――指数技术择时系列报告之一》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引入分位数回归模型实现动态、自适应的支撑压力带构建。具体实施过程如下：</w:t>
      </w:r>
    </w:p>
    <w:p w14:paraId="11936E2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9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局部极值点识别：采用</w:t>
      </w:r>
      <w:r>
        <w:rPr>
          <w:rFonts w:hint="eastAsia" w:ascii="Times New Roman" w:hAnsi="Times New Roman" w:cs="Times New Roman"/>
          <w:lang w:val="en-US" w:eastAsia="zh-CN"/>
        </w:rPr>
        <w:t>argrelextrema</w:t>
      </w:r>
      <w:r>
        <w:rPr>
          <w:rFonts w:hint="default" w:ascii="Times New Roman" w:hAnsi="Times New Roman" w:cs="Times New Roman"/>
          <w:lang w:val="en-US" w:eastAsia="zh-CN"/>
        </w:rPr>
        <w:t>函数识别价格序列中的局部极大值点（压力候选点）和局部极小值点（支撑候选点）。</w:t>
      </w:r>
      <w:r>
        <w:rPr>
          <w:rFonts w:hint="eastAsia" w:ascii="Times New Roman" w:hAnsi="Times New Roman" w:cs="Times New Roman"/>
          <w:lang w:val="en-US" w:eastAsia="zh-CN"/>
        </w:rPr>
        <w:t>设置合理</w:t>
      </w:r>
      <w:r>
        <w:rPr>
          <w:rFonts w:hint="default" w:ascii="Times New Roman" w:hAnsi="Times New Roman" w:cs="Times New Roman"/>
          <w:lang w:val="en-US" w:eastAsia="zh-CN"/>
        </w:rPr>
        <w:t>窗口</w:t>
      </w:r>
      <w:r>
        <w:rPr>
          <w:rFonts w:hint="eastAsia" w:ascii="Times New Roman" w:hAnsi="Times New Roman" w:cs="Times New Roman"/>
          <w:lang w:val="en-US" w:eastAsia="zh-CN"/>
        </w:rPr>
        <w:t>大小，</w:t>
      </w:r>
      <w:r>
        <w:rPr>
          <w:rFonts w:hint="default" w:ascii="Times New Roman" w:hAnsi="Times New Roman" w:cs="Times New Roman"/>
          <w:lang w:val="en-US" w:eastAsia="zh-CN"/>
        </w:rPr>
        <w:t>确保识别的极值点具有足够的显著性，避免噪声干扰。</w:t>
      </w:r>
    </w:p>
    <w:p w14:paraId="0C4518A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9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分位数回归拟合：对局部极大值点使用</w:t>
      </w:r>
      <w:r>
        <w:rPr>
          <w:rFonts w:hint="eastAsia" w:ascii="Times New Roman" w:hAnsi="Times New Roman" w:cs="Times New Roman"/>
          <w:lang w:val="en-US" w:eastAsia="zh-CN"/>
        </w:rPr>
        <w:t>高</w:t>
      </w:r>
      <w:r>
        <w:rPr>
          <w:rFonts w:hint="default" w:ascii="Times New Roman" w:hAnsi="Times New Roman" w:cs="Times New Roman"/>
          <w:lang w:val="en-US" w:eastAsia="zh-CN"/>
        </w:rPr>
        <w:t>分位数回归，拟合上边界曲线，反映价格上涨时遭遇阻力的概率分布。对局部极小值点使用</w:t>
      </w:r>
      <w:r>
        <w:rPr>
          <w:rFonts w:hint="eastAsia" w:ascii="Times New Roman" w:hAnsi="Times New Roman" w:cs="Times New Roman"/>
          <w:lang w:val="en-US" w:eastAsia="zh-CN"/>
        </w:rPr>
        <w:t>低</w:t>
      </w:r>
      <w:r>
        <w:rPr>
          <w:rFonts w:hint="default" w:ascii="Times New Roman" w:hAnsi="Times New Roman" w:cs="Times New Roman"/>
          <w:lang w:val="en-US" w:eastAsia="zh-CN"/>
        </w:rPr>
        <w:t>分位数回归，拟合下边界曲线，反映价格下跌时获得支撑的概率分布。回归模型采用无正则化的线性形式，确保曲线对极端值的敏感性。</w:t>
      </w:r>
    </w:p>
    <w:p w14:paraId="63F9C47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动态带生成：通过滚动计算，每个交易时点都基于最近数据重新估计回归参数，生成时变的压力线、支撑线及其中轨线。</w:t>
      </w:r>
    </w:p>
    <w:p w14:paraId="5CC479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</w:p>
    <w:p w14:paraId="3F8C06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eastAsia"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交易信号生成机制</w:t>
      </w:r>
    </w:p>
    <w:p w14:paraId="422DAC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均值回归交易：策略遵循“价格围绕价值波动”的均值回归假设，当价格偏离压力支撑带中轴时，预期将向中轴回归。但单纯的偏离不足以触发交易，策略结合价格拒绝形态作为入场确认信号。交易触发区域基于ATR（平均真实波幅）动态定义，在市场波动率较高时扩大交易区域，避免频繁交易。</w:t>
      </w:r>
    </w:p>
    <w:p w14:paraId="1D36E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left="420" w:leftChars="200" w:firstLine="0" w:firstLineChars="0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做空区域：压力线 ± 带宽 × 平均真实波幅；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做多区域：支撑线 ± 带宽 × 平均真实波幅。</w:t>
      </w:r>
    </w:p>
    <w:p w14:paraId="60D1394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多维条件确认：策略采用多条件组合确认而非单一信号触发，提高信号质量。条件分为五类：</w:t>
      </w:r>
    </w:p>
    <w:p w14:paraId="00DCB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left="420" w:leftChars="200" w:firstLine="0" w:firstLineChars="0"/>
        <w:textAlignment w:val="auto"/>
        <w:outlineLvl w:val="9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价格位置条件：收盘价相对于压力支撑带的相对位置——确保价格已从压力线明显回落，确认压力的有效性；确保价格已从支撑线明显反弹，确认支撑的有效性。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形态确认条件：K线影线特征反映的市场拒绝行为——长上影线表明价格曾试图突破但被坚决打压回落；长下影线表明价格曾跌破支撑但被快速拉回。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趋势确认条件：多个周期高点、低点的序列特征——最近高点呈现非递增序列，卖方力量逐步增强；最近低点呈现非递减序列，买方力量逐步增强。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成交量确认条件：成交量在突破发生时放大，因而要求当前成交量低于近期平均。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波动率收缩条件：反映上涨动能或者下跌动能的衰减。</w:t>
      </w:r>
    </w:p>
    <w:p w14:paraId="49FCFA9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风险与头寸管理：头寸规模计算采用固定资金比例法，确保单次交易风险可控。策略使用OCO订单机制实现一入场即设止损止盈的订单管理。</w:t>
      </w:r>
    </w:p>
    <w:p w14:paraId="3D16B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</w:p>
    <w:p w14:paraId="3A42C5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参数整理</w:t>
      </w:r>
    </w:p>
    <w:tbl>
      <w:tblPr>
        <w:tblStyle w:val="7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5839"/>
      </w:tblGrid>
      <w:tr w14:paraId="6546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84A6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0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指标类</w:t>
            </w:r>
          </w:p>
        </w:tc>
        <w:tc>
          <w:tcPr>
            <w:tcW w:w="5839" w:type="dxa"/>
          </w:tcPr>
          <w:p w14:paraId="2C8F37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0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2799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6014B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lookback回溯周期</w:t>
            </w:r>
          </w:p>
        </w:tc>
        <w:tc>
          <w:tcPr>
            <w:tcW w:w="5839" w:type="dxa"/>
          </w:tcPr>
          <w:p w14:paraId="1CCBB8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确定计算压力支撑带所使用的历史数据长度，决定指标对历史价格的记忆深度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较长周期使指标更稳定但反应滞后，较短周期更灵敏但噪声较大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。</w:t>
            </w:r>
          </w:p>
        </w:tc>
      </w:tr>
      <w:tr w14:paraId="0BF4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321F11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window极值检测窗口</w:t>
            </w:r>
          </w:p>
        </w:tc>
        <w:tc>
          <w:tcPr>
            <w:tcW w:w="5839" w:type="dxa"/>
          </w:tcPr>
          <w:p w14:paraId="3287B7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识别局部高点和低点的敏感度参数，控制极值点的筛选粒度。较小值识别更多短期极值点，较大值只识别显著的趋势转折点。</w:t>
            </w:r>
          </w:p>
        </w:tc>
      </w:tr>
      <w:tr w14:paraId="756E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8EC7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q_pressure压力分位数</w:t>
            </w:r>
          </w:p>
        </w:tc>
        <w:tc>
          <w:tcPr>
            <w:tcW w:w="5839" w:type="dxa"/>
          </w:tcPr>
          <w:p w14:paraId="07887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压力带分位数回归的量化水平，决定压力带的统计意义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较高值代表更严格的上方阻力，较低值提供更早的预警信号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。</w:t>
            </w:r>
          </w:p>
        </w:tc>
      </w:tr>
      <w:tr w14:paraId="37B1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24EB2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q_support支撑分位数</w:t>
            </w:r>
          </w:p>
        </w:tc>
        <w:tc>
          <w:tcPr>
            <w:tcW w:w="5839" w:type="dxa"/>
          </w:tcPr>
          <w:p w14:paraId="12BBA5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支撑带分位数回归的量化水平，决定支撑带的统计意义。较低值代表更强的下方支撑，较高值提供更保守的支撑判断。</w:t>
            </w:r>
          </w:p>
        </w:tc>
      </w:tr>
      <w:tr w14:paraId="6E09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4" w:type="dxa"/>
            <w:gridSpan w:val="2"/>
          </w:tcPr>
          <w:p w14:paraId="2849D5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1B31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531D56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atr_len计算周期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34D417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平均真实波幅的测量窗口，衡量市场波动水平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。</w:t>
            </w:r>
          </w:p>
        </w:tc>
      </w:tr>
      <w:tr w14:paraId="2B6E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4767ED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zone_k交易区域宽度系数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43CC5B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定义价格接近压力支撑带的触发区域宽度，较小值要求价格更接近压力支撑带才触发交易，较大值扩大交易机会但信号质量可能下降。</w:t>
            </w:r>
          </w:p>
        </w:tc>
      </w:tr>
      <w:tr w14:paraId="1097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4" w:type="dxa"/>
            <w:gridSpan w:val="2"/>
            <w:shd w:val="clear" w:color="auto" w:fill="auto"/>
            <w:vAlign w:val="top"/>
          </w:tcPr>
          <w:p w14:paraId="619E4B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</w:p>
        </w:tc>
      </w:tr>
      <w:tr w14:paraId="78D2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5D670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reject_n高低点确认周期数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460E6C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K线影线长度与整根K线长度的最小比例，用于识别价格拒绝行为。较高值要求更明显的影线形态，较低值接受较弱的拒绝信号</w:t>
            </w:r>
          </w:p>
          <w:p w14:paraId="54A804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</w:t>
            </w:r>
          </w:p>
        </w:tc>
      </w:tr>
      <w:tr w14:paraId="10FC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07CE55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wick_ratio影线比例阈值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18D5BD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检查价格序列中高点/低点趋势的连续周期数，用于确认价格拒绝形态。较小值对趋势变化更敏感，较大值要求更明确的趋势确认。</w:t>
            </w:r>
          </w:p>
        </w:tc>
      </w:tr>
      <w:tr w14:paraId="6035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40543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shrink_ratio收缩系数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1037A6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衡量成交量收缩程度的阈值参数，用于确认市场波动收缩后的突破时机。较低值要求更明显的成交量收缩，较高值允许相对温和的收缩即触发。</w:t>
            </w:r>
          </w:p>
        </w:tc>
      </w:tr>
      <w:tr w14:paraId="20AE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0B8A8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cond条件触发阈值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718B0E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多条件组合中需要满足的最小条件数量，控制信号严格度。较高值要求更多条件同时满足，信号更可靠但机会更少</w:t>
            </w:r>
          </w:p>
        </w:tc>
      </w:tr>
      <w:tr w14:paraId="431A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4" w:type="dxa"/>
            <w:gridSpan w:val="2"/>
            <w:shd w:val="clear" w:color="auto" w:fill="auto"/>
            <w:vAlign w:val="top"/>
          </w:tcPr>
          <w:p w14:paraId="3DE06F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</w:p>
        </w:tc>
      </w:tr>
      <w:tr w14:paraId="36AB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5C29AA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0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策略类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553312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0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</w:p>
        </w:tc>
      </w:tr>
      <w:tr w14:paraId="63E9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154B83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cash_percent单次交易资金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220777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每笔交易使用的可用资金百分比，控制仓位规模与风险暴露。保守策略取较小值分散风险，激进策略取较大值集中投资</w:t>
            </w:r>
          </w:p>
        </w:tc>
      </w:tr>
      <w:tr w14:paraId="55B2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4A1F8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stop_k止损距离系数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407C9C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止损价与入场价的距离，控制单笔交易最大风险。激进策略取较小值（窄止损），保守策略取较大值（宽止损）</w:t>
            </w:r>
          </w:p>
        </w:tc>
      </w:tr>
    </w:tbl>
    <w:p w14:paraId="6F21E3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</w:p>
    <w:p w14:paraId="19F1D9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分批试验</w:t>
      </w:r>
    </w:p>
    <w:p w14:paraId="0518A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leftChars="0"/>
        <w:textAlignment w:val="auto"/>
        <w:outlineLvl w:val="9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vertAlign w:val="baseline"/>
          <w:lang w:val="en-US" w:eastAsia="zh-CN"/>
        </w:rPr>
        <w:t>测试时间：2018年1月1日——2025年12月31日；测试资产：比特币、以太坊。</w:t>
      </w:r>
    </w:p>
    <w:p w14:paraId="24FDA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初始资金：100000；单次交易资金80%。</w:t>
      </w:r>
    </w:p>
    <w:tbl>
      <w:tblPr>
        <w:tblStyle w:val="7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5839"/>
      </w:tblGrid>
      <w:tr w14:paraId="4F34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78B9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lookback回溯周期</w:t>
            </w:r>
          </w:p>
        </w:tc>
        <w:tc>
          <w:tcPr>
            <w:tcW w:w="5839" w:type="dxa"/>
          </w:tcPr>
          <w:p w14:paraId="37B1A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【30, 60, 90, 120】</w:t>
            </w:r>
          </w:p>
        </w:tc>
      </w:tr>
      <w:tr w14:paraId="6313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12A138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window极值检测窗口</w:t>
            </w:r>
          </w:p>
        </w:tc>
        <w:tc>
          <w:tcPr>
            <w:tcW w:w="5839" w:type="dxa"/>
          </w:tcPr>
          <w:p w14:paraId="07CBE7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【3, 6, 9, 5, 10】</w:t>
            </w:r>
          </w:p>
        </w:tc>
      </w:tr>
      <w:tr w14:paraId="7C154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5C07E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q_pressure压力分位数</w:t>
            </w:r>
          </w:p>
        </w:tc>
        <w:tc>
          <w:tcPr>
            <w:tcW w:w="5839" w:type="dxa"/>
          </w:tcPr>
          <w:p w14:paraId="101908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【0.8, 0.85, 0.9, 0.95】</w:t>
            </w:r>
          </w:p>
        </w:tc>
      </w:tr>
      <w:tr w14:paraId="3B3C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827A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q_support支撑分位数</w:t>
            </w:r>
          </w:p>
        </w:tc>
        <w:tc>
          <w:tcPr>
            <w:tcW w:w="5839" w:type="dxa"/>
          </w:tcPr>
          <w:p w14:paraId="2E884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【0.05, 0.1, 0.15, 0.2】</w:t>
            </w:r>
          </w:p>
        </w:tc>
      </w:tr>
    </w:tbl>
    <w:p w14:paraId="295A6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outlineLvl w:val="9"/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7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5839"/>
      </w:tblGrid>
      <w:tr w14:paraId="37B3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06D3ED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atr_len计算周期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60F19B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【7, 10, 14, 18, 21, 25, 28】</w:t>
            </w:r>
          </w:p>
        </w:tc>
      </w:tr>
      <w:tr w14:paraId="55A5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7ED03B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zone_k交易区域宽度系数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795CCD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【0.2, 0.3, 0.4, 0.5, 0.6, 0.7, 0.8】</w:t>
            </w:r>
          </w:p>
        </w:tc>
      </w:tr>
      <w:tr w14:paraId="657B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690AF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reject_n高低点确认周期数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2136DA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【2, 3, 4, 5】</w:t>
            </w:r>
          </w:p>
        </w:tc>
      </w:tr>
      <w:tr w14:paraId="2C12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4F121B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wick_ratio影线比例阈值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0D1448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【0.5, 0.6, 0.7, 0.8】</w:t>
            </w:r>
          </w:p>
        </w:tc>
      </w:tr>
      <w:tr w14:paraId="1630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72839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shrink_ratio收缩系数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55D9A4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【0.1, 0.2, 0.3, 0.4】</w:t>
            </w:r>
          </w:p>
        </w:tc>
      </w:tr>
      <w:tr w14:paraId="1324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shd w:val="clear" w:color="auto" w:fill="auto"/>
            <w:vAlign w:val="top"/>
          </w:tcPr>
          <w:p w14:paraId="3CB0C6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cond条件触发阈值</w:t>
            </w:r>
          </w:p>
        </w:tc>
        <w:tc>
          <w:tcPr>
            <w:tcW w:w="5839" w:type="dxa"/>
            <w:shd w:val="clear" w:color="auto" w:fill="auto"/>
            <w:vAlign w:val="top"/>
          </w:tcPr>
          <w:p w14:paraId="35010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【2, 3, 4, 5】</w:t>
            </w:r>
          </w:p>
        </w:tc>
      </w:tr>
    </w:tbl>
    <w:p w14:paraId="3559243F">
      <w:pPr>
        <w:rPr>
          <w:rFonts w:hint="eastAsia" w:ascii="Times New Roman" w:hAnsi="Times New Roman" w:cs="Times New Roman"/>
          <w:lang w:val="en-US" w:eastAsia="zh-CN"/>
        </w:rPr>
      </w:pPr>
    </w:p>
    <w:p w14:paraId="38FDD9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最优参数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710"/>
        <w:gridCol w:w="355"/>
        <w:gridCol w:w="1065"/>
        <w:gridCol w:w="1065"/>
        <w:gridCol w:w="355"/>
        <w:gridCol w:w="710"/>
        <w:gridCol w:w="1065"/>
        <w:gridCol w:w="1067"/>
      </w:tblGrid>
      <w:tr w14:paraId="0AD9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10"/>
            <w:shd w:val="clear" w:color="auto" w:fill="auto"/>
            <w:noWrap/>
            <w:vAlign w:val="center"/>
          </w:tcPr>
          <w:p w14:paraId="450539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——————BTC——————</w:t>
            </w:r>
          </w:p>
          <w:p w14:paraId="5766E6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{'lookback': 60, 'window': 5, 'q_pressure': 0.8, 'q_support': 0.2,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'stop_k': 1.1,</w:t>
            </w:r>
          </w:p>
          <w:p w14:paraId="62F8E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'atr_len': 10, 'zone_k': 0.8, 'reject_n': 4, 'wick_ratio': 0.5, 'shrink_ratio': 0.1, 'cond': 3}</w:t>
            </w:r>
          </w:p>
        </w:tc>
      </w:tr>
      <w:tr w14:paraId="3FE2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4B0F8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top"/>
          </w:tcPr>
          <w:p w14:paraId="4DE10D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474BEC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030A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32DBDF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2.0990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2A46A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28AE7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815808.21</w:t>
            </w:r>
          </w:p>
        </w:tc>
      </w:tr>
      <w:tr w14:paraId="6F12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5" w:type="dxa"/>
            <w:shd w:val="clear" w:color="auto" w:fill="auto"/>
            <w:noWrap/>
            <w:vAlign w:val="center"/>
          </w:tcPr>
          <w:p w14:paraId="68F38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2018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21FC9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42FA4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45EE6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4213B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6F907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7AF91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067" w:type="dxa"/>
            <w:shd w:val="clear" w:color="auto" w:fill="auto"/>
            <w:noWrap/>
            <w:vAlign w:val="center"/>
          </w:tcPr>
          <w:p w14:paraId="7F490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1F75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5" w:type="dxa"/>
            <w:shd w:val="clear" w:color="auto" w:fill="auto"/>
            <w:noWrap/>
            <w:vAlign w:val="center"/>
          </w:tcPr>
          <w:p w14:paraId="0638E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0.54%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57B3D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29.89%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1760E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49.74%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73AC2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63.72%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16350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87.40%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48145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27.32%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3ADB3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7.79%</w:t>
            </w:r>
          </w:p>
        </w:tc>
        <w:tc>
          <w:tcPr>
            <w:tcW w:w="1067" w:type="dxa"/>
            <w:shd w:val="clear" w:color="auto" w:fill="auto"/>
            <w:noWrap/>
            <w:vAlign w:val="center"/>
          </w:tcPr>
          <w:p w14:paraId="7573F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4.63%</w:t>
            </w:r>
          </w:p>
        </w:tc>
      </w:tr>
      <w:tr w14:paraId="12FF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10"/>
            <w:shd w:val="clear" w:color="auto" w:fill="auto"/>
            <w:noWrap/>
            <w:vAlign w:val="center"/>
          </w:tcPr>
          <w:p w14:paraId="22789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——————ETH——————</w:t>
            </w:r>
          </w:p>
          <w:p w14:paraId="69E1A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{'lookback': 60, 'window': 3, 'q_pressure': 0.85, 'q_support': 0.2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'stop_k': 1.3, </w:t>
            </w:r>
          </w:p>
          <w:p w14:paraId="678CE7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'atr_len': 21, 'zone_k': 0.5, 'reject_n': 3, 'wick_ratio': 0.6, 'shrink_ratio': 0.1, 'cond': 3}</w:t>
            </w:r>
          </w:p>
        </w:tc>
      </w:tr>
      <w:tr w14:paraId="1E338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1C697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top"/>
          </w:tcPr>
          <w:p w14:paraId="0779EC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1FCE75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2048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4E6E7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4.0509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79D37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28.91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7732AE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5745156.9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7</w:t>
            </w:r>
          </w:p>
        </w:tc>
      </w:tr>
      <w:tr w14:paraId="1C3A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5" w:type="dxa"/>
            <w:shd w:val="clear" w:color="auto" w:fill="auto"/>
            <w:noWrap/>
            <w:vAlign w:val="center"/>
          </w:tcPr>
          <w:p w14:paraId="7F5AD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2018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52A8F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0B68B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61EEB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14D6E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6D2A1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0118D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067" w:type="dxa"/>
            <w:shd w:val="clear" w:color="auto" w:fill="auto"/>
            <w:noWrap/>
            <w:vAlign w:val="center"/>
          </w:tcPr>
          <w:p w14:paraId="4367D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09B7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5" w:type="dxa"/>
            <w:shd w:val="clear" w:color="auto" w:fill="auto"/>
            <w:noWrap/>
            <w:vAlign w:val="center"/>
          </w:tcPr>
          <w:p w14:paraId="0E7792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32.92%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55D97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138.80%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0AE1B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162.16%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2C26B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127.35%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778CA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13.38%</w:t>
            </w:r>
          </w:p>
        </w:tc>
        <w:tc>
          <w:tcPr>
            <w:tcW w:w="1065" w:type="dxa"/>
            <w:gridSpan w:val="2"/>
            <w:shd w:val="clear" w:color="auto" w:fill="auto"/>
            <w:noWrap/>
            <w:vAlign w:val="center"/>
          </w:tcPr>
          <w:p w14:paraId="27DA4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6.33%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4D551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58.86%</w:t>
            </w:r>
          </w:p>
        </w:tc>
        <w:tc>
          <w:tcPr>
            <w:tcW w:w="1067" w:type="dxa"/>
            <w:shd w:val="clear" w:color="auto" w:fill="auto"/>
            <w:noWrap/>
            <w:vAlign w:val="center"/>
          </w:tcPr>
          <w:p w14:paraId="7B9187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27.66%</w:t>
            </w:r>
          </w:p>
        </w:tc>
      </w:tr>
    </w:tbl>
    <w:p w14:paraId="0072FE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firstLine="420" w:firstLineChars="200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筛选要求：</w:t>
      </w:r>
    </w:p>
    <w:p w14:paraId="770BC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测试样本内，8年的年化收益均为正值；</w:t>
      </w:r>
    </w:p>
    <w:p w14:paraId="44E07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最大回撤不超过30%。</w:t>
      </w:r>
    </w:p>
    <w:p w14:paraId="5BE39E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在此基础之上，加权0.8的总收益排行与0.2的夏普排行。</w:t>
      </w:r>
    </w:p>
    <w:p w14:paraId="528DA4DA">
      <w:pPr>
        <w:rPr>
          <w:rFonts w:hint="default" w:ascii="Times New Roman" w:hAnsi="Times New Roman" w:cs="Times New Roman"/>
          <w:lang w:val="en-US" w:eastAsia="zh-CN"/>
        </w:rPr>
      </w:pPr>
    </w:p>
    <w:p w14:paraId="07EA90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初步回测</w:t>
      </w:r>
    </w:p>
    <w:p w14:paraId="6DCE3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outlineLvl w:val="9"/>
        <w:rPr>
          <w:rFonts w:hint="eastAsia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扩大回测时间范围：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2017年8月17日——2026年2月5日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284"/>
        <w:gridCol w:w="568"/>
        <w:gridCol w:w="852"/>
        <w:gridCol w:w="852"/>
        <w:gridCol w:w="568"/>
        <w:gridCol w:w="284"/>
        <w:gridCol w:w="852"/>
        <w:gridCol w:w="852"/>
        <w:gridCol w:w="854"/>
      </w:tblGrid>
      <w:tr w14:paraId="09F6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12"/>
            <w:shd w:val="clear" w:color="auto" w:fill="auto"/>
            <w:noWrap/>
            <w:vAlign w:val="center"/>
          </w:tcPr>
          <w:p w14:paraId="37A2D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——————BTC——————</w:t>
            </w:r>
          </w:p>
        </w:tc>
      </w:tr>
      <w:tr w14:paraId="511D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65533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top"/>
          </w:tcPr>
          <w:p w14:paraId="5662F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4"/>
            <w:shd w:val="clear" w:color="auto" w:fill="auto"/>
            <w:noWrap/>
            <w:vAlign w:val="top"/>
          </w:tcPr>
          <w:p w14:paraId="03E696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4007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704DDC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1.9970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76644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4"/>
            <w:shd w:val="clear" w:color="auto" w:fill="auto"/>
            <w:noWrap/>
            <w:vAlign w:val="center"/>
          </w:tcPr>
          <w:p w14:paraId="6F6D1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736702.37</w:t>
            </w:r>
          </w:p>
        </w:tc>
      </w:tr>
      <w:tr w14:paraId="2C23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52" w:type="dxa"/>
            <w:shd w:val="clear" w:color="auto" w:fill="auto"/>
            <w:noWrap/>
            <w:vAlign w:val="center"/>
          </w:tcPr>
          <w:p w14:paraId="4F01A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2017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0EE3B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2018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24424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16D4A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5716E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0111D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17E5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37233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4B444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 w14:paraId="6F696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2026</w:t>
            </w:r>
          </w:p>
        </w:tc>
      </w:tr>
      <w:tr w14:paraId="7987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52" w:type="dxa"/>
            <w:shd w:val="clear" w:color="auto" w:fill="auto"/>
            <w:noWrap/>
            <w:vAlign w:val="center"/>
          </w:tcPr>
          <w:p w14:paraId="03418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.28%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0D58D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62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4C815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25379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.8%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5D4FA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62463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.8%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088B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27.2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6B0BD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86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413FE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78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 w14:paraId="0F24F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2%</w:t>
            </w:r>
          </w:p>
        </w:tc>
      </w:tr>
      <w:tr w14:paraId="7FA8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12"/>
            <w:shd w:val="clear" w:color="auto" w:fill="auto"/>
            <w:noWrap/>
            <w:vAlign w:val="center"/>
          </w:tcPr>
          <w:p w14:paraId="2C99E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——————ETH——————</w:t>
            </w:r>
          </w:p>
        </w:tc>
      </w:tr>
      <w:tr w14:paraId="70E7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53C3D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top"/>
          </w:tcPr>
          <w:p w14:paraId="1146D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4"/>
            <w:shd w:val="clear" w:color="auto" w:fill="auto"/>
            <w:noWrap/>
            <w:vAlign w:val="top"/>
          </w:tcPr>
          <w:p w14:paraId="1B5CEF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1786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54853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4.0968</w:t>
            </w:r>
          </w:p>
        </w:tc>
        <w:tc>
          <w:tcPr>
            <w:tcW w:w="2840" w:type="dxa"/>
            <w:gridSpan w:val="4"/>
            <w:shd w:val="clear" w:color="auto" w:fill="auto"/>
            <w:noWrap/>
            <w:vAlign w:val="center"/>
          </w:tcPr>
          <w:p w14:paraId="130B1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28.91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4"/>
            <w:shd w:val="clear" w:color="auto" w:fill="auto"/>
            <w:noWrap/>
            <w:vAlign w:val="center"/>
          </w:tcPr>
          <w:p w14:paraId="694EB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6015054.36</w:t>
            </w:r>
          </w:p>
        </w:tc>
      </w:tr>
      <w:tr w14:paraId="2D578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52" w:type="dxa"/>
            <w:shd w:val="clear" w:color="auto" w:fill="auto"/>
            <w:noWrap/>
            <w:vAlign w:val="center"/>
          </w:tcPr>
          <w:p w14:paraId="35E2D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2017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2F938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2018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5D983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69390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1B045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1FB81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02262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7D7E4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0067A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 w14:paraId="56926C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2026</w:t>
            </w:r>
          </w:p>
        </w:tc>
      </w:tr>
      <w:tr w14:paraId="7511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52" w:type="dxa"/>
            <w:shd w:val="clear" w:color="auto" w:fill="auto"/>
            <w:noWrap/>
            <w:vAlign w:val="center"/>
          </w:tcPr>
          <w:p w14:paraId="529D4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69A29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2E49C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139%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026EE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162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70A43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127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339BC7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gridSpan w:val="2"/>
            <w:shd w:val="clear" w:color="auto" w:fill="auto"/>
            <w:noWrap/>
            <w:vAlign w:val="center"/>
          </w:tcPr>
          <w:p w14:paraId="15D6C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6.36%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64887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5E655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27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.7%</w:t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 w14:paraId="00488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.98%</w:t>
            </w:r>
          </w:p>
        </w:tc>
      </w:tr>
    </w:tbl>
    <w:p w14:paraId="6F354D35">
      <w:pPr>
        <w:rPr>
          <w:rFonts w:hint="default" w:ascii="Times New Roman" w:hAnsi="Times New Roman" w:cs="Times New Roman"/>
          <w:lang w:val="en-US" w:eastAsia="zh-CN"/>
        </w:rPr>
      </w:pPr>
    </w:p>
    <w:p w14:paraId="09E7DF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400040" cy="3070225"/>
            <wp:effectExtent l="0" t="0" r="10160" b="3175"/>
            <wp:docPr id="3" name="图片 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400040" cy="3070225"/>
            <wp:effectExtent l="0" t="0" r="10160" b="3175"/>
            <wp:docPr id="2" name="图片 2" descr="Figure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F7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firstLine="420" w:firstLineChars="200"/>
        <w:textAlignment w:val="auto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日线</w:t>
      </w:r>
      <w:r>
        <w:rPr>
          <w:rFonts w:hint="eastAsia" w:ascii="Times New Roman" w:hAnsi="Times New Roman" w:cs="Times New Roman"/>
          <w:lang w:val="en-US" w:eastAsia="zh-CN"/>
        </w:rPr>
        <w:t>最优参数</w:t>
      </w:r>
    </w:p>
    <w:p w14:paraId="56F21F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leftChars="0"/>
        <w:textAlignment w:val="auto"/>
        <w:outlineLvl w:val="9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vertAlign w:val="baseline"/>
          <w:lang w:val="en-US" w:eastAsia="zh-CN"/>
        </w:rPr>
        <w:t>测试时间：2019年1月1日——2025年12月31日；测试资产：金、银、铜、原油。</w:t>
      </w:r>
    </w:p>
    <w:p w14:paraId="3D5E0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outlineLvl w:val="9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初始资金：1000000；单次交易资金80%。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406"/>
        <w:gridCol w:w="811"/>
        <w:gridCol w:w="1217"/>
        <w:gridCol w:w="812"/>
        <w:gridCol w:w="405"/>
        <w:gridCol w:w="1217"/>
        <w:gridCol w:w="1220"/>
      </w:tblGrid>
      <w:tr w14:paraId="7651A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1FF43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——————沪金连续(2604)——————</w:t>
            </w:r>
          </w:p>
          <w:p w14:paraId="648565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{'stop_k': 1.2, 'atr_len': 28, 'zone_k': 0.7, 'reject_n': 3, 'wick_ratio': 0.6, 'shrink_ratio': 0.4, 'cond': 2, 'lookback': 30, 'window': 2, 'q_pressure': 0.9, 'q_support': 0.3'}</w:t>
            </w:r>
          </w:p>
        </w:tc>
      </w:tr>
      <w:tr w14:paraId="5474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7E583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top"/>
          </w:tcPr>
          <w:p w14:paraId="2B1C4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63713B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740D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2686D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3.1098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0CA98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38.29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4A9DA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22417190.80</w:t>
            </w:r>
          </w:p>
        </w:tc>
      </w:tr>
      <w:tr w14:paraId="7E6D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2355C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7B6A2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43E25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29352A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8ADF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6C6F6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4CD33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62B3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6DB311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5DD6A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230.63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74B6A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4.01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74C06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12.01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74FC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46.60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361F82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17.28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6B839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299.59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</w:tr>
      <w:tr w14:paraId="2AA4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0553CB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83A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197E0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——————沪银连续(2604)——————</w:t>
            </w:r>
          </w:p>
          <w:p w14:paraId="0E6FF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{'stop_k': 1.3, 'atr_len': 7, 'zone_k': 0.6, 'reject_n': 3, 'wick_ratio': 0.6, 'shrink_ratio': 0.2, 'cond': 3, 'lookback': 150, 'window': 4, 'q_pressure': 0.85, 'q_support': 0.3}</w:t>
            </w:r>
          </w:p>
        </w:tc>
      </w:tr>
      <w:tr w14:paraId="5193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33BC7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top"/>
          </w:tcPr>
          <w:p w14:paraId="395B6B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353E1F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67BA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423F2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2.4967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02E0F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﹣38.85%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661B4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12143164.29</w:t>
            </w:r>
          </w:p>
        </w:tc>
      </w:tr>
      <w:tr w14:paraId="3F36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2C0C3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4CA146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44F40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36859B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59CD6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600CC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23904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193D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18E1B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﹣35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01598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13FF5C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1ED9C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5E2A9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147.37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5CFC3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4015F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</w:tr>
      <w:tr w14:paraId="0FB4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56C9A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6B6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66D7A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——————沪铜连续(2603)——————</w:t>
            </w:r>
          </w:p>
          <w:p w14:paraId="1BEE6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{'stop_k': 1.3, 'atr_len': 10, 'zone_k': 0.5, 'reject_n': 3, 'wick_ratio': 0.5, 'shrink_ratio': 0.1, 'cond': 3, 'lookback': 150, 'window': 3, 'q_pressure': 0.9, 'q_support': 0.25}</w:t>
            </w:r>
          </w:p>
        </w:tc>
      </w:tr>
      <w:tr w14:paraId="1B72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42E7D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top"/>
          </w:tcPr>
          <w:p w14:paraId="2D2851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6EEFCD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5E04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63800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1.9056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0CA97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﹣37.87%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612A5A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6723760.36</w:t>
            </w:r>
          </w:p>
        </w:tc>
      </w:tr>
      <w:tr w14:paraId="75DF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1BEAD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1B398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5532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5A09F0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0F4A5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3E6D7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3A615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1965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405F55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58890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57022B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6FBF9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190D68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121.39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268AE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7A1FB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</w:tr>
      <w:tr w14:paraId="0906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4EB71A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43C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4B7FC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——————原油连续(2604)——————</w:t>
            </w:r>
          </w:p>
          <w:p w14:paraId="79DD93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{'stop_k': 1.1, 'atr_len': 7, 'zone_k': 0.4, 'reject_n': 3, 'wick_ratio': 0.7, 'shrink_ratio': 0.1, 'cond': 3, 'lookback': 180, 'window': 3, 'q_pressure': 0.8, 'q_support': 0.3}</w:t>
            </w:r>
          </w:p>
        </w:tc>
      </w:tr>
      <w:tr w14:paraId="2256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74105E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top"/>
          </w:tcPr>
          <w:p w14:paraId="6F1E3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10FBC5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230D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1BAC60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2.9854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3ADB5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﹣53.52%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5A7D1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19794943.01</w:t>
            </w:r>
          </w:p>
        </w:tc>
      </w:tr>
      <w:tr w14:paraId="5E15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48D85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0BA0B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ADE5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7730B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1AD87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31B38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09A45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69C3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16ED1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﹣38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6D664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47719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107.6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661E6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F748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3AD53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272DEE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</w:tr>
      <w:tr w14:paraId="768D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3CFB67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FF1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522" w:type="dxa"/>
            <w:gridSpan w:val="9"/>
            <w:shd w:val="clear" w:color="auto" w:fill="auto"/>
            <w:noWrap/>
            <w:vAlign w:val="center"/>
          </w:tcPr>
          <w:p w14:paraId="68619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——————焦煤连续(2605)——————</w:t>
            </w:r>
          </w:p>
          <w:p w14:paraId="0A75FC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{'stop_k': 1.2, 'atr_len': 25, 'zone_k': 0.5, 'reject_n': 3, 'wick_ratio': 0.6, 'shrink_ratio': 0.3, 'cond': 3, 'lookback': 60, 'window': 5, 'q_pressure': 0.9, 'q_support': 0.15}</w:t>
            </w:r>
          </w:p>
        </w:tc>
      </w:tr>
      <w:tr w14:paraId="3930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37025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Cumulative Return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top"/>
          </w:tcPr>
          <w:p w14:paraId="4AF10D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Max Drawdown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top"/>
          </w:tcPr>
          <w:p w14:paraId="270ADF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outlineLvl w:val="9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Final Value</w:t>
            </w:r>
          </w:p>
        </w:tc>
      </w:tr>
      <w:tr w14:paraId="1288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01BAF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3.7409</w:t>
            </w:r>
          </w:p>
        </w:tc>
        <w:tc>
          <w:tcPr>
            <w:tcW w:w="2840" w:type="dxa"/>
            <w:gridSpan w:val="3"/>
            <w:shd w:val="clear" w:color="auto" w:fill="auto"/>
            <w:noWrap/>
            <w:vAlign w:val="center"/>
          </w:tcPr>
          <w:p w14:paraId="146E7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81.41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842" w:type="dxa"/>
            <w:gridSpan w:val="3"/>
            <w:shd w:val="clear" w:color="auto" w:fill="auto"/>
            <w:noWrap/>
            <w:vAlign w:val="center"/>
          </w:tcPr>
          <w:p w14:paraId="7A950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42139198.64</w:t>
            </w:r>
          </w:p>
        </w:tc>
      </w:tr>
      <w:tr w14:paraId="2F80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27BDB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2019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458D7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2020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67718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7D8DE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2022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00FAC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5F0665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2024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14BD0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</w:t>
            </w:r>
          </w:p>
        </w:tc>
      </w:tr>
      <w:tr w14:paraId="700D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17" w:type="dxa"/>
            <w:shd w:val="clear" w:color="auto" w:fill="auto"/>
            <w:noWrap/>
            <w:vAlign w:val="center"/>
          </w:tcPr>
          <w:p w14:paraId="69528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55.3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1A115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84.94%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00863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﹣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3.05%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1106C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1471.99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gridSpan w:val="2"/>
            <w:shd w:val="clear" w:color="auto" w:fill="auto"/>
            <w:noWrap/>
            <w:vAlign w:val="center"/>
          </w:tcPr>
          <w:p w14:paraId="79C70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 w14:paraId="450EF2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20" w:type="dxa"/>
            <w:shd w:val="clear" w:color="auto" w:fill="auto"/>
            <w:noWrap/>
            <w:vAlign w:val="center"/>
          </w:tcPr>
          <w:p w14:paraId="1FC9C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54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%</w:t>
            </w:r>
          </w:p>
        </w:tc>
      </w:tr>
    </w:tbl>
    <w:p w14:paraId="53BD898C"/>
    <w:sectPr>
      <w:headerReference r:id="rId4" w:type="first"/>
      <w:headerReference r:id="rId3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17B00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50DED">
    <w:pPr>
      <w:pStyle w:val="5"/>
      <w:jc w:val="both"/>
      <w:rPr>
        <w:rFonts w:hint="eastAsia" w:ascii="仿宋" w:hAnsi="仿宋" w:eastAsia="仿宋" w:cs="仿宋"/>
        <w:b w:val="0"/>
        <w:bCs w:val="0"/>
        <w:lang w:val="en-US" w:eastAsia="zh-CN"/>
      </w:rPr>
    </w:pPr>
    <w:r>
      <w:rPr>
        <w:rFonts w:hint="eastAsia" w:ascii="仿宋" w:hAnsi="仿宋" w:eastAsia="仿宋" w:cs="仿宋"/>
        <w:b w:val="0"/>
        <w:bCs w:val="0"/>
        <w:lang w:eastAsia="zh-CN"/>
      </w:rPr>
      <w:t>——————————————————</w:t>
    </w:r>
    <w:r>
      <w:rPr>
        <w:rFonts w:hint="eastAsia" w:ascii="仿宋" w:hAnsi="仿宋" w:eastAsia="仿宋" w:cs="仿宋"/>
        <w:b w:val="0"/>
        <w:bCs w:val="0"/>
        <w:lang w:val="en-US" w:eastAsia="zh-CN"/>
      </w:rPr>
      <w:t>2026年3月9日——————————————————</w:t>
    </w:r>
  </w:p>
  <w:p w14:paraId="3521BDD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F6E4D"/>
    <w:multiLevelType w:val="singleLevel"/>
    <w:tmpl w:val="8F0F6E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9D98E4F"/>
    <w:multiLevelType w:val="singleLevel"/>
    <w:tmpl w:val="99D98E4F"/>
    <w:lvl w:ilvl="0" w:tentative="0">
      <w:start w:val="1"/>
      <w:numFmt w:val="decimal"/>
      <w:suff w:val="nothing"/>
      <w:lvlText w:val="（%1）"/>
      <w:lvlJc w:val="left"/>
      <w:rPr>
        <w:rFonts w:hint="default" w:ascii="Times New Roman" w:hAnsi="Times New Roman" w:cs="Times New Roman"/>
      </w:rPr>
    </w:lvl>
  </w:abstractNum>
  <w:abstractNum w:abstractNumId="2">
    <w:nsid w:val="CDBB87C8"/>
    <w:multiLevelType w:val="singleLevel"/>
    <w:tmpl w:val="CDBB87C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992A874"/>
    <w:multiLevelType w:val="singleLevel"/>
    <w:tmpl w:val="6992A8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45D72"/>
    <w:rsid w:val="0129751D"/>
    <w:rsid w:val="04DC643E"/>
    <w:rsid w:val="09EA7309"/>
    <w:rsid w:val="0EFD2D96"/>
    <w:rsid w:val="31D84C2E"/>
    <w:rsid w:val="355236DF"/>
    <w:rsid w:val="3FFB43AD"/>
    <w:rsid w:val="468C2B19"/>
    <w:rsid w:val="4A0C528C"/>
    <w:rsid w:val="5BC57D05"/>
    <w:rsid w:val="68345D72"/>
    <w:rsid w:val="704A3F02"/>
    <w:rsid w:val="744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1073</Words>
  <Characters>2617</Characters>
  <Lines>0</Lines>
  <Paragraphs>0</Paragraphs>
  <TotalTime>3</TotalTime>
  <ScaleCrop>false</ScaleCrop>
  <LinksUpToDate>false</LinksUpToDate>
  <CharactersWithSpaces>2686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2026-02-26T10:30:00Z</dcterms:created>
  <dc:creator>陈诺</dc:creator>
  <cp:lastModifiedBy>陈诺</cp:lastModifiedBy>
  <dcterms:modified xsi:type="dcterms:W3CDTF">2026-03-09T05:10:12Z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A81935D908F94103BA6CE2B68D96C949_13</vt:lpwstr>
  </property>
  <property fmtid="{D5CDD505-2E9C-101B-9397-08002B2CF9AE}" pid="4" name="KSOTemplateDocerSaveRecord">
    <vt:lpwstr>eyJoZGlkIjoiZTE4MjQ3Y2JjYmVkMGY4MGQ5ODEwYjQxYzFkOWIyYWMiLCJ1c2VySWQiOiIxNjY5ODgwNDg2In0=</vt:lpwstr>
  </property>
</Properties>
</file>