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0A7" w:rsidRDefault="00E93604">
      <w:pPr>
        <w:spacing w:line="560" w:lineRule="exact"/>
        <w:ind w:firstLineChars="0" w:firstLine="0"/>
        <w:jc w:val="center"/>
      </w:pPr>
      <w:r>
        <w:rPr>
          <w:rFonts w:ascii="方正小标宋简体" w:eastAsia="方正小标宋简体" w:hAnsi="仿宋" w:hint="eastAsia"/>
          <w:sz w:val="44"/>
          <w:szCs w:val="44"/>
        </w:rPr>
        <w:t>中信银行公司客户评级核定报告模板</w:t>
      </w:r>
    </w:p>
    <w:p w:rsidR="003730A7" w:rsidRDefault="00E93604">
      <w:pPr>
        <w:ind w:firstLine="640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一、客户情况</w:t>
      </w:r>
      <w:r>
        <w:rPr>
          <w:rFonts w:ascii="黑体" w:eastAsia="黑体" w:hAnsi="黑体" w:hint="eastAsia"/>
        </w:rPr>
        <w:t>#</w:t>
      </w:r>
      <w:r>
        <w:rPr>
          <w:rFonts w:ascii="黑体" w:eastAsia="黑体" w:hAnsi="黑体" w:hint="eastAsia"/>
        </w:rPr>
        <w:t>应简洁</w:t>
      </w:r>
      <w:r>
        <w:rPr>
          <w:rFonts w:ascii="黑体" w:eastAsia="黑体" w:hAnsi="黑体" w:hint="eastAsia"/>
        </w:rPr>
        <w:t>#</w:t>
      </w:r>
    </w:p>
    <w:p w:rsidR="003730A7" w:rsidRDefault="00E93604">
      <w:pPr>
        <w:ind w:firstLine="640"/>
        <w:rPr>
          <w:rFonts w:ascii="楷体" w:eastAsia="楷体" w:hAnsi="楷体"/>
          <w:bCs/>
        </w:rPr>
      </w:pPr>
      <w:r>
        <w:rPr>
          <w:rFonts w:ascii="楷体" w:eastAsia="楷体" w:hAnsi="楷体" w:hint="eastAsia"/>
          <w:bCs/>
        </w:rPr>
        <w:t>（一）基本情况</w:t>
      </w:r>
    </w:p>
    <w:p w:rsidR="003730A7" w:rsidRDefault="00E93604">
      <w:pPr>
        <w:ind w:firstLine="640"/>
      </w:pPr>
      <w:r>
        <w:rPr>
          <w:rFonts w:hint="eastAsia"/>
        </w:rPr>
        <w:t>名称、所属行业、主营业务、规模、股东情况、与我行合作情况</w:t>
      </w:r>
    </w:p>
    <w:p w:rsidR="003730A7" w:rsidRDefault="00E93604">
      <w:pPr>
        <w:ind w:firstLine="640"/>
        <w:rPr>
          <w:rFonts w:ascii="楷体" w:eastAsia="楷体" w:hAnsi="楷体"/>
          <w:bCs/>
        </w:rPr>
      </w:pPr>
      <w:r>
        <w:rPr>
          <w:rFonts w:ascii="楷体" w:eastAsia="楷体" w:hAnsi="楷体" w:hint="eastAsia"/>
          <w:bCs/>
        </w:rPr>
        <w:t>（二）行业政策</w:t>
      </w:r>
      <w:r>
        <w:rPr>
          <w:rFonts w:ascii="楷体" w:eastAsia="楷体" w:hAnsi="楷体" w:hint="eastAsia"/>
          <w:bCs/>
        </w:rPr>
        <w:t>(</w:t>
      </w:r>
      <w:r>
        <w:rPr>
          <w:rFonts w:ascii="楷体" w:eastAsia="楷体" w:hAnsi="楷体" w:hint="eastAsia"/>
          <w:bCs/>
        </w:rPr>
        <w:t>简述</w:t>
      </w:r>
      <w:r>
        <w:rPr>
          <w:rFonts w:ascii="楷体" w:eastAsia="楷体" w:hAnsi="楷体" w:hint="eastAsia"/>
          <w:bCs/>
        </w:rPr>
        <w:t>)</w:t>
      </w:r>
    </w:p>
    <w:p w:rsidR="003730A7" w:rsidRDefault="00E93604">
      <w:pPr>
        <w:ind w:firstLine="640"/>
      </w:pPr>
      <w:r>
        <w:rPr>
          <w:rFonts w:hint="eastAsia"/>
        </w:rPr>
        <w:t>行业现状、</w:t>
      </w:r>
      <w:proofErr w:type="gramStart"/>
      <w:r>
        <w:rPr>
          <w:rFonts w:hint="eastAsia"/>
        </w:rPr>
        <w:t>我行授信</w:t>
      </w:r>
      <w:proofErr w:type="gramEnd"/>
      <w:r>
        <w:rPr>
          <w:rFonts w:hint="eastAsia"/>
        </w:rPr>
        <w:t>政策</w:t>
      </w:r>
    </w:p>
    <w:p w:rsidR="003730A7" w:rsidRDefault="00E93604">
      <w:pPr>
        <w:ind w:firstLine="640"/>
        <w:rPr>
          <w:rFonts w:ascii="楷体" w:eastAsia="楷体" w:hAnsi="楷体"/>
          <w:bCs/>
        </w:rPr>
      </w:pPr>
      <w:r>
        <w:rPr>
          <w:rFonts w:ascii="楷体" w:eastAsia="楷体" w:hAnsi="楷体" w:hint="eastAsia"/>
          <w:bCs/>
        </w:rPr>
        <w:t>（三）经营情况</w:t>
      </w:r>
    </w:p>
    <w:p w:rsidR="003730A7" w:rsidRDefault="00E93604">
      <w:pPr>
        <w:ind w:firstLine="640"/>
      </w:pPr>
      <w:r>
        <w:rPr>
          <w:rFonts w:hint="eastAsia"/>
        </w:rPr>
        <w:t>生产情况、上下游情况、近两年收入构成表、正在</w:t>
      </w:r>
      <w:r>
        <w:rPr>
          <w:rFonts w:hint="eastAsia"/>
        </w:rPr>
        <w:t>/</w:t>
      </w:r>
      <w:r>
        <w:rPr>
          <w:rFonts w:hint="eastAsia"/>
        </w:rPr>
        <w:t>即将开展重大项目、同业比较、企业前景展望</w:t>
      </w:r>
    </w:p>
    <w:p w:rsidR="003730A7" w:rsidRDefault="00E93604">
      <w:pPr>
        <w:ind w:firstLine="640"/>
        <w:rPr>
          <w:rFonts w:ascii="楷体" w:eastAsia="楷体" w:hAnsi="楷体"/>
          <w:bCs/>
        </w:rPr>
      </w:pPr>
      <w:r>
        <w:rPr>
          <w:rFonts w:ascii="楷体" w:eastAsia="楷体" w:hAnsi="楷体" w:hint="eastAsia"/>
          <w:bCs/>
        </w:rPr>
        <w:t>（四）控股股东及核心子公司经营情况</w:t>
      </w:r>
    </w:p>
    <w:p w:rsidR="003730A7" w:rsidRDefault="00E93604">
      <w:pPr>
        <w:ind w:firstLine="640"/>
      </w:pPr>
      <w:r>
        <w:rPr>
          <w:rFonts w:hint="eastAsia"/>
        </w:rPr>
        <w:t>控股股东</w:t>
      </w:r>
      <w:r>
        <w:rPr>
          <w:rFonts w:hint="eastAsia"/>
        </w:rPr>
        <w:t>/</w:t>
      </w:r>
      <w:r>
        <w:rPr>
          <w:rFonts w:hint="eastAsia"/>
        </w:rPr>
        <w:t>核心子公司的基本情况、经营情况和财务表现等</w:t>
      </w:r>
    </w:p>
    <w:p w:rsidR="003730A7" w:rsidRDefault="00E93604">
      <w:pPr>
        <w:ind w:firstLine="640"/>
        <w:rPr>
          <w:rFonts w:ascii="楷体" w:eastAsia="楷体" w:hAnsi="楷体"/>
          <w:bCs/>
        </w:rPr>
      </w:pPr>
      <w:r>
        <w:rPr>
          <w:rFonts w:ascii="楷体" w:eastAsia="楷体" w:hAnsi="楷体" w:hint="eastAsia"/>
          <w:bCs/>
        </w:rPr>
        <w:t>（五）管理情况</w:t>
      </w:r>
    </w:p>
    <w:p w:rsidR="003730A7" w:rsidRDefault="00E93604">
      <w:pPr>
        <w:ind w:firstLine="640"/>
      </w:pPr>
      <w:r>
        <w:rPr>
          <w:rFonts w:hint="eastAsia"/>
        </w:rPr>
        <w:t>管理层情况、企业管理水平</w:t>
      </w:r>
    </w:p>
    <w:p w:rsidR="003730A7" w:rsidRDefault="00E93604">
      <w:pPr>
        <w:ind w:firstLine="640"/>
        <w:rPr>
          <w:rFonts w:ascii="楷体" w:eastAsia="楷体" w:hAnsi="楷体"/>
          <w:bCs/>
        </w:rPr>
      </w:pPr>
      <w:r>
        <w:rPr>
          <w:rFonts w:ascii="楷体" w:eastAsia="楷体" w:hAnsi="楷体" w:hint="eastAsia"/>
          <w:bCs/>
        </w:rPr>
        <w:t>（六）财务表现</w:t>
      </w:r>
    </w:p>
    <w:p w:rsidR="003730A7" w:rsidRDefault="00E93604">
      <w:pPr>
        <w:ind w:firstLine="640"/>
      </w:pPr>
      <w:r>
        <w:rPr>
          <w:rFonts w:hint="eastAsia"/>
        </w:rPr>
        <w:t>最近两年年度重要科目分析、盈利能力、偿债能力、运营能力、发展能力、历年的利润对比分析。（若在每年下半年发起的评级流程，另需分析半年财务情况。）</w:t>
      </w:r>
    </w:p>
    <w:p w:rsidR="003730A7" w:rsidRDefault="00E93604">
      <w:pPr>
        <w:ind w:firstLine="640"/>
        <w:rPr>
          <w:rFonts w:ascii="楷体" w:eastAsia="楷体" w:hAnsi="楷体"/>
          <w:bCs/>
        </w:rPr>
      </w:pPr>
      <w:r>
        <w:rPr>
          <w:rFonts w:ascii="楷体" w:eastAsia="楷体" w:hAnsi="楷体" w:hint="eastAsia"/>
          <w:bCs/>
        </w:rPr>
        <w:t>（七）其他</w:t>
      </w:r>
    </w:p>
    <w:p w:rsidR="003730A7" w:rsidRDefault="00E93604">
      <w:pPr>
        <w:ind w:firstLine="640"/>
      </w:pPr>
      <w:r>
        <w:rPr>
          <w:rFonts w:hint="eastAsia"/>
        </w:rPr>
        <w:t>对外担保、重大影响事件。</w:t>
      </w:r>
    </w:p>
    <w:p w:rsidR="003730A7" w:rsidRDefault="00E93604">
      <w:pPr>
        <w:ind w:firstLine="640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lastRenderedPageBreak/>
        <w:t>二、客户主要优势及劣势</w:t>
      </w:r>
      <w:r>
        <w:rPr>
          <w:rFonts w:ascii="黑体" w:eastAsia="黑体" w:hAnsi="黑体" w:hint="eastAsia"/>
          <w:bCs/>
        </w:rPr>
        <w:t>#</w:t>
      </w:r>
      <w:r>
        <w:rPr>
          <w:rFonts w:ascii="黑体" w:eastAsia="黑体" w:hAnsi="黑体" w:hint="eastAsia"/>
          <w:bCs/>
        </w:rPr>
        <w:t>应简明扼要</w:t>
      </w:r>
      <w:r>
        <w:rPr>
          <w:rFonts w:ascii="黑体" w:eastAsia="黑体" w:hAnsi="黑体" w:hint="eastAsia"/>
          <w:bCs/>
        </w:rPr>
        <w:t>#</w:t>
      </w:r>
    </w:p>
    <w:p w:rsidR="003730A7" w:rsidRDefault="00E93604">
      <w:pPr>
        <w:ind w:firstLine="640"/>
        <w:rPr>
          <w:rFonts w:ascii="楷体" w:eastAsia="楷体" w:hAnsi="楷体"/>
          <w:bCs/>
        </w:rPr>
      </w:pPr>
      <w:r>
        <w:rPr>
          <w:rFonts w:ascii="楷体" w:eastAsia="楷体" w:hAnsi="楷体" w:hint="eastAsia"/>
          <w:bCs/>
        </w:rPr>
        <w:t>（一）优势</w:t>
      </w:r>
    </w:p>
    <w:p w:rsidR="003730A7" w:rsidRDefault="00E93604">
      <w:pPr>
        <w:ind w:firstLine="640"/>
      </w:pPr>
      <w:r>
        <w:rPr>
          <w:rFonts w:hint="eastAsia"/>
        </w:rPr>
        <w:t>如行业地位、国资背景、技术实力、政府扶持等</w:t>
      </w:r>
      <w:r>
        <w:rPr>
          <w:rFonts w:hint="eastAsia"/>
        </w:rPr>
        <w:t>#</w:t>
      </w:r>
      <w:r>
        <w:rPr>
          <w:rFonts w:hint="eastAsia"/>
        </w:rPr>
        <w:t>应如实详细描述行业地位</w:t>
      </w:r>
      <w:r>
        <w:rPr>
          <w:rFonts w:hint="eastAsia"/>
        </w:rPr>
        <w:t>#</w:t>
      </w:r>
    </w:p>
    <w:p w:rsidR="003730A7" w:rsidRDefault="00E93604">
      <w:pPr>
        <w:ind w:firstLine="640"/>
        <w:rPr>
          <w:rFonts w:ascii="楷体" w:eastAsia="楷体" w:hAnsi="楷体"/>
          <w:bCs/>
        </w:rPr>
      </w:pPr>
      <w:r>
        <w:rPr>
          <w:rFonts w:ascii="楷体" w:eastAsia="楷体" w:hAnsi="楷体" w:hint="eastAsia"/>
          <w:bCs/>
        </w:rPr>
        <w:t>（二）劣势</w:t>
      </w:r>
    </w:p>
    <w:p w:rsidR="003730A7" w:rsidRDefault="00E93604">
      <w:pPr>
        <w:ind w:firstLine="640"/>
      </w:pPr>
      <w:r>
        <w:rPr>
          <w:rFonts w:hint="eastAsia"/>
        </w:rPr>
        <w:t>如行业地位不高、股东实力不足、重大不利事项等。</w:t>
      </w:r>
    </w:p>
    <w:p w:rsidR="003730A7" w:rsidRDefault="00E93604">
      <w:pPr>
        <w:ind w:firstLine="640"/>
        <w:rPr>
          <w:rFonts w:ascii="楷体" w:eastAsia="楷体" w:hAnsi="楷体"/>
          <w:bCs/>
          <w:color w:val="FF0000"/>
        </w:rPr>
      </w:pPr>
      <w:r>
        <w:rPr>
          <w:rFonts w:ascii="楷体" w:eastAsia="楷体" w:hAnsi="楷体" w:hint="eastAsia"/>
          <w:bCs/>
          <w:color w:val="FF0000"/>
        </w:rPr>
        <w:t>（三）紧急情况说明</w:t>
      </w:r>
    </w:p>
    <w:p w:rsidR="003730A7" w:rsidRDefault="00E93604">
      <w:pPr>
        <w:ind w:firstLine="640"/>
        <w:rPr>
          <w:color w:val="FF0000"/>
        </w:rPr>
      </w:pPr>
      <w:r>
        <w:rPr>
          <w:rFonts w:hint="eastAsia"/>
          <w:color w:val="FF0000"/>
        </w:rPr>
        <w:t>如受疫情影响需要维护原评级或因疫情产生的紧急授</w:t>
      </w:r>
      <w:proofErr w:type="gramStart"/>
      <w:r>
        <w:rPr>
          <w:rFonts w:hint="eastAsia"/>
          <w:color w:val="FF0000"/>
        </w:rPr>
        <w:t>信需求</w:t>
      </w:r>
      <w:proofErr w:type="gramEnd"/>
      <w:r>
        <w:rPr>
          <w:rFonts w:hint="eastAsia"/>
          <w:color w:val="FF0000"/>
        </w:rPr>
        <w:t>等情况。</w:t>
      </w:r>
    </w:p>
    <w:p w:rsidR="003730A7" w:rsidRDefault="00E93604">
      <w:pPr>
        <w:ind w:firstLine="640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三、评级情况</w:t>
      </w:r>
    </w:p>
    <w:p w:rsidR="003730A7" w:rsidRDefault="00E93604">
      <w:pPr>
        <w:ind w:firstLine="640"/>
        <w:rPr>
          <w:rFonts w:ascii="楷体" w:eastAsia="楷体" w:hAnsi="楷体"/>
          <w:bCs/>
        </w:rPr>
      </w:pPr>
      <w:r>
        <w:rPr>
          <w:rFonts w:ascii="楷体" w:eastAsia="楷体" w:hAnsi="楷体" w:hint="eastAsia"/>
          <w:bCs/>
        </w:rPr>
        <w:t>（一）评级基本信息</w:t>
      </w:r>
    </w:p>
    <w:p w:rsidR="003730A7" w:rsidRDefault="00E93604">
      <w:pPr>
        <w:ind w:firstLine="640"/>
      </w:pPr>
      <w:r>
        <w:rPr>
          <w:rFonts w:hint="eastAsia"/>
        </w:rPr>
        <w:t>历史评级情况，新发起评级的</w:t>
      </w:r>
      <w:proofErr w:type="gramStart"/>
      <w:r>
        <w:rPr>
          <w:rFonts w:hint="eastAsia"/>
        </w:rPr>
        <w:t>打分卡</w:t>
      </w:r>
      <w:proofErr w:type="gramEnd"/>
      <w:r>
        <w:rPr>
          <w:rFonts w:hint="eastAsia"/>
        </w:rPr>
        <w:t>选</w:t>
      </w:r>
      <w:r>
        <w:rPr>
          <w:rFonts w:hint="eastAsia"/>
        </w:rPr>
        <w:t>择、</w:t>
      </w:r>
      <w:proofErr w:type="gramStart"/>
      <w:r>
        <w:rPr>
          <w:rFonts w:hint="eastAsia"/>
        </w:rPr>
        <w:t>财报使用</w:t>
      </w:r>
      <w:proofErr w:type="gramEnd"/>
      <w:r>
        <w:rPr>
          <w:rFonts w:hint="eastAsia"/>
        </w:rPr>
        <w:t>、系统评级级别、分行建议评级级别</w:t>
      </w:r>
    </w:p>
    <w:p w:rsidR="003730A7" w:rsidRDefault="00E93604">
      <w:pPr>
        <w:ind w:firstLine="640"/>
        <w:rPr>
          <w:rFonts w:ascii="楷体" w:eastAsia="楷体" w:hAnsi="楷体"/>
          <w:bCs/>
        </w:rPr>
      </w:pPr>
      <w:r>
        <w:rPr>
          <w:rFonts w:ascii="楷体" w:eastAsia="楷体" w:hAnsi="楷体" w:hint="eastAsia"/>
          <w:bCs/>
        </w:rPr>
        <w:t>（二）历年评级情况、定量指标情况、定性指标情况</w:t>
      </w:r>
    </w:p>
    <w:p w:rsidR="003730A7" w:rsidRDefault="00E93604">
      <w:pPr>
        <w:ind w:firstLine="640"/>
        <w:rPr>
          <w:b/>
          <w:bCs/>
        </w:rPr>
      </w:pPr>
      <w:r>
        <w:rPr>
          <w:rFonts w:hint="eastAsia"/>
        </w:rPr>
        <w:t>#</w:t>
      </w:r>
      <w:r>
        <w:rPr>
          <w:rFonts w:hint="eastAsia"/>
        </w:rPr>
        <w:t>定量指标、定性指标情况，尽量整理成表格形式，减少截图</w:t>
      </w:r>
      <w:r>
        <w:rPr>
          <w:rFonts w:hint="eastAsia"/>
        </w:rPr>
        <w:t>#</w:t>
      </w:r>
    </w:p>
    <w:p w:rsidR="003730A7" w:rsidRDefault="00E93604">
      <w:pPr>
        <w:ind w:firstLine="640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四、评级核定</w:t>
      </w:r>
      <w:r>
        <w:rPr>
          <w:rFonts w:ascii="黑体" w:eastAsia="黑体" w:hAnsi="黑体" w:hint="eastAsia"/>
          <w:bCs/>
        </w:rPr>
        <w:t>/</w:t>
      </w:r>
      <w:r>
        <w:rPr>
          <w:rFonts w:ascii="黑体" w:eastAsia="黑体" w:hAnsi="黑体" w:hint="eastAsia"/>
          <w:bCs/>
        </w:rPr>
        <w:t>推翻理由</w:t>
      </w:r>
      <w:r>
        <w:rPr>
          <w:rFonts w:ascii="黑体" w:eastAsia="黑体" w:hAnsi="黑体" w:hint="eastAsia"/>
          <w:bCs/>
        </w:rPr>
        <w:t>#</w:t>
      </w:r>
      <w:r>
        <w:rPr>
          <w:rFonts w:ascii="黑体" w:eastAsia="黑体" w:hAnsi="黑体" w:hint="eastAsia"/>
          <w:bCs/>
        </w:rPr>
        <w:t>应详实</w:t>
      </w:r>
      <w:r>
        <w:rPr>
          <w:rFonts w:ascii="黑体" w:eastAsia="黑体" w:hAnsi="黑体" w:hint="eastAsia"/>
          <w:bCs/>
        </w:rPr>
        <w:t>#</w:t>
      </w:r>
    </w:p>
    <w:p w:rsidR="003730A7" w:rsidRDefault="00E93604">
      <w:pPr>
        <w:ind w:firstLine="640"/>
        <w:rPr>
          <w:rFonts w:ascii="楷体" w:eastAsia="楷体" w:hAnsi="楷体"/>
          <w:bCs/>
        </w:rPr>
      </w:pPr>
      <w:r>
        <w:rPr>
          <w:rFonts w:ascii="楷体" w:eastAsia="楷体" w:hAnsi="楷体" w:hint="eastAsia"/>
          <w:bCs/>
        </w:rPr>
        <w:t>（一）是否满足推翻办法条件</w:t>
      </w:r>
    </w:p>
    <w:p w:rsidR="003730A7" w:rsidRDefault="00E93604">
      <w:pPr>
        <w:ind w:firstLine="640"/>
      </w:pPr>
      <w:r>
        <w:rPr>
          <w:rFonts w:hint="eastAsia"/>
        </w:rPr>
        <w:t>#</w:t>
      </w:r>
      <w:r>
        <w:rPr>
          <w:rFonts w:hint="eastAsia"/>
        </w:rPr>
        <w:t>分析是否满足</w:t>
      </w:r>
      <w:r>
        <w:rPr>
          <w:rFonts w:ascii="仿宋" w:hAnsi="仿宋" w:cs="Times New Roman" w:hint="eastAsia"/>
          <w:color w:val="000000"/>
          <w:spacing w:val="12"/>
          <w:szCs w:val="32"/>
        </w:rPr>
        <w:t>《中信银行公司客户信用风险评级推翻实施细则（</w:t>
      </w:r>
      <w:r>
        <w:rPr>
          <w:rFonts w:ascii="仿宋" w:hAnsi="仿宋" w:cs="Times New Roman"/>
          <w:color w:val="000000"/>
          <w:spacing w:val="12"/>
          <w:szCs w:val="32"/>
        </w:rPr>
        <w:t>2</w:t>
      </w:r>
      <w:r>
        <w:rPr>
          <w:rFonts w:ascii="仿宋" w:hAnsi="仿宋" w:cs="Times New Roman" w:hint="eastAsia"/>
          <w:color w:val="000000"/>
          <w:spacing w:val="12"/>
          <w:szCs w:val="32"/>
        </w:rPr>
        <w:t>.0</w:t>
      </w:r>
      <w:r>
        <w:rPr>
          <w:rFonts w:ascii="仿宋" w:hAnsi="仿宋" w:cs="Times New Roman" w:hint="eastAsia"/>
          <w:color w:val="000000"/>
          <w:spacing w:val="12"/>
          <w:szCs w:val="32"/>
        </w:rPr>
        <w:t>版，20</w:t>
      </w:r>
      <w:r>
        <w:rPr>
          <w:rFonts w:ascii="仿宋" w:hAnsi="仿宋" w:cs="Times New Roman"/>
          <w:color w:val="000000"/>
          <w:spacing w:val="12"/>
          <w:szCs w:val="32"/>
        </w:rPr>
        <w:t>21</w:t>
      </w:r>
      <w:r>
        <w:rPr>
          <w:rFonts w:ascii="仿宋" w:hAnsi="仿宋" w:cs="Times New Roman" w:hint="eastAsia"/>
          <w:color w:val="000000"/>
          <w:spacing w:val="12"/>
          <w:szCs w:val="32"/>
        </w:rPr>
        <w:t>年）》</w:t>
      </w:r>
      <w:r>
        <w:rPr>
          <w:rFonts w:hint="eastAsia"/>
        </w:rPr>
        <w:t>中各评级级别的认定依据。对于调</w:t>
      </w:r>
      <w:r>
        <w:rPr>
          <w:rFonts w:hint="eastAsia"/>
        </w:rPr>
        <w:lastRenderedPageBreak/>
        <w:t>用本部报表评级、参考合并报表进行推翻的，“财务因素条件”需分别列明本部和合并报表的具体指标值</w:t>
      </w:r>
      <w:r>
        <w:rPr>
          <w:rFonts w:hint="eastAsia"/>
        </w:rPr>
        <w:t>#</w:t>
      </w:r>
    </w:p>
    <w:tbl>
      <w:tblPr>
        <w:tblW w:w="94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7"/>
        <w:gridCol w:w="3222"/>
        <w:gridCol w:w="3247"/>
        <w:gridCol w:w="1370"/>
      </w:tblGrid>
      <w:tr w:rsidR="003730A7">
        <w:trPr>
          <w:trHeight w:val="454"/>
          <w:jc w:val="center"/>
        </w:trPr>
        <w:tc>
          <w:tcPr>
            <w:tcW w:w="4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:rsidR="003730A7" w:rsidRDefault="00E93604" w:rsidP="00E93604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新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XX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级标准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-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《中信银行公司客户信用风险评级推翻实施细则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》</w:t>
            </w:r>
          </w:p>
        </w:tc>
        <w:tc>
          <w:tcPr>
            <w:tcW w:w="3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:rsidR="003730A7" w:rsidRDefault="00E93604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客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户情况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:rsidR="003730A7" w:rsidRDefault="00E93604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是否满足</w:t>
            </w:r>
          </w:p>
        </w:tc>
      </w:tr>
      <w:tr w:rsidR="003730A7">
        <w:trPr>
          <w:trHeight w:val="454"/>
          <w:jc w:val="center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0A7" w:rsidRDefault="00E93604">
            <w:pPr>
              <w:widowControl/>
              <w:autoSpaceDE w:val="0"/>
              <w:adjustRightInd w:val="0"/>
              <w:snapToGrid w:val="0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基础条件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730A7" w:rsidRDefault="003730A7">
            <w:pPr>
              <w:widowControl/>
              <w:ind w:firstLineChars="0" w:firstLine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730A7" w:rsidRDefault="003730A7">
            <w:pPr>
              <w:widowControl/>
              <w:ind w:firstLineChars="0" w:firstLine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730A7" w:rsidRDefault="003730A7">
            <w:pPr>
              <w:widowControl/>
              <w:ind w:firstLineChars="0" w:firstLine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3730A7">
        <w:trPr>
          <w:trHeight w:val="454"/>
          <w:jc w:val="center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0A7" w:rsidRDefault="00E93604">
            <w:pPr>
              <w:widowControl/>
              <w:autoSpaceDE w:val="0"/>
              <w:adjustRightInd w:val="0"/>
              <w:snapToGrid w:val="0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财务因素条件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730A7" w:rsidRDefault="003730A7">
            <w:pPr>
              <w:widowControl/>
              <w:ind w:firstLineChars="0" w:firstLine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730A7" w:rsidRDefault="003730A7">
            <w:pPr>
              <w:widowControl/>
              <w:ind w:firstLineChars="0" w:firstLine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730A7" w:rsidRDefault="003730A7">
            <w:pPr>
              <w:widowControl/>
              <w:ind w:firstLineChars="0" w:firstLine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3730A7">
        <w:trPr>
          <w:trHeight w:val="454"/>
          <w:jc w:val="center"/>
        </w:trPr>
        <w:tc>
          <w:tcPr>
            <w:tcW w:w="1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0A7" w:rsidRDefault="00E93604">
            <w:pPr>
              <w:widowControl/>
              <w:autoSpaceDE w:val="0"/>
              <w:adjustRightInd w:val="0"/>
              <w:snapToGrid w:val="0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专业资质条件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730A7" w:rsidRDefault="003730A7">
            <w:pPr>
              <w:widowControl/>
              <w:ind w:firstLineChars="0" w:firstLine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730A7" w:rsidRDefault="003730A7">
            <w:pPr>
              <w:widowControl/>
              <w:ind w:firstLineChars="0" w:firstLine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730A7" w:rsidRDefault="003730A7">
            <w:pPr>
              <w:widowControl/>
              <w:ind w:firstLineChars="0" w:firstLine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:rsidR="003730A7" w:rsidRDefault="00E93604">
      <w:pPr>
        <w:ind w:firstLine="640"/>
        <w:rPr>
          <w:rFonts w:ascii="楷体" w:eastAsia="楷体" w:hAnsi="楷体"/>
          <w:bCs/>
        </w:rPr>
      </w:pPr>
      <w:r>
        <w:rPr>
          <w:rFonts w:ascii="楷体" w:eastAsia="楷体" w:hAnsi="楷体" w:hint="eastAsia"/>
          <w:bCs/>
        </w:rPr>
        <w:t>（二）评级主标尺描述</w:t>
      </w:r>
      <w:r>
        <w:rPr>
          <w:rFonts w:ascii="楷体" w:eastAsia="楷体" w:hAnsi="楷体" w:hint="eastAsia"/>
          <w:bCs/>
        </w:rPr>
        <w:t>#</w:t>
      </w:r>
      <w:r>
        <w:rPr>
          <w:rFonts w:ascii="楷体" w:eastAsia="楷体" w:hAnsi="楷体" w:hint="eastAsia"/>
          <w:bCs/>
        </w:rPr>
        <w:t>必须满足</w:t>
      </w:r>
      <w:r>
        <w:rPr>
          <w:rFonts w:ascii="楷体" w:eastAsia="楷体" w:hAnsi="楷体" w:hint="eastAsia"/>
          <w:bCs/>
        </w:rPr>
        <w:t>#</w:t>
      </w:r>
    </w:p>
    <w:p w:rsidR="003730A7" w:rsidRDefault="00E93604">
      <w:pPr>
        <w:ind w:firstLine="640"/>
        <w:rPr>
          <w:rFonts w:ascii="仿宋" w:hAnsi="仿宋"/>
        </w:rPr>
      </w:pPr>
      <w:r>
        <w:rPr>
          <w:rFonts w:ascii="仿宋" w:hAnsi="仿宋" w:hint="eastAsia"/>
        </w:rPr>
        <w:t>#</w:t>
      </w:r>
      <w:r>
        <w:rPr>
          <w:rFonts w:ascii="仿宋" w:hAnsi="仿宋" w:hint="eastAsia"/>
        </w:rPr>
        <w:t>分析是否符合《中信银行公司客户信用级别相对风险描述（</w:t>
      </w:r>
      <w:r>
        <w:rPr>
          <w:rFonts w:ascii="仿宋" w:hAnsi="仿宋" w:hint="eastAsia"/>
        </w:rPr>
        <w:t>20</w:t>
      </w:r>
      <w:r>
        <w:rPr>
          <w:rFonts w:ascii="仿宋" w:hAnsi="仿宋"/>
        </w:rPr>
        <w:t>21</w:t>
      </w:r>
      <w:bookmarkStart w:id="0" w:name="_GoBack"/>
      <w:bookmarkEnd w:id="0"/>
      <w:r>
        <w:rPr>
          <w:rFonts w:ascii="仿宋" w:hAnsi="仿宋" w:hint="eastAsia"/>
        </w:rPr>
        <w:t>年版）》中的风险描述”</w:t>
      </w:r>
      <w:r>
        <w:rPr>
          <w:rFonts w:ascii="仿宋" w:hAnsi="仿宋" w:hint="eastAsia"/>
        </w:rPr>
        <w:t>#</w:t>
      </w:r>
    </w:p>
    <w:tbl>
      <w:tblPr>
        <w:tblW w:w="9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6"/>
        <w:gridCol w:w="3932"/>
        <w:gridCol w:w="4279"/>
      </w:tblGrid>
      <w:tr w:rsidR="003730A7">
        <w:trPr>
          <w:trHeight w:val="454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3730A7" w:rsidRDefault="00E93604">
            <w:pPr>
              <w:widowControl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评级级别</w:t>
            </w:r>
          </w:p>
        </w:tc>
        <w:tc>
          <w:tcPr>
            <w:tcW w:w="3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3730A7" w:rsidRDefault="00E93604">
            <w:pPr>
              <w:widowControl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中信银行公司客户信用级别相对风险描述</w:t>
            </w:r>
          </w:p>
        </w:tc>
        <w:tc>
          <w:tcPr>
            <w:tcW w:w="4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3730A7" w:rsidRDefault="00E93604">
            <w:pPr>
              <w:widowControl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  <w:t>客户情况</w:t>
            </w:r>
          </w:p>
        </w:tc>
      </w:tr>
      <w:tr w:rsidR="003730A7">
        <w:trPr>
          <w:trHeight w:val="454"/>
          <w:jc w:val="center"/>
        </w:trPr>
        <w:tc>
          <w:tcPr>
            <w:tcW w:w="10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0A7" w:rsidRDefault="00E93604">
            <w:pPr>
              <w:widowControl/>
              <w:ind w:firstLineChars="0" w:firstLine="0"/>
              <w:jc w:val="center"/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新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XX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级</w:t>
            </w:r>
          </w:p>
        </w:tc>
        <w:tc>
          <w:tcPr>
            <w:tcW w:w="3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0A7" w:rsidRDefault="00E93604">
            <w:pPr>
              <w:widowControl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</w:t>
            </w:r>
            <w:r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0A7" w:rsidRDefault="003730A7">
            <w:pPr>
              <w:widowControl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3730A7">
        <w:trPr>
          <w:trHeight w:val="454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0A7" w:rsidRDefault="003730A7">
            <w:pPr>
              <w:widowControl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0A7" w:rsidRDefault="00E93604">
            <w:pPr>
              <w:widowControl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2.</w:t>
            </w:r>
            <w:r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0A7" w:rsidRDefault="003730A7">
            <w:pPr>
              <w:widowControl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3730A7">
        <w:trPr>
          <w:trHeight w:val="454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0A7" w:rsidRDefault="003730A7">
            <w:pPr>
              <w:widowControl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0A7" w:rsidRDefault="00E93604">
            <w:pPr>
              <w:widowControl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</w:t>
            </w:r>
          </w:p>
        </w:tc>
        <w:tc>
          <w:tcPr>
            <w:tcW w:w="4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0A7" w:rsidRDefault="003730A7">
            <w:pPr>
              <w:widowControl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3730A7">
        <w:trPr>
          <w:trHeight w:val="454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0A7" w:rsidRDefault="003730A7">
            <w:pPr>
              <w:widowControl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0A7" w:rsidRDefault="00E93604">
            <w:pPr>
              <w:widowControl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4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0A7" w:rsidRDefault="003730A7">
            <w:pPr>
              <w:widowControl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:rsidR="003730A7" w:rsidRDefault="00E93604">
      <w:pPr>
        <w:ind w:firstLine="640"/>
        <w:rPr>
          <w:rFonts w:ascii="楷体" w:eastAsia="楷体" w:hAnsi="楷体"/>
          <w:bCs/>
        </w:rPr>
      </w:pPr>
      <w:r>
        <w:rPr>
          <w:rFonts w:ascii="楷体" w:eastAsia="楷体" w:hAnsi="楷体" w:hint="eastAsia"/>
          <w:bCs/>
        </w:rPr>
        <w:t>（三）模型未充分考虑的因素</w:t>
      </w:r>
    </w:p>
    <w:p w:rsidR="003730A7" w:rsidRDefault="00E93604">
      <w:pPr>
        <w:ind w:firstLine="640"/>
      </w:pPr>
      <w:r>
        <w:rPr>
          <w:rFonts w:hint="eastAsia"/>
        </w:rPr>
        <w:t>#</w:t>
      </w:r>
      <w:r>
        <w:rPr>
          <w:rFonts w:hint="eastAsia"/>
        </w:rPr>
        <w:t>从财务因素和非财务因素两个方面对模型未考虑因素进行分析总结，申请向上向下推翻的客户应重点分析</w:t>
      </w:r>
      <w:r>
        <w:rPr>
          <w:rFonts w:hint="eastAsia"/>
        </w:rPr>
        <w:t>#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8"/>
        <w:gridCol w:w="4722"/>
      </w:tblGrid>
      <w:tr w:rsidR="003730A7">
        <w:trPr>
          <w:cantSplit/>
          <w:trHeight w:val="510"/>
          <w:tblHeader/>
          <w:jc w:val="center"/>
        </w:trPr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3730A7" w:rsidRDefault="00E93604">
            <w:pPr>
              <w:widowControl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模型未考虑因素</w:t>
            </w:r>
          </w:p>
        </w:tc>
        <w:tc>
          <w:tcPr>
            <w:tcW w:w="4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3730A7" w:rsidRDefault="00E93604">
            <w:pPr>
              <w:widowControl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  <w:t>客户情况</w:t>
            </w:r>
          </w:p>
        </w:tc>
      </w:tr>
      <w:tr w:rsidR="003730A7">
        <w:trPr>
          <w:trHeight w:val="279"/>
          <w:jc w:val="center"/>
        </w:trPr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0A7" w:rsidRDefault="00E93604">
            <w:pPr>
              <w:widowControl/>
              <w:spacing w:line="273" w:lineRule="auto"/>
              <w:ind w:firstLineChars="0" w:firstLine="0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0"/>
                <w:szCs w:val="20"/>
              </w:rPr>
              <w:t>1.</w:t>
            </w:r>
            <w:r>
              <w:rPr>
                <w:rFonts w:ascii="宋体" w:eastAsia="宋体" w:hAnsi="宋体" w:cs="Times New Roman" w:hint="eastAsia"/>
                <w:b/>
                <w:color w:val="000000"/>
                <w:sz w:val="20"/>
                <w:szCs w:val="20"/>
              </w:rPr>
              <w:t>财务数据未能完全反映客户实际情况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：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#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因特殊原因无法提供财务报表；公司发生重组、并购等重大财务调整；季度报表表现优异等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#</w:t>
            </w:r>
          </w:p>
        </w:tc>
        <w:tc>
          <w:tcPr>
            <w:tcW w:w="4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0A7" w:rsidRDefault="003730A7">
            <w:pPr>
              <w:widowControl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3730A7">
        <w:trPr>
          <w:trHeight w:val="164"/>
          <w:jc w:val="center"/>
        </w:trPr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0A7" w:rsidRDefault="00E93604">
            <w:pPr>
              <w:widowControl/>
              <w:spacing w:line="273" w:lineRule="auto"/>
              <w:ind w:firstLineChars="0" w:firstLine="0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sz w:val="20"/>
                <w:szCs w:val="20"/>
              </w:rPr>
              <w:t>2.</w:t>
            </w:r>
            <w:r>
              <w:rPr>
                <w:rFonts w:ascii="宋体" w:eastAsia="宋体" w:hAnsi="宋体" w:cs="Times New Roman" w:hint="eastAsia"/>
                <w:b/>
                <w:sz w:val="20"/>
                <w:szCs w:val="20"/>
              </w:rPr>
              <w:t>非财务因素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：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#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实际控制人或企业主个人发生重大变动；企业所处的市场竞争格局发生了重大变化；客户所在行业具有明显的特殊性；客户受到宏观政策、行业政策、区域政策等因素的影响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#</w:t>
            </w:r>
          </w:p>
        </w:tc>
        <w:tc>
          <w:tcPr>
            <w:tcW w:w="4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0A7" w:rsidRDefault="003730A7">
            <w:pPr>
              <w:widowControl/>
              <w:spacing w:line="273" w:lineRule="auto"/>
              <w:ind w:firstLineChars="0" w:firstLine="0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</w:tbl>
    <w:p w:rsidR="003730A7" w:rsidRDefault="003730A7">
      <w:pPr>
        <w:ind w:firstLineChars="0" w:firstLine="0"/>
      </w:pPr>
    </w:p>
    <w:sectPr w:rsidR="003730A7">
      <w:pgSz w:w="11906" w:h="16838"/>
      <w:pgMar w:top="2098" w:right="1474" w:bottom="1985" w:left="1531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8C"/>
    <w:rsid w:val="003730A7"/>
    <w:rsid w:val="0089048C"/>
    <w:rsid w:val="008D50B6"/>
    <w:rsid w:val="00E93604"/>
    <w:rsid w:val="00F34259"/>
    <w:rsid w:val="622B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3B68F4-B35C-4F01-B19B-912C5372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eastAsia="仿宋"/>
      <w:kern w:val="2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晓蕾</dc:creator>
  <cp:lastModifiedBy>任爽然</cp:lastModifiedBy>
  <cp:revision>4</cp:revision>
  <dcterms:created xsi:type="dcterms:W3CDTF">2020-02-05T03:08:00Z</dcterms:created>
  <dcterms:modified xsi:type="dcterms:W3CDTF">2022-08-03T09:49:00Z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