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48A36BF3" w:rsidR="005E5F1D" w:rsidRPr="005659D2" w:rsidRDefault="005E5F1D" w:rsidP="000339C9">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0339C9">
              <w:rPr>
                <w:rFonts w:ascii="Arial" w:eastAsia="Times New Roman" w:hAnsi="Arial" w:cs="Arial"/>
                <w:lang w:eastAsia="zh-CN"/>
              </w:rPr>
              <w:t>2</w:t>
            </w:r>
            <w:r w:rsidR="00A67A11" w:rsidRPr="005659D2">
              <w:rPr>
                <w:rFonts w:ascii="Arial" w:eastAsia="Times New Roman" w:hAnsi="Arial" w:cs="Arial"/>
                <w:lang w:eastAsia="zh-CN"/>
              </w:rPr>
              <w:t>.</w:t>
            </w:r>
            <w:r w:rsidR="005659D2" w:rsidRPr="005659D2">
              <w:rPr>
                <w:rFonts w:ascii="Arial" w:eastAsia="Times New Roman" w:hAnsi="Arial" w:cs="Arial"/>
                <w:lang w:eastAsia="zh-CN"/>
              </w:rPr>
              <w:t>1</w:t>
            </w:r>
            <w:r w:rsidRPr="005659D2">
              <w:rPr>
                <w:rFonts w:ascii="Arial" w:eastAsia="Times New Roman" w:hAnsi="Arial" w:cs="Arial"/>
                <w:lang w:eastAsia="zh-CN"/>
              </w:rPr>
              <w:t xml:space="preserve"> </w:t>
            </w:r>
            <w:r w:rsidR="000339C9">
              <w:rPr>
                <w:rFonts w:ascii="Arial" w:eastAsia="Times New Roman" w:hAnsi="Arial" w:cs="Arial"/>
                <w:lang w:eastAsia="zh-CN"/>
              </w:rPr>
              <w:t>August 2019</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E96B07E"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Draft</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05FDBAFA"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2</w:t>
            </w:r>
            <w:r w:rsidR="00A67A11" w:rsidRPr="005659D2">
              <w:rPr>
                <w:rFonts w:ascii="Arial" w:eastAsia="Times New Roman" w:hAnsi="Arial" w:cs="Arial"/>
                <w:color w:val="000000"/>
              </w:rPr>
              <w:t>.</w:t>
            </w:r>
            <w:r w:rsidR="005659D2">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14B77763"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8/2019</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5D6BCB42" w:rsidR="009E219D" w:rsidRPr="005659D2" w:rsidRDefault="009E219D" w:rsidP="005659D2">
            <w:pPr>
              <w:spacing w:before="0" w:after="0" w:line="360" w:lineRule="auto"/>
              <w:rPr>
                <w:rFonts w:ascii="Arial" w:eastAsia="Times New Roman" w:hAnsi="Arial" w:cs="Arial"/>
                <w:color w:val="000000"/>
              </w:rPr>
            </w:pP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auto"/>
            <w:vAlign w:val="bottom"/>
          </w:tcPr>
          <w:p w14:paraId="2362C3AD" w14:textId="37CFDAA6"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8/2020</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0" w:type="auto"/>
        <w:tblLook w:val="04A0" w:firstRow="1" w:lastRow="0" w:firstColumn="1" w:lastColumn="0" w:noHBand="0" w:noVBand="1"/>
      </w:tblPr>
      <w:tblGrid>
        <w:gridCol w:w="988"/>
        <w:gridCol w:w="1061"/>
        <w:gridCol w:w="1207"/>
        <w:gridCol w:w="1134"/>
        <w:gridCol w:w="5307"/>
      </w:tblGrid>
      <w:tr w:rsidR="00385603" w:rsidRPr="00A730D7" w14:paraId="13E93EA7" w14:textId="77777777" w:rsidTr="00CD0372">
        <w:tc>
          <w:tcPr>
            <w:tcW w:w="988" w:type="dxa"/>
          </w:tcPr>
          <w:bookmarkEnd w:id="0"/>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07" w:type="dxa"/>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CD0372">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07"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CD0372">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07" w:type="dxa"/>
          </w:tcPr>
          <w:p w14:paraId="7E4156D6" w14:textId="2D064526" w:rsidR="004E779E" w:rsidRPr="00A730D7" w:rsidRDefault="000339C9" w:rsidP="00CD0372">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dd 24/10/2019</w:t>
            </w:r>
            <w:r w:rsidR="004E779E" w:rsidRPr="00A730D7">
              <w:rPr>
                <w:rFonts w:ascii="Arial" w:hAnsi="Arial" w:cs="Arial"/>
                <w:sz w:val="20"/>
                <w:szCs w:val="20"/>
              </w:rPr>
              <w:t xml:space="preserve"> </w:t>
            </w:r>
          </w:p>
        </w:tc>
      </w:tr>
      <w:tr w:rsidR="000339C9" w:rsidRPr="00A730D7" w14:paraId="12F7DC24" w14:textId="77777777" w:rsidTr="00CD0372">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1CBB2B1D" w:rsidR="000339C9" w:rsidRPr="00E81C79" w:rsidRDefault="000339C9" w:rsidP="000339C9">
            <w:pPr>
              <w:spacing w:before="0" w:after="0" w:line="360" w:lineRule="auto"/>
              <w:rPr>
                <w:rFonts w:ascii="Arial" w:hAnsi="Arial" w:cs="Arial"/>
                <w:sz w:val="20"/>
                <w:szCs w:val="20"/>
              </w:rPr>
            </w:pPr>
          </w:p>
        </w:tc>
        <w:tc>
          <w:tcPr>
            <w:tcW w:w="5307" w:type="dxa"/>
          </w:tcPr>
          <w:p w14:paraId="49F94DB0" w14:textId="77777777" w:rsidR="000339C9" w:rsidRDefault="00343ED6" w:rsidP="000339C9">
            <w:pPr>
              <w:spacing w:before="0" w:after="0" w:line="360" w:lineRule="auto"/>
              <w:rPr>
                <w:rFonts w:ascii="Arial" w:hAnsi="Arial" w:cs="Arial"/>
                <w:sz w:val="20"/>
                <w:szCs w:val="20"/>
              </w:rPr>
            </w:pPr>
            <w:r>
              <w:rPr>
                <w:rFonts w:ascii="Arial" w:hAnsi="Arial" w:cs="Arial"/>
                <w:sz w:val="20"/>
                <w:szCs w:val="20"/>
              </w:rPr>
              <w:t>The following has been updated:</w:t>
            </w:r>
          </w:p>
          <w:p w14:paraId="4B9AD1F7" w14:textId="4071490C" w:rsidR="007B0D11" w:rsidRPr="00CD0372" w:rsidRDefault="007B0D11"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Change Committee Chair Person for ALCo and A&amp;RCo (Page 10)</w:t>
            </w:r>
          </w:p>
          <w:p w14:paraId="1B6F6201" w14:textId="399E434A" w:rsidR="00343ED6"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 xml:space="preserve">FM trading – change from spot only to expand to </w:t>
            </w:r>
            <w:r w:rsidR="00E63B48" w:rsidRPr="00CD0372">
              <w:rPr>
                <w:rFonts w:ascii="Arial" w:hAnsi="Arial" w:cs="Arial"/>
                <w:sz w:val="18"/>
                <w:szCs w:val="18"/>
              </w:rPr>
              <w:t>cover FX Product</w:t>
            </w:r>
            <w:r w:rsidRPr="00CD0372">
              <w:rPr>
                <w:rFonts w:ascii="Arial" w:hAnsi="Arial" w:cs="Arial"/>
                <w:sz w:val="18"/>
                <w:szCs w:val="18"/>
              </w:rPr>
              <w:t xml:space="preserve"> (Page 11)</w:t>
            </w:r>
          </w:p>
          <w:p w14:paraId="7C365741" w14:textId="77777777"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MiFid / Product approval will be subject to the Presidents and CCO approval prior to any transaction (Page 12).</w:t>
            </w:r>
          </w:p>
          <w:p w14:paraId="693749E7" w14:textId="77777777"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Target Customers – added Local EMEA customers (Page 15)</w:t>
            </w:r>
          </w:p>
          <w:p w14:paraId="4579BC62" w14:textId="77777777"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 xml:space="preserve">Credit concentration risk – deleted US$ 50 million </w:t>
            </w:r>
          </w:p>
          <w:p w14:paraId="79032E7F" w14:textId="77777777"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Credit concentration risk – added exception for low risk transactions (SBLC/Demand gtee) – Page 20</w:t>
            </w:r>
          </w:p>
          <w:p w14:paraId="5A43F75F" w14:textId="3EC5D2B1"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FX currencies – expanded to G</w:t>
            </w:r>
            <w:r w:rsidR="00E63B48" w:rsidRPr="00CD0372">
              <w:rPr>
                <w:rFonts w:ascii="Arial" w:hAnsi="Arial" w:cs="Arial"/>
                <w:sz w:val="18"/>
                <w:szCs w:val="18"/>
              </w:rPr>
              <w:t>7</w:t>
            </w:r>
            <w:r w:rsidRPr="00CD0372">
              <w:rPr>
                <w:rFonts w:ascii="Arial" w:hAnsi="Arial" w:cs="Arial"/>
                <w:sz w:val="18"/>
                <w:szCs w:val="18"/>
              </w:rPr>
              <w:t xml:space="preserve"> currencies</w:t>
            </w:r>
            <w:r w:rsidR="00E63B48" w:rsidRPr="00CD0372">
              <w:rPr>
                <w:rFonts w:ascii="Arial" w:hAnsi="Arial" w:cs="Arial"/>
                <w:sz w:val="18"/>
                <w:szCs w:val="18"/>
              </w:rPr>
              <w:t xml:space="preserve"> plus CNH and HKD</w:t>
            </w:r>
          </w:p>
          <w:p w14:paraId="110B62D9" w14:textId="77777777" w:rsidR="00196C03" w:rsidRPr="00CD0372" w:rsidRDefault="00196C03"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Sector Risk – increased Real Estate to 50%</w:t>
            </w:r>
            <w:r w:rsidR="00C37220" w:rsidRPr="00CD0372">
              <w:rPr>
                <w:rFonts w:ascii="Arial" w:hAnsi="Arial" w:cs="Arial"/>
                <w:sz w:val="18"/>
                <w:szCs w:val="18"/>
              </w:rPr>
              <w:t xml:space="preserve"> of total assets (Page 24)</w:t>
            </w:r>
          </w:p>
          <w:p w14:paraId="60B3D9AF" w14:textId="77777777" w:rsidR="00C37220" w:rsidRPr="00CD0372" w:rsidRDefault="00C37220"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Sector Risk – added ‘Other’ to ensure all sectors can be captured (Page 24)</w:t>
            </w:r>
          </w:p>
          <w:p w14:paraId="7B419E0F" w14:textId="59C25DFD" w:rsidR="00C37220" w:rsidRPr="00CD0372" w:rsidRDefault="00C37220"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Product/Customer Matrix – increase Asset Backed for Local Domestic customers to 75% (Page 23)</w:t>
            </w:r>
          </w:p>
          <w:p w14:paraId="2710E47B" w14:textId="649647F7" w:rsidR="00C37220" w:rsidRPr="00CD0372" w:rsidRDefault="00C37220"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Product/Customer Matrix – added matrix for Local EMEA customers across products - 50%(Page 23)</w:t>
            </w:r>
          </w:p>
          <w:p w14:paraId="778D18A6" w14:textId="1FEEE53F" w:rsidR="00C37220" w:rsidRPr="00CD0372" w:rsidRDefault="00C37220"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Interest Rate Gapping – increase short term gapping limits (Page 27)</w:t>
            </w:r>
          </w:p>
          <w:p w14:paraId="3837CB58" w14:textId="77777777" w:rsidR="00C37220" w:rsidRPr="00CD0372" w:rsidRDefault="00C37220" w:rsidP="008E3590">
            <w:pPr>
              <w:pStyle w:val="ListParagraph"/>
              <w:numPr>
                <w:ilvl w:val="0"/>
                <w:numId w:val="24"/>
              </w:numPr>
              <w:spacing w:before="0" w:after="0" w:line="360" w:lineRule="auto"/>
              <w:ind w:left="318" w:hanging="284"/>
              <w:rPr>
                <w:rFonts w:ascii="Arial" w:hAnsi="Arial" w:cs="Arial"/>
                <w:sz w:val="18"/>
                <w:szCs w:val="18"/>
              </w:rPr>
            </w:pPr>
            <w:r w:rsidRPr="00CD0372">
              <w:rPr>
                <w:rFonts w:ascii="Arial" w:hAnsi="Arial" w:cs="Arial"/>
                <w:sz w:val="18"/>
                <w:szCs w:val="18"/>
              </w:rPr>
              <w:t>Sensitivity Limits – added market risk limits for trading and investment books (Page 27)</w:t>
            </w:r>
          </w:p>
          <w:p w14:paraId="0716DBB8" w14:textId="5B43A170" w:rsidR="00C37220" w:rsidRPr="00343ED6" w:rsidRDefault="00C37220" w:rsidP="008E3590">
            <w:pPr>
              <w:pStyle w:val="ListParagraph"/>
              <w:numPr>
                <w:ilvl w:val="0"/>
                <w:numId w:val="24"/>
              </w:numPr>
              <w:spacing w:before="0" w:after="0" w:line="360" w:lineRule="auto"/>
              <w:ind w:left="318" w:hanging="284"/>
              <w:rPr>
                <w:rFonts w:ascii="Arial" w:hAnsi="Arial" w:cs="Arial"/>
                <w:sz w:val="20"/>
                <w:szCs w:val="20"/>
              </w:rPr>
            </w:pPr>
            <w:r w:rsidRPr="00CD0372">
              <w:rPr>
                <w:rFonts w:ascii="Arial" w:hAnsi="Arial" w:cs="Arial"/>
                <w:sz w:val="18"/>
                <w:szCs w:val="18"/>
              </w:rPr>
              <w:t>Climate Change – added risk to ‘Other Risk’ (Page 35)</w:t>
            </w:r>
          </w:p>
        </w:tc>
      </w:tr>
    </w:tbl>
    <w:p w14:paraId="1455F9A3" w14:textId="0D75CE9E"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5DF81916" w14:textId="7C2D3016" w:rsidR="005F02A6" w:rsidRPr="005F02A6" w:rsidRDefault="00703D2C" w:rsidP="005F02A6">
      <w:pPr>
        <w:pStyle w:val="TOC1"/>
        <w:tabs>
          <w:tab w:val="left" w:pos="480"/>
        </w:tabs>
        <w:spacing w:before="0" w:after="0" w:line="360" w:lineRule="auto"/>
        <w:rPr>
          <w:rFonts w:ascii="Arial" w:eastAsiaTheme="minorEastAsia" w:hAnsi="Arial" w:cs="Arial"/>
          <w:noProof/>
          <w:lang w:val="en-GB" w:eastAsia="zh-CN" w:bidi="ar-SA"/>
        </w:rPr>
      </w:pPr>
      <w:r w:rsidRPr="00275564">
        <w:rPr>
          <w:rFonts w:ascii="Arial" w:hAnsi="Arial" w:cs="Arial"/>
          <w:b/>
          <w:lang w:eastAsia="zh-CN"/>
        </w:rPr>
        <w:fldChar w:fldCharType="begin"/>
      </w:r>
      <w:r w:rsidRPr="00275564">
        <w:rPr>
          <w:rFonts w:ascii="Arial" w:hAnsi="Arial" w:cs="Arial"/>
          <w:b/>
          <w:lang w:eastAsia="zh-CN"/>
        </w:rPr>
        <w:instrText xml:space="preserve"> TOC \o "1-3" \h \z \u </w:instrText>
      </w:r>
      <w:r w:rsidRPr="00275564">
        <w:rPr>
          <w:rFonts w:ascii="Arial" w:hAnsi="Arial" w:cs="Arial"/>
          <w:b/>
          <w:lang w:eastAsia="zh-CN"/>
        </w:rPr>
        <w:fldChar w:fldCharType="separate"/>
      </w:r>
      <w:hyperlink w:anchor="_Toc528250550" w:history="1">
        <w:r w:rsidR="005F02A6" w:rsidRPr="005F02A6">
          <w:rPr>
            <w:rStyle w:val="Hyperlink"/>
            <w:rFonts w:ascii="Arial" w:hAnsi="Arial" w:cs="Arial"/>
            <w:noProof/>
          </w:rPr>
          <w:t>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Background</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_Toc528250550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5</w:t>
        </w:r>
        <w:r w:rsidR="005F02A6" w:rsidRPr="005F02A6">
          <w:rPr>
            <w:rFonts w:ascii="Arial" w:hAnsi="Arial" w:cs="Arial"/>
            <w:noProof/>
            <w:webHidden/>
          </w:rPr>
          <w:fldChar w:fldCharType="end"/>
        </w:r>
      </w:hyperlink>
    </w:p>
    <w:p w14:paraId="11E74CE4" w14:textId="6C9AC183"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1" w:history="1">
        <w:r w:rsidR="005F02A6" w:rsidRPr="005F02A6">
          <w:rPr>
            <w:rStyle w:val="Hyperlink"/>
            <w:rFonts w:ascii="Arial" w:hAnsi="Arial" w:cs="Arial"/>
            <w:noProof/>
          </w:rPr>
          <w:t>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Scope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_Toc528250551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6</w:t>
        </w:r>
        <w:r w:rsidR="005F02A6" w:rsidRPr="005F02A6">
          <w:rPr>
            <w:rFonts w:ascii="Arial" w:hAnsi="Arial" w:cs="Arial"/>
            <w:noProof/>
            <w:webHidden/>
          </w:rPr>
          <w:fldChar w:fldCharType="end"/>
        </w:r>
      </w:hyperlink>
    </w:p>
    <w:p w14:paraId="717D8FE1" w14:textId="07FEB2CF"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2" w:history="1">
        <w:r w:rsidR="005F02A6" w:rsidRPr="005F02A6">
          <w:rPr>
            <w:rStyle w:val="Hyperlink"/>
            <w:rFonts w:ascii="Arial" w:hAnsi="Arial" w:cs="Arial"/>
            <w:noProof/>
          </w:rPr>
          <w:t>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Objectives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_Toc528250552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6</w:t>
        </w:r>
        <w:r w:rsidR="005F02A6" w:rsidRPr="005F02A6">
          <w:rPr>
            <w:rFonts w:ascii="Arial" w:hAnsi="Arial" w:cs="Arial"/>
            <w:noProof/>
            <w:webHidden/>
          </w:rPr>
          <w:fldChar w:fldCharType="end"/>
        </w:r>
      </w:hyperlink>
    </w:p>
    <w:p w14:paraId="7905AEC2" w14:textId="511E582F"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3" w:history="1">
        <w:r w:rsidR="005F02A6" w:rsidRPr="005F02A6">
          <w:rPr>
            <w:rStyle w:val="Hyperlink"/>
            <w:rFonts w:ascii="Arial" w:hAnsi="Arial" w:cs="Arial"/>
            <w:noProof/>
          </w:rPr>
          <w:t>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Document Ownership</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_Toc528250553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8</w:t>
        </w:r>
        <w:r w:rsidR="005F02A6" w:rsidRPr="005F02A6">
          <w:rPr>
            <w:rFonts w:ascii="Arial" w:hAnsi="Arial" w:cs="Arial"/>
            <w:noProof/>
            <w:webHidden/>
          </w:rPr>
          <w:fldChar w:fldCharType="end"/>
        </w:r>
      </w:hyperlink>
    </w:p>
    <w:p w14:paraId="6A0E4AC6" w14:textId="1429EAA1"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4" w:history="1">
        <w:r w:rsidR="005F02A6" w:rsidRPr="005F02A6">
          <w:rPr>
            <w:rStyle w:val="Hyperlink"/>
            <w:rFonts w:ascii="Arial" w:hAnsi="Arial" w:cs="Arial"/>
            <w:noProof/>
          </w:rPr>
          <w:t>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Risk Management Framework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_Toc528250554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9</w:t>
        </w:r>
        <w:r w:rsidR="005F02A6" w:rsidRPr="005F02A6">
          <w:rPr>
            <w:rFonts w:ascii="Arial" w:hAnsi="Arial" w:cs="Arial"/>
            <w:noProof/>
            <w:webHidden/>
          </w:rPr>
          <w:fldChar w:fldCharType="end"/>
        </w:r>
      </w:hyperlink>
    </w:p>
    <w:p w14:paraId="41578956" w14:textId="271AD70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5" w:history="1">
        <w:r w:rsidR="005F02A6" w:rsidRPr="005F02A6">
          <w:rPr>
            <w:rStyle w:val="Hyperlink"/>
            <w:rFonts w:ascii="Arial" w:hAnsi="Arial" w:cs="Arial"/>
            <w:noProof/>
            <w:lang w:eastAsia="zh-CN"/>
          </w:rPr>
          <w:t>6</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Business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_Toc528250555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10</w:t>
        </w:r>
        <w:r w:rsidR="005F02A6" w:rsidRPr="005F02A6">
          <w:rPr>
            <w:rFonts w:ascii="Arial" w:hAnsi="Arial" w:cs="Arial"/>
            <w:noProof/>
            <w:webHidden/>
          </w:rPr>
          <w:fldChar w:fldCharType="end"/>
        </w:r>
      </w:hyperlink>
    </w:p>
    <w:p w14:paraId="563C884D" w14:textId="4BB77497"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6" w:history="1">
        <w:r w:rsidR="005F02A6" w:rsidRPr="005F02A6">
          <w:rPr>
            <w:rStyle w:val="Hyperlink"/>
            <w:rFonts w:ascii="Arial" w:hAnsi="Arial" w:cs="Arial"/>
            <w:noProof/>
          </w:rPr>
          <w:t>6.1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Business Activities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_Toc528250556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10</w:t>
        </w:r>
        <w:r w:rsidR="005F02A6" w:rsidRPr="005F02A6">
          <w:rPr>
            <w:rFonts w:ascii="Arial" w:hAnsi="Arial" w:cs="Arial"/>
            <w:noProof/>
            <w:webHidden/>
          </w:rPr>
          <w:fldChar w:fldCharType="end"/>
        </w:r>
      </w:hyperlink>
    </w:p>
    <w:p w14:paraId="6B45C690" w14:textId="5800B147"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7" w:history="1">
        <w:r w:rsidR="005F02A6" w:rsidRPr="005F02A6">
          <w:rPr>
            <w:rStyle w:val="Hyperlink"/>
            <w:rFonts w:ascii="Arial" w:hAnsi="Arial" w:cs="Arial"/>
            <w:noProof/>
          </w:rPr>
          <w:t>6.2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Target Customers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_Toc528250557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12</w:t>
        </w:r>
        <w:r w:rsidR="005F02A6" w:rsidRPr="005F02A6">
          <w:rPr>
            <w:rFonts w:ascii="Arial" w:hAnsi="Arial" w:cs="Arial"/>
            <w:noProof/>
            <w:webHidden/>
          </w:rPr>
          <w:fldChar w:fldCharType="end"/>
        </w:r>
      </w:hyperlink>
    </w:p>
    <w:p w14:paraId="6EDF8549" w14:textId="2D9DC44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58" w:history="1">
        <w:r w:rsidR="005F02A6" w:rsidRPr="005F02A6">
          <w:rPr>
            <w:rStyle w:val="Hyperlink"/>
            <w:rFonts w:ascii="Arial" w:hAnsi="Arial" w:cs="Arial"/>
            <w:noProof/>
            <w:lang w:eastAsia="zh-CN"/>
          </w:rPr>
          <w:t>7</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Credit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_Toc528250558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16</w:t>
        </w:r>
        <w:r w:rsidR="005F02A6" w:rsidRPr="005F02A6">
          <w:rPr>
            <w:rFonts w:ascii="Arial" w:hAnsi="Arial" w:cs="Arial"/>
            <w:noProof/>
            <w:webHidden/>
          </w:rPr>
          <w:fldChar w:fldCharType="end"/>
        </w:r>
      </w:hyperlink>
    </w:p>
    <w:p w14:paraId="10092ED8" w14:textId="187F2585"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59" w:history="1">
        <w:r w:rsidR="005F02A6" w:rsidRPr="005F02A6">
          <w:rPr>
            <w:rStyle w:val="Hyperlink"/>
            <w:rFonts w:ascii="Arial" w:hAnsi="Arial" w:cs="Arial"/>
            <w:noProof/>
          </w:rPr>
          <w:t>7.1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_Toc528250559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16</w:t>
        </w:r>
        <w:r w:rsidR="005F02A6" w:rsidRPr="005F02A6">
          <w:rPr>
            <w:rFonts w:ascii="Arial" w:hAnsi="Arial" w:cs="Arial"/>
            <w:noProof/>
            <w:webHidden/>
          </w:rPr>
          <w:fldChar w:fldCharType="end"/>
        </w:r>
      </w:hyperlink>
    </w:p>
    <w:p w14:paraId="4B56C88B" w14:textId="60CF175C"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0" w:history="1">
        <w:r w:rsidR="005F02A6" w:rsidRPr="005F02A6">
          <w:rPr>
            <w:rStyle w:val="Hyperlink"/>
            <w:rFonts w:ascii="Arial" w:hAnsi="Arial" w:cs="Arial"/>
            <w:noProof/>
          </w:rPr>
          <w:t>7.2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Mitigation</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_Toc528250560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17</w:t>
        </w:r>
        <w:r w:rsidR="005F02A6" w:rsidRPr="005F02A6">
          <w:rPr>
            <w:rFonts w:ascii="Arial" w:hAnsi="Arial" w:cs="Arial"/>
            <w:noProof/>
            <w:webHidden/>
          </w:rPr>
          <w:fldChar w:fldCharType="end"/>
        </w:r>
      </w:hyperlink>
    </w:p>
    <w:p w14:paraId="5B585F8D" w14:textId="03C01F88"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1" w:history="1">
        <w:r w:rsidR="005F02A6" w:rsidRPr="005F02A6">
          <w:rPr>
            <w:rStyle w:val="Hyperlink"/>
            <w:rFonts w:ascii="Arial" w:hAnsi="Arial" w:cs="Arial"/>
            <w:noProof/>
          </w:rPr>
          <w:t>7.3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_Toc528250561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18</w:t>
        </w:r>
        <w:r w:rsidR="005F02A6" w:rsidRPr="005F02A6">
          <w:rPr>
            <w:rFonts w:ascii="Arial" w:hAnsi="Arial" w:cs="Arial"/>
            <w:noProof/>
            <w:webHidden/>
          </w:rPr>
          <w:fldChar w:fldCharType="end"/>
        </w:r>
      </w:hyperlink>
    </w:p>
    <w:p w14:paraId="68568301" w14:textId="7C866896"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2" w:history="1">
        <w:r w:rsidR="005F02A6" w:rsidRPr="005F02A6">
          <w:rPr>
            <w:rStyle w:val="Hyperlink"/>
            <w:rFonts w:ascii="Arial" w:hAnsi="Arial" w:cs="Arial"/>
            <w:noProof/>
          </w:rPr>
          <w:t>8</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Market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_Toc528250562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22</w:t>
        </w:r>
        <w:r w:rsidR="005F02A6" w:rsidRPr="005F02A6">
          <w:rPr>
            <w:rFonts w:ascii="Arial" w:hAnsi="Arial" w:cs="Arial"/>
            <w:noProof/>
            <w:webHidden/>
          </w:rPr>
          <w:fldChar w:fldCharType="end"/>
        </w:r>
      </w:hyperlink>
    </w:p>
    <w:p w14:paraId="59ECB4F3" w14:textId="4B674DEF"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3" w:history="1">
        <w:r w:rsidR="005F02A6" w:rsidRPr="005F02A6">
          <w:rPr>
            <w:rStyle w:val="Hyperlink"/>
            <w:rFonts w:ascii="Arial" w:hAnsi="Arial" w:cs="Arial"/>
            <w:noProof/>
          </w:rPr>
          <w:t>8.1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Market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_Toc528250563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22</w:t>
        </w:r>
        <w:r w:rsidR="005F02A6" w:rsidRPr="005F02A6">
          <w:rPr>
            <w:rFonts w:ascii="Arial" w:hAnsi="Arial" w:cs="Arial"/>
            <w:noProof/>
            <w:webHidden/>
          </w:rPr>
          <w:fldChar w:fldCharType="end"/>
        </w:r>
      </w:hyperlink>
    </w:p>
    <w:p w14:paraId="68E6A438" w14:textId="5525A503"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4" w:history="1">
        <w:r w:rsidR="005F02A6" w:rsidRPr="005F02A6">
          <w:rPr>
            <w:rStyle w:val="Hyperlink"/>
            <w:rFonts w:ascii="Arial" w:hAnsi="Arial" w:cs="Arial"/>
            <w:noProof/>
          </w:rPr>
          <w:t>8.2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Foreign Exchange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_Toc528250564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22</w:t>
        </w:r>
        <w:r w:rsidR="005F02A6" w:rsidRPr="005F02A6">
          <w:rPr>
            <w:rFonts w:ascii="Arial" w:hAnsi="Arial" w:cs="Arial"/>
            <w:noProof/>
            <w:webHidden/>
          </w:rPr>
          <w:fldChar w:fldCharType="end"/>
        </w:r>
      </w:hyperlink>
    </w:p>
    <w:p w14:paraId="7336DF4B" w14:textId="2038401B"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5" w:history="1">
        <w:r w:rsidR="005F02A6" w:rsidRPr="005F02A6">
          <w:rPr>
            <w:rStyle w:val="Hyperlink"/>
            <w:rFonts w:ascii="Arial" w:hAnsi="Arial" w:cs="Arial"/>
            <w:noProof/>
          </w:rPr>
          <w:t>8.3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Interest Rate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_Toc528250565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23</w:t>
        </w:r>
        <w:r w:rsidR="005F02A6" w:rsidRPr="005F02A6">
          <w:rPr>
            <w:rFonts w:ascii="Arial" w:hAnsi="Arial" w:cs="Arial"/>
            <w:noProof/>
            <w:webHidden/>
          </w:rPr>
          <w:fldChar w:fldCharType="end"/>
        </w:r>
      </w:hyperlink>
    </w:p>
    <w:p w14:paraId="1B21301E" w14:textId="29000162"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6" w:history="1">
        <w:r w:rsidR="005F02A6" w:rsidRPr="005F02A6">
          <w:rPr>
            <w:rStyle w:val="Hyperlink"/>
            <w:rFonts w:ascii="Arial" w:hAnsi="Arial" w:cs="Arial"/>
            <w:noProof/>
          </w:rPr>
          <w:t>9</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_Toc528250566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26</w:t>
        </w:r>
        <w:r w:rsidR="005F02A6" w:rsidRPr="005F02A6">
          <w:rPr>
            <w:rFonts w:ascii="Arial" w:hAnsi="Arial" w:cs="Arial"/>
            <w:noProof/>
            <w:webHidden/>
          </w:rPr>
          <w:fldChar w:fldCharType="end"/>
        </w:r>
      </w:hyperlink>
    </w:p>
    <w:p w14:paraId="633FA9B7" w14:textId="0041E193"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7" w:history="1">
        <w:r w:rsidR="005F02A6" w:rsidRPr="005F02A6">
          <w:rPr>
            <w:rStyle w:val="Hyperlink"/>
            <w:rFonts w:ascii="Arial" w:hAnsi="Arial" w:cs="Arial"/>
            <w:noProof/>
          </w:rPr>
          <w:t>9.1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 measurement</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_Toc528250567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26</w:t>
        </w:r>
        <w:r w:rsidR="005F02A6" w:rsidRPr="005F02A6">
          <w:rPr>
            <w:rFonts w:ascii="Arial" w:hAnsi="Arial" w:cs="Arial"/>
            <w:noProof/>
            <w:webHidden/>
          </w:rPr>
          <w:fldChar w:fldCharType="end"/>
        </w:r>
      </w:hyperlink>
    </w:p>
    <w:p w14:paraId="1C5EC1E0" w14:textId="7A777720"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68" w:history="1">
        <w:r w:rsidR="005F02A6" w:rsidRPr="005F02A6">
          <w:rPr>
            <w:rStyle w:val="Hyperlink"/>
            <w:rFonts w:ascii="Arial" w:hAnsi="Arial" w:cs="Arial"/>
            <w:noProof/>
          </w:rPr>
          <w:t>9.2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_Toc528250568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27</w:t>
        </w:r>
        <w:r w:rsidR="005F02A6" w:rsidRPr="005F02A6">
          <w:rPr>
            <w:rFonts w:ascii="Arial" w:hAnsi="Arial" w:cs="Arial"/>
            <w:noProof/>
            <w:webHidden/>
          </w:rPr>
          <w:fldChar w:fldCharType="end"/>
        </w:r>
      </w:hyperlink>
    </w:p>
    <w:p w14:paraId="7A407388" w14:textId="542205B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69" w:history="1">
        <w:r w:rsidR="005F02A6" w:rsidRPr="005F02A6">
          <w:rPr>
            <w:rStyle w:val="Hyperlink"/>
            <w:rFonts w:ascii="Arial" w:hAnsi="Arial" w:cs="Arial"/>
            <w:noProof/>
          </w:rPr>
          <w:t>10</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_Toc528250569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28</w:t>
        </w:r>
        <w:r w:rsidR="005F02A6" w:rsidRPr="005F02A6">
          <w:rPr>
            <w:rFonts w:ascii="Arial" w:hAnsi="Arial" w:cs="Arial"/>
            <w:noProof/>
            <w:webHidden/>
          </w:rPr>
          <w:fldChar w:fldCharType="end"/>
        </w:r>
      </w:hyperlink>
    </w:p>
    <w:p w14:paraId="159D1B59" w14:textId="3841B504"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0" w:history="1">
        <w:r w:rsidR="005F02A6" w:rsidRPr="005F02A6">
          <w:rPr>
            <w:rStyle w:val="Hyperlink"/>
            <w:rFonts w:ascii="Arial" w:hAnsi="Arial" w:cs="Arial"/>
            <w:noProof/>
          </w:rPr>
          <w:t>10.1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_Toc528250570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28</w:t>
        </w:r>
        <w:r w:rsidR="005F02A6" w:rsidRPr="005F02A6">
          <w:rPr>
            <w:rFonts w:ascii="Arial" w:hAnsi="Arial" w:cs="Arial"/>
            <w:noProof/>
            <w:webHidden/>
          </w:rPr>
          <w:fldChar w:fldCharType="end"/>
        </w:r>
      </w:hyperlink>
    </w:p>
    <w:p w14:paraId="472EF162" w14:textId="4BCA2023"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1" w:history="1">
        <w:r w:rsidR="005F02A6" w:rsidRPr="005F02A6">
          <w:rPr>
            <w:rStyle w:val="Hyperlink"/>
            <w:rFonts w:ascii="Arial" w:hAnsi="Arial" w:cs="Arial"/>
            <w:noProof/>
          </w:rPr>
          <w:t>10.2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_Toc528250571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29</w:t>
        </w:r>
        <w:r w:rsidR="005F02A6" w:rsidRPr="005F02A6">
          <w:rPr>
            <w:rFonts w:ascii="Arial" w:hAnsi="Arial" w:cs="Arial"/>
            <w:noProof/>
            <w:webHidden/>
          </w:rPr>
          <w:fldChar w:fldCharType="end"/>
        </w:r>
      </w:hyperlink>
    </w:p>
    <w:p w14:paraId="6EEF2473" w14:textId="243FB5B5"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2" w:history="1">
        <w:r w:rsidR="005F02A6" w:rsidRPr="005F02A6">
          <w:rPr>
            <w:rStyle w:val="Hyperlink"/>
            <w:rFonts w:ascii="Arial" w:hAnsi="Arial" w:cs="Arial"/>
            <w:noProof/>
          </w:rPr>
          <w:t>11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Other Risks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_Toc528250572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30</w:t>
        </w:r>
        <w:r w:rsidR="005F02A6" w:rsidRPr="005F02A6">
          <w:rPr>
            <w:rFonts w:ascii="Arial" w:hAnsi="Arial" w:cs="Arial"/>
            <w:noProof/>
            <w:webHidden/>
          </w:rPr>
          <w:fldChar w:fldCharType="end"/>
        </w:r>
      </w:hyperlink>
    </w:p>
    <w:p w14:paraId="67564689" w14:textId="3B2AB62C"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3" w:history="1">
        <w:r w:rsidR="005F02A6" w:rsidRPr="005F02A6">
          <w:rPr>
            <w:rStyle w:val="Hyperlink"/>
            <w:rFonts w:ascii="Arial" w:hAnsi="Arial" w:cs="Arial"/>
            <w:noProof/>
          </w:rPr>
          <w:t>11.1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Legal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_Toc528250573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30</w:t>
        </w:r>
        <w:r w:rsidR="005F02A6" w:rsidRPr="005F02A6">
          <w:rPr>
            <w:rFonts w:ascii="Arial" w:hAnsi="Arial" w:cs="Arial"/>
            <w:noProof/>
            <w:webHidden/>
          </w:rPr>
          <w:fldChar w:fldCharType="end"/>
        </w:r>
      </w:hyperlink>
    </w:p>
    <w:p w14:paraId="73DCF239" w14:textId="709B9285"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4" w:history="1">
        <w:r w:rsidR="005F02A6" w:rsidRPr="005F02A6">
          <w:rPr>
            <w:rStyle w:val="Hyperlink"/>
            <w:rFonts w:ascii="Arial" w:hAnsi="Arial" w:cs="Arial"/>
            <w:noProof/>
          </w:rPr>
          <w:t>11.2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Compliance and Regulatory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_Toc528250574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31</w:t>
        </w:r>
        <w:r w:rsidR="005F02A6" w:rsidRPr="005F02A6">
          <w:rPr>
            <w:rFonts w:ascii="Arial" w:hAnsi="Arial" w:cs="Arial"/>
            <w:noProof/>
            <w:webHidden/>
          </w:rPr>
          <w:fldChar w:fldCharType="end"/>
        </w:r>
      </w:hyperlink>
    </w:p>
    <w:p w14:paraId="7E456997" w14:textId="1B50DEAC"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5" w:history="1">
        <w:r w:rsidR="005F02A6" w:rsidRPr="005F02A6">
          <w:rPr>
            <w:rStyle w:val="Hyperlink"/>
            <w:rFonts w:ascii="Arial" w:hAnsi="Arial" w:cs="Arial"/>
            <w:noProof/>
          </w:rPr>
          <w:t>11.3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Strategic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_Toc528250575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32</w:t>
        </w:r>
        <w:r w:rsidR="005F02A6" w:rsidRPr="005F02A6">
          <w:rPr>
            <w:rFonts w:ascii="Arial" w:hAnsi="Arial" w:cs="Arial"/>
            <w:noProof/>
            <w:webHidden/>
          </w:rPr>
          <w:fldChar w:fldCharType="end"/>
        </w:r>
      </w:hyperlink>
    </w:p>
    <w:p w14:paraId="47F0D3D8" w14:textId="087B24C2"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6" w:history="1">
        <w:r w:rsidR="005F02A6" w:rsidRPr="005F02A6">
          <w:rPr>
            <w:rStyle w:val="Hyperlink"/>
            <w:rFonts w:ascii="Arial" w:hAnsi="Arial" w:cs="Arial"/>
            <w:noProof/>
          </w:rPr>
          <w:t>11.4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Conduct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_Toc528250576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35</w:t>
        </w:r>
        <w:r w:rsidR="005F02A6" w:rsidRPr="005F02A6">
          <w:rPr>
            <w:rFonts w:ascii="Arial" w:hAnsi="Arial" w:cs="Arial"/>
            <w:noProof/>
            <w:webHidden/>
          </w:rPr>
          <w:fldChar w:fldCharType="end"/>
        </w:r>
      </w:hyperlink>
    </w:p>
    <w:p w14:paraId="7CFBE766" w14:textId="773DE9C2"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77" w:history="1">
        <w:r w:rsidR="005F02A6" w:rsidRPr="005F02A6">
          <w:rPr>
            <w:rStyle w:val="Hyperlink"/>
            <w:rFonts w:ascii="Arial" w:hAnsi="Arial" w:cs="Arial"/>
            <w:noProof/>
          </w:rPr>
          <w:t>11.5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Outsourcing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_Toc528250577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37</w:t>
        </w:r>
        <w:r w:rsidR="005F02A6" w:rsidRPr="005F02A6">
          <w:rPr>
            <w:rFonts w:ascii="Arial" w:hAnsi="Arial" w:cs="Arial"/>
            <w:noProof/>
            <w:webHidden/>
          </w:rPr>
          <w:fldChar w:fldCharType="end"/>
        </w:r>
      </w:hyperlink>
    </w:p>
    <w:p w14:paraId="66E91D67" w14:textId="1D3DBC07"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8" w:history="1">
        <w:r w:rsidR="005F02A6" w:rsidRPr="005F02A6">
          <w:rPr>
            <w:rStyle w:val="Hyperlink"/>
            <w:rFonts w:ascii="Arial" w:hAnsi="Arial" w:cs="Arial"/>
            <w:noProof/>
          </w:rPr>
          <w:t>12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IT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_Toc528250578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39</w:t>
        </w:r>
        <w:r w:rsidR="005F02A6" w:rsidRPr="005F02A6">
          <w:rPr>
            <w:rFonts w:ascii="Arial" w:hAnsi="Arial" w:cs="Arial"/>
            <w:noProof/>
            <w:webHidden/>
          </w:rPr>
          <w:fldChar w:fldCharType="end"/>
        </w:r>
      </w:hyperlink>
    </w:p>
    <w:p w14:paraId="1819E13F" w14:textId="6463187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79" w:history="1">
        <w:r w:rsidR="005F02A6" w:rsidRPr="005F02A6">
          <w:rPr>
            <w:rStyle w:val="Hyperlink"/>
            <w:rFonts w:ascii="Arial" w:hAnsi="Arial" w:cs="Arial"/>
            <w:noProof/>
            <w:lang w:eastAsia="zh-CN"/>
          </w:rPr>
          <w:t>13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Risk Appetite Statement - Governance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_Toc528250579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39</w:t>
        </w:r>
        <w:r w:rsidR="005F02A6" w:rsidRPr="005F02A6">
          <w:rPr>
            <w:rFonts w:ascii="Arial" w:hAnsi="Arial" w:cs="Arial"/>
            <w:noProof/>
            <w:webHidden/>
          </w:rPr>
          <w:fldChar w:fldCharType="end"/>
        </w:r>
      </w:hyperlink>
    </w:p>
    <w:p w14:paraId="33E2E5C9" w14:textId="48AE1805"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0" w:history="1">
        <w:r w:rsidR="005F02A6" w:rsidRPr="005F02A6">
          <w:rPr>
            <w:rStyle w:val="Hyperlink"/>
            <w:rFonts w:ascii="Arial" w:hAnsi="Arial" w:cs="Arial"/>
            <w:noProof/>
          </w:rPr>
          <w:t>13.1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Exceptions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_Toc528250580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39</w:t>
        </w:r>
        <w:r w:rsidR="005F02A6" w:rsidRPr="005F02A6">
          <w:rPr>
            <w:rFonts w:ascii="Arial" w:hAnsi="Arial" w:cs="Arial"/>
            <w:noProof/>
            <w:webHidden/>
          </w:rPr>
          <w:fldChar w:fldCharType="end"/>
        </w:r>
      </w:hyperlink>
    </w:p>
    <w:p w14:paraId="229616D4" w14:textId="59DC57A6"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1" w:history="1">
        <w:r w:rsidR="005F02A6" w:rsidRPr="005F02A6">
          <w:rPr>
            <w:rStyle w:val="Hyperlink"/>
            <w:rFonts w:ascii="Arial" w:hAnsi="Arial" w:cs="Arial"/>
            <w:noProof/>
          </w:rPr>
          <w:t>13.2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Stress Testing</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_Toc528250581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40</w:t>
        </w:r>
        <w:r w:rsidR="005F02A6" w:rsidRPr="005F02A6">
          <w:rPr>
            <w:rFonts w:ascii="Arial" w:hAnsi="Arial" w:cs="Arial"/>
            <w:noProof/>
            <w:webHidden/>
          </w:rPr>
          <w:fldChar w:fldCharType="end"/>
        </w:r>
      </w:hyperlink>
    </w:p>
    <w:p w14:paraId="72F68F71" w14:textId="751B615B"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2" w:history="1">
        <w:r w:rsidR="005F02A6" w:rsidRPr="005F02A6">
          <w:rPr>
            <w:rStyle w:val="Hyperlink"/>
            <w:rFonts w:ascii="Arial" w:hAnsi="Arial" w:cs="Arial"/>
            <w:noProof/>
          </w:rPr>
          <w:t>13.3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Management Information and Reporting</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_Toc528250582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40</w:t>
        </w:r>
        <w:r w:rsidR="005F02A6" w:rsidRPr="005F02A6">
          <w:rPr>
            <w:rFonts w:ascii="Arial" w:hAnsi="Arial" w:cs="Arial"/>
            <w:noProof/>
            <w:webHidden/>
          </w:rPr>
          <w:fldChar w:fldCharType="end"/>
        </w:r>
      </w:hyperlink>
    </w:p>
    <w:p w14:paraId="77E9C660" w14:textId="3672C909"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3" w:history="1">
        <w:r w:rsidR="005F02A6" w:rsidRPr="005F02A6">
          <w:rPr>
            <w:rStyle w:val="Hyperlink"/>
            <w:rFonts w:ascii="Arial" w:hAnsi="Arial" w:cs="Arial"/>
            <w:noProof/>
          </w:rPr>
          <w:t>13.4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Escalation of RAS Breaches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_Toc528250583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41</w:t>
        </w:r>
        <w:r w:rsidR="005F02A6" w:rsidRPr="005F02A6">
          <w:rPr>
            <w:rFonts w:ascii="Arial" w:hAnsi="Arial" w:cs="Arial"/>
            <w:noProof/>
            <w:webHidden/>
          </w:rPr>
          <w:fldChar w:fldCharType="end"/>
        </w:r>
      </w:hyperlink>
    </w:p>
    <w:p w14:paraId="5E6C5978" w14:textId="6C97242D"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4" w:history="1">
        <w:r w:rsidR="005F02A6" w:rsidRPr="005F02A6">
          <w:rPr>
            <w:rStyle w:val="Hyperlink"/>
            <w:rFonts w:ascii="Arial" w:hAnsi="Arial" w:cs="Arial"/>
            <w:noProof/>
          </w:rPr>
          <w:t>13.5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RAS Usage in CNCBLB</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_Toc528250584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42</w:t>
        </w:r>
        <w:r w:rsidR="005F02A6" w:rsidRPr="005F02A6">
          <w:rPr>
            <w:rFonts w:ascii="Arial" w:hAnsi="Arial" w:cs="Arial"/>
            <w:noProof/>
            <w:webHidden/>
          </w:rPr>
          <w:fldChar w:fldCharType="end"/>
        </w:r>
      </w:hyperlink>
    </w:p>
    <w:p w14:paraId="7DB12F86" w14:textId="7D53BE3E"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hyperlink w:anchor="_Toc528250585" w:history="1">
        <w:r w:rsidR="005F02A6" w:rsidRPr="005F02A6">
          <w:rPr>
            <w:rStyle w:val="Hyperlink"/>
            <w:rFonts w:ascii="Arial" w:hAnsi="Arial" w:cs="Arial"/>
            <w:noProof/>
          </w:rPr>
          <w:t>13.6</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RAS Approval and Update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_Toc528250585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42</w:t>
        </w:r>
        <w:r w:rsidR="005F02A6" w:rsidRPr="005F02A6">
          <w:rPr>
            <w:rFonts w:ascii="Arial" w:hAnsi="Arial" w:cs="Arial"/>
            <w:noProof/>
            <w:webHidden/>
          </w:rPr>
          <w:fldChar w:fldCharType="end"/>
        </w:r>
      </w:hyperlink>
    </w:p>
    <w:p w14:paraId="11792D35" w14:textId="10B63FF2"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hyperlink w:anchor="_Toc528250586" w:history="1">
        <w:r w:rsidR="005F02A6" w:rsidRPr="005F02A6">
          <w:rPr>
            <w:rStyle w:val="Hyperlink"/>
            <w:rFonts w:ascii="Arial" w:hAnsi="Arial" w:cs="Arial"/>
            <w:noProof/>
            <w:lang w:val="en-GB" w:eastAsia="zh-CN"/>
          </w:rPr>
          <w:t>14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Appendix A – HO Delegated Authority</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_Toc528250586 \h </w:instrText>
        </w:r>
        <w:r w:rsidR="005F02A6" w:rsidRPr="005F02A6">
          <w:rPr>
            <w:rFonts w:ascii="Arial" w:hAnsi="Arial" w:cs="Arial"/>
            <w:noProof/>
            <w:webHidden/>
          </w:rPr>
        </w:r>
        <w:r w:rsidR="005F02A6" w:rsidRPr="005F02A6">
          <w:rPr>
            <w:rFonts w:ascii="Arial" w:hAnsi="Arial" w:cs="Arial"/>
            <w:noProof/>
            <w:webHidden/>
          </w:rPr>
          <w:fldChar w:fldCharType="separate"/>
        </w:r>
        <w:r w:rsidR="003C0D7A">
          <w:rPr>
            <w:rFonts w:ascii="Arial" w:hAnsi="Arial" w:cs="Arial"/>
            <w:noProof/>
            <w:webHidden/>
          </w:rPr>
          <w:t>43</w:t>
        </w:r>
        <w:r w:rsidR="005F02A6" w:rsidRPr="005F02A6">
          <w:rPr>
            <w:rFonts w:ascii="Arial" w:hAnsi="Arial" w:cs="Arial"/>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275564">
        <w:rPr>
          <w:rFonts w:ascii="Arial" w:hAnsi="Arial" w:cs="Arial"/>
          <w:b w:val="0"/>
          <w:sz w:val="22"/>
          <w:lang w:eastAsia="zh-CN"/>
        </w:rPr>
        <w:fldChar w:fldCharType="end"/>
      </w:r>
      <w:bookmarkStart w:id="1" w:name="_Toc389145972"/>
      <w:bookmarkStart w:id="2" w:name="_Toc389143244"/>
      <w:bookmarkStart w:id="3" w:name="_Toc389229974"/>
      <w:bookmarkStart w:id="4" w:name="_Toc389229975"/>
      <w:bookmarkStart w:id="5" w:name="_Toc389164252"/>
      <w:bookmarkStart w:id="6" w:name="_Toc389229808"/>
      <w:bookmarkStart w:id="7" w:name="_Toc389229758"/>
      <w:bookmarkStart w:id="8" w:name="_Toc389164736"/>
      <w:bookmarkStart w:id="9" w:name="_Toc389145973"/>
      <w:bookmarkStart w:id="10" w:name="_Toc389229807"/>
      <w:bookmarkStart w:id="11" w:name="_Toc389164253"/>
      <w:bookmarkStart w:id="12" w:name="_Toc389230803"/>
      <w:bookmarkStart w:id="13" w:name="_Toc389229856"/>
      <w:bookmarkStart w:id="14" w:name="_Toc389143243"/>
      <w:bookmarkStart w:id="15" w:name="_Toc389230802"/>
      <w:bookmarkStart w:id="16" w:name="_Toc389229857"/>
      <w:bookmarkStart w:id="17" w:name="_Toc389229757"/>
      <w:bookmarkStart w:id="18" w:name="_Toc3891647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3339F3">
        <w:rPr>
          <w:rFonts w:ascii="Arial" w:hAnsi="Arial" w:cs="Arial"/>
          <w:sz w:val="22"/>
          <w:lang w:eastAsia="zh-CN"/>
        </w:rPr>
        <w:br w:type="page"/>
      </w:r>
      <w:bookmarkStart w:id="19" w:name="_GoBack"/>
      <w:bookmarkEnd w:id="19"/>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0" w:name="_Toc528250550"/>
      <w:bookmarkStart w:id="21" w:name="_Toc254113860"/>
      <w:bookmarkStart w:id="22" w:name="_Toc254113504"/>
      <w:r w:rsidRPr="00ED30C5">
        <w:rPr>
          <w:rFonts w:ascii="Arial" w:hAnsi="Arial" w:cs="Arial"/>
          <w:color w:val="auto"/>
          <w:sz w:val="22"/>
          <w:szCs w:val="22"/>
        </w:rPr>
        <w:lastRenderedPageBreak/>
        <w:t>Background</w:t>
      </w:r>
      <w:bookmarkEnd w:id="20"/>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and operates in London as a wholesale bank authorised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375314DB"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xml:space="preserve">– HO Delegated Authority)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cognisant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3" w:name="_Toc460313311"/>
      <w:bookmarkStart w:id="24" w:name="_Toc456102114"/>
      <w:bookmarkStart w:id="25" w:name="_Toc528250551"/>
      <w:r w:rsidRPr="00ED30C5">
        <w:rPr>
          <w:rFonts w:ascii="Arial" w:hAnsi="Arial" w:cs="Arial"/>
          <w:color w:val="auto"/>
          <w:sz w:val="22"/>
          <w:szCs w:val="22"/>
        </w:rPr>
        <w:lastRenderedPageBreak/>
        <w:t>Scope</w:t>
      </w:r>
      <w:bookmarkEnd w:id="23"/>
      <w:bookmarkEnd w:id="24"/>
      <w:bookmarkEnd w:id="2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through its delegation of authority (“DOA”) to the President of the Branch has authorised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6" w:name="_Toc507562597"/>
      <w:bookmarkStart w:id="27" w:name="_Toc507562850"/>
      <w:bookmarkStart w:id="28" w:name="_Toc507562599"/>
      <w:bookmarkStart w:id="29" w:name="_Toc507562852"/>
      <w:bookmarkStart w:id="30" w:name="_Toc507562600"/>
      <w:bookmarkStart w:id="31" w:name="_Toc507562853"/>
      <w:bookmarkStart w:id="32" w:name="_Toc528250552"/>
      <w:bookmarkEnd w:id="26"/>
      <w:bookmarkEnd w:id="27"/>
      <w:bookmarkEnd w:id="28"/>
      <w:bookmarkEnd w:id="29"/>
      <w:bookmarkEnd w:id="30"/>
      <w:bookmarkEnd w:id="31"/>
      <w:r w:rsidRPr="00ED30C5">
        <w:rPr>
          <w:rFonts w:ascii="Arial" w:hAnsi="Arial" w:cs="Arial"/>
          <w:color w:val="auto"/>
          <w:sz w:val="22"/>
          <w:szCs w:val="22"/>
        </w:rPr>
        <w:t>Objectives</w:t>
      </w:r>
      <w:bookmarkEnd w:id="3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the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B3DAE30" w14:textId="77777777" w:rsidR="009E219D" w:rsidRPr="00ED30C5" w:rsidRDefault="009E219D" w:rsidP="005659D2">
      <w:pPr>
        <w:spacing w:before="0" w:after="0" w:line="360" w:lineRule="auto"/>
        <w:rPr>
          <w:rFonts w:ascii="Arial" w:hAnsi="Arial" w:cs="Arial"/>
          <w:lang w:eastAsia="zh-CN"/>
        </w:rPr>
      </w:pPr>
    </w:p>
    <w:p w14:paraId="4ADC9060" w14:textId="77777777" w:rsidR="008417CE" w:rsidRPr="00ED30C5" w:rsidRDefault="008417CE" w:rsidP="005659D2">
      <w:pPr>
        <w:spacing w:before="0" w:after="0" w:line="360" w:lineRule="auto"/>
        <w:rPr>
          <w:rFonts w:ascii="Arial" w:hAnsi="Arial" w:cs="Arial"/>
          <w:b/>
          <w:bCs/>
        </w:rPr>
      </w:pPr>
      <w:bookmarkStart w:id="33" w:name="_Toc507562602"/>
      <w:bookmarkStart w:id="34" w:name="_Toc507562855"/>
      <w:bookmarkStart w:id="35" w:name="_Toc507562603"/>
      <w:bookmarkStart w:id="36" w:name="_Toc507562856"/>
      <w:bookmarkStart w:id="37" w:name="_Toc507562604"/>
      <w:bookmarkStart w:id="38" w:name="_Toc507562857"/>
      <w:bookmarkStart w:id="39" w:name="_Toc461615516"/>
      <w:bookmarkStart w:id="40" w:name="_Toc461615477"/>
      <w:bookmarkStart w:id="41" w:name="_Toc461615517"/>
      <w:bookmarkStart w:id="42" w:name="_Toc461615475"/>
      <w:bookmarkStart w:id="43" w:name="_Toc461615511"/>
      <w:bookmarkStart w:id="44" w:name="_Toc461615476"/>
      <w:bookmarkStart w:id="45" w:name="_Toc461615512"/>
      <w:bookmarkStart w:id="46" w:name="_Toc461615480"/>
      <w:bookmarkStart w:id="47" w:name="_Toc461615515"/>
      <w:bookmarkStart w:id="48" w:name="_Toc461615514"/>
      <w:bookmarkStart w:id="49" w:name="_Toc461615479"/>
      <w:bookmarkStart w:id="50" w:name="_Toc461615478"/>
      <w:bookmarkStart w:id="51" w:name="_Toc461615481"/>
      <w:bookmarkStart w:id="52" w:name="_Toc461615513"/>
      <w:bookmarkStart w:id="53" w:name="_Toc40236752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4" w:name="_Toc528250553"/>
      <w:r w:rsidRPr="00ED30C5">
        <w:rPr>
          <w:rFonts w:ascii="Arial" w:hAnsi="Arial" w:cs="Arial"/>
          <w:color w:val="auto"/>
          <w:sz w:val="22"/>
          <w:szCs w:val="22"/>
        </w:rPr>
        <w:lastRenderedPageBreak/>
        <w:t>Document Ownership</w:t>
      </w:r>
      <w:bookmarkEnd w:id="5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ManCo.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The CRO will recommend this action as appropriate for the ARCo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0C912A60" w:rsidR="00054EF6" w:rsidRPr="00ED30C5" w:rsidRDefault="00703D2C" w:rsidP="005659D2">
            <w:pPr>
              <w:spacing w:before="0" w:after="0" w:line="360" w:lineRule="auto"/>
              <w:rPr>
                <w:rFonts w:ascii="Arial" w:hAnsi="Arial" w:cs="Arial"/>
              </w:rPr>
            </w:pPr>
            <w:r w:rsidRPr="00ED30C5">
              <w:rPr>
                <w:rFonts w:ascii="Arial" w:hAnsi="Arial" w:cs="Arial"/>
              </w:rPr>
              <w:t>The ARCo will review and challenge this document at least annually or more frequently as necessary. It will provide challenge to any changes suggested by the CRO before any proposed changes are put to the ManCo for decision.</w:t>
            </w:r>
          </w:p>
          <w:p w14:paraId="381354C1" w14:textId="77777777" w:rsidR="006F5D25" w:rsidRPr="00ED30C5" w:rsidRDefault="006F5D25" w:rsidP="005659D2">
            <w:pPr>
              <w:spacing w:before="0" w:after="0" w:line="360" w:lineRule="auto"/>
              <w:rPr>
                <w:rFonts w:ascii="Arial" w:hAnsi="Arial" w:cs="Arial"/>
              </w:rPr>
            </w:pPr>
          </w:p>
          <w:p w14:paraId="52C5C502" w14:textId="77777777" w:rsidR="009E219D" w:rsidRPr="00ED30C5" w:rsidRDefault="00054EF6" w:rsidP="005659D2">
            <w:pPr>
              <w:spacing w:before="0" w:after="0" w:line="360" w:lineRule="auto"/>
              <w:rPr>
                <w:rFonts w:ascii="Arial" w:hAnsi="Arial" w:cs="Arial"/>
              </w:rPr>
            </w:pPr>
            <w:r w:rsidRPr="00ED30C5">
              <w:rPr>
                <w:rFonts w:ascii="Arial" w:hAnsi="Arial" w:cs="Arial"/>
              </w:rPr>
              <w:t>Following their review, the ARCo will recommend (or otherwise) that the ManCo approves the RAS.</w:t>
            </w: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ManCo 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of the President’s DOA</w:t>
            </w:r>
            <w:r w:rsidRPr="00ED30C5">
              <w:rPr>
                <w:rFonts w:ascii="Arial" w:hAnsi="Arial" w:cs="Arial"/>
              </w:rPr>
              <w:t xml:space="preserve">. </w:t>
            </w:r>
          </w:p>
          <w:p w14:paraId="737B8058" w14:textId="2BB0020B" w:rsidR="006F5D25" w:rsidRPr="00ED30C5" w:rsidRDefault="006F5D25" w:rsidP="005659D2">
            <w:pPr>
              <w:spacing w:before="0" w:after="0" w:line="360" w:lineRule="auto"/>
              <w:rPr>
                <w:rFonts w:ascii="Arial" w:hAnsi="Arial" w:cs="Arial"/>
              </w:rPr>
            </w:pP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5"/>
          </w:p>
        </w:tc>
      </w:tr>
    </w:tbl>
    <w:p w14:paraId="7E6A3328" w14:textId="77777777" w:rsidR="009E219D" w:rsidRPr="00ED30C5" w:rsidRDefault="009E219D" w:rsidP="005659D2">
      <w:pPr>
        <w:spacing w:before="0" w:after="0" w:line="360" w:lineRule="auto"/>
        <w:rPr>
          <w:rFonts w:ascii="Arial" w:hAnsi="Arial" w:cs="Arial"/>
          <w:lang w:val="en-GB" w:eastAsia="en-GB" w:bidi="ar-SA"/>
        </w:rPr>
      </w:pPr>
    </w:p>
    <w:p w14:paraId="48E54CB7" w14:textId="77777777" w:rsidR="008417CE" w:rsidRPr="00ED30C5" w:rsidRDefault="008417CE" w:rsidP="005659D2">
      <w:pPr>
        <w:spacing w:before="0" w:after="0" w:line="360" w:lineRule="auto"/>
        <w:rPr>
          <w:rFonts w:ascii="Arial" w:hAnsi="Arial" w:cs="Arial"/>
          <w:b/>
          <w:bCs/>
        </w:rPr>
      </w:pPr>
      <w:bookmarkStart w:id="56" w:name="_Toc457384933"/>
      <w:bookmarkEnd w:id="21"/>
      <w:bookmarkEnd w:id="22"/>
      <w:bookmarkEnd w:id="53"/>
      <w:r w:rsidRPr="00ED30C5">
        <w:rPr>
          <w:rFonts w:ascii="Arial" w:hAnsi="Arial" w:cs="Arial"/>
        </w:rPr>
        <w:br w:type="page"/>
      </w:r>
    </w:p>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7" w:name="_Toc528250554"/>
      <w:r w:rsidRPr="00ED30C5">
        <w:rPr>
          <w:rFonts w:ascii="Arial" w:hAnsi="Arial" w:cs="Arial"/>
          <w:color w:val="auto"/>
          <w:sz w:val="22"/>
          <w:szCs w:val="22"/>
        </w:rPr>
        <w:lastRenderedPageBreak/>
        <w:t>Risk Management Framework</w:t>
      </w:r>
      <w:bookmarkEnd w:id="57"/>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r w:rsidR="006F5D25" w:rsidRPr="00ED30C5">
        <w:rPr>
          <w:rFonts w:ascii="Arial" w:hAnsi="Arial" w:cs="Arial"/>
          <w:szCs w:val="22"/>
        </w:rPr>
        <w:t>ARCo</w:t>
      </w:r>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Three Line of Defence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8" w:name="_Toc507562872"/>
      <w:bookmarkStart w:id="59" w:name="_Toc507562873"/>
      <w:bookmarkStart w:id="60" w:name="_Toc528250555"/>
      <w:bookmarkEnd w:id="58"/>
      <w:bookmarkEnd w:id="59"/>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56"/>
      <w:bookmarkEnd w:id="60"/>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authorised to carry out both by HO and the UK regulatory authorities. This means that any activities not included within this section will not be carried out by the Branch. </w:t>
      </w:r>
    </w:p>
    <w:p w14:paraId="4D440689" w14:textId="77777777" w:rsidR="000339C9" w:rsidRPr="00ED30C5" w:rsidRDefault="000339C9" w:rsidP="005659D2">
      <w:pPr>
        <w:pStyle w:val="BodyText"/>
        <w:spacing w:before="0" w:after="0" w:line="360" w:lineRule="auto"/>
        <w:jc w:val="left"/>
        <w:rPr>
          <w:rFonts w:ascii="Arial" w:hAnsi="Arial" w:cs="Arial"/>
          <w:szCs w:val="2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1" w:name="_Toc528250556"/>
      <w:r w:rsidRPr="00ED30C5">
        <w:rPr>
          <w:rFonts w:ascii="Arial" w:hAnsi="Arial" w:cs="Arial"/>
          <w:color w:val="auto"/>
          <w:sz w:val="22"/>
          <w:szCs w:val="22"/>
        </w:rPr>
        <w:t>Business Activities</w:t>
      </w:r>
      <w:bookmarkEnd w:id="61"/>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49FCE10C" w14:textId="3A76EA2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F6878A3"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486D822A" w14:textId="1E227B3E" w:rsidR="00FD7F24" w:rsidRP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15045D3F" w14:textId="40BD362F" w:rsidR="009153CA" w:rsidRDefault="009153CA" w:rsidP="005659D2">
      <w:pPr>
        <w:pStyle w:val="BodyText"/>
        <w:spacing w:before="0" w:after="0" w:line="360" w:lineRule="auto"/>
        <w:jc w:val="left"/>
        <w:rPr>
          <w:rFonts w:ascii="Arial" w:hAnsi="Arial" w:cs="Arial"/>
          <w:szCs w:val="22"/>
        </w:rPr>
      </w:pPr>
    </w:p>
    <w:p w14:paraId="023F89CB" w14:textId="77777777" w:rsidR="00A4667E" w:rsidRDefault="00A4667E" w:rsidP="005659D2">
      <w:pPr>
        <w:pStyle w:val="BodyText"/>
        <w:spacing w:before="0" w:after="0" w:line="360" w:lineRule="auto"/>
        <w:jc w:val="left"/>
        <w:rPr>
          <w:rFonts w:ascii="Arial" w:hAnsi="Arial" w:cs="Arial"/>
          <w:szCs w:val="22"/>
        </w:rPr>
      </w:pPr>
    </w:p>
    <w:p w14:paraId="64412A19" w14:textId="1F18F100" w:rsidR="007A6316" w:rsidRPr="00ED30C5" w:rsidRDefault="00DB56D3" w:rsidP="005C19B7">
      <w:pPr>
        <w:pStyle w:val="BodyText"/>
        <w:spacing w:before="0" w:after="0" w:line="360" w:lineRule="auto"/>
        <w:jc w:val="left"/>
        <w:rPr>
          <w:rFonts w:ascii="Arial" w:hAnsi="Arial" w:cs="Arial"/>
          <w:b/>
          <w:bCs/>
          <w:lang w:val="en-GB" w:eastAsia="zh-CN"/>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62" w:name="_Toc507562619"/>
      <w:bookmarkStart w:id="63" w:name="_Toc507562877"/>
      <w:bookmarkEnd w:id="62"/>
      <w:bookmarkEnd w:id="63"/>
      <w:r w:rsidR="007A6316" w:rsidRPr="00ED30C5">
        <w:rPr>
          <w:rFonts w:ascii="Arial" w:hAnsi="Arial" w:cs="Arial"/>
        </w:rPr>
        <w:br w:type="page"/>
      </w: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4" w:name="_Toc528250557"/>
      <w:r w:rsidRPr="00ED30C5">
        <w:rPr>
          <w:rFonts w:ascii="Arial" w:hAnsi="Arial" w:cs="Arial"/>
          <w:color w:val="auto"/>
          <w:sz w:val="22"/>
          <w:szCs w:val="22"/>
        </w:rPr>
        <w:lastRenderedPageBreak/>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4"/>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022"/>
        <w:gridCol w:w="3019"/>
      </w:tblGrid>
      <w:tr w:rsidR="00333CF4" w:rsidRPr="00ED30C5" w14:paraId="63E3D6CA" w14:textId="77777777" w:rsidTr="00304D86">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2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301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304D86">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02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CITIC Construction, CITIC Heavy Industries, CITIC Dicastal, CITIC Pacific, CITIC Financial Leasing, CITIC Capital, and CITIC Securities</w:t>
            </w:r>
          </w:p>
        </w:tc>
        <w:tc>
          <w:tcPr>
            <w:tcW w:w="301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6672DD77" w14:textId="77777777" w:rsidR="00333CF4" w:rsidRPr="00ED30C5" w:rsidRDefault="00333CF4" w:rsidP="00333CF4">
      <w:pPr>
        <w:pStyle w:val="Default"/>
        <w:spacing w:line="360" w:lineRule="auto"/>
        <w:ind w:left="567"/>
        <w:rPr>
          <w:rFonts w:ascii="Arial" w:hAnsi="Arial" w:cs="Arial"/>
          <w:color w:val="auto"/>
          <w:sz w:val="22"/>
          <w:szCs w:val="22"/>
        </w:rPr>
      </w:pPr>
    </w:p>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lastRenderedPageBreak/>
              <w:t xml:space="preserve">CNCBLB will also provide trade finance services such as refinance, L/Cs and L/Gs.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lastRenderedPageBreak/>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lastRenderedPageBreak/>
              <w:t xml:space="preserve">China FI customers: </w:t>
            </w:r>
            <w:r w:rsidRPr="00ED30C5">
              <w:rPr>
                <w:rFonts w:ascii="Arial" w:hAnsi="Arial" w:cs="Arial"/>
                <w:color w:val="auto"/>
                <w:sz w:val="22"/>
                <w:szCs w:val="22"/>
              </w:rPr>
              <w:t xml:space="preserve">China CITIC Bank branches, Zheshang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Minmetals,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Jaguar Land Rover Automotive PLC (UK); ABP (London) Investment Co., Ltd.; BP; British Airways; Glaxo SmithKline; Aston Martin Lagonda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Companies that have already expressed business demand for the London office</w:t>
            </w:r>
          </w:p>
        </w:tc>
      </w:tr>
    </w:tbl>
    <w:p w14:paraId="43134B40" w14:textId="77777777" w:rsidR="00333CF4" w:rsidRDefault="00333CF4" w:rsidP="00333CF4">
      <w:pPr>
        <w:pStyle w:val="BodyText"/>
        <w:spacing w:before="0" w:after="0" w:line="360" w:lineRule="auto"/>
        <w:jc w:val="left"/>
        <w:rPr>
          <w:rFonts w:ascii="Arial" w:hAnsi="Arial" w:cs="Arial"/>
          <w:szCs w:val="22"/>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45E00307" w14:textId="77777777" w:rsidR="00DB56D3" w:rsidRPr="00ED30C5" w:rsidRDefault="00DB56D3"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77777777"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2997CABD" w:rsidR="00DB56D3" w:rsidRPr="00ED30C5" w:rsidRDefault="005C19B7" w:rsidP="00740AF3">
            <w:pPr>
              <w:pStyle w:val="Default"/>
              <w:spacing w:line="360" w:lineRule="auto"/>
              <w:rPr>
                <w:rFonts w:ascii="Arial" w:hAnsi="Arial" w:cs="Arial"/>
                <w:color w:val="auto"/>
                <w:sz w:val="22"/>
                <w:szCs w:val="22"/>
              </w:rPr>
            </w:pPr>
            <w:r>
              <w:rPr>
                <w:rFonts w:ascii="Arial" w:hAnsi="Arial" w:cs="Arial"/>
                <w:color w:val="auto"/>
                <w:sz w:val="22"/>
                <w:szCs w:val="22"/>
              </w:rPr>
              <w:t>New Target market – customer will identified through Business Development Departments 2020 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ED30C5" w:rsidRDefault="00DB56D3"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Pr="00ED30C5"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64C34442" w14:textId="37C91E3F" w:rsidR="008417CE" w:rsidRPr="00ED30C5" w:rsidRDefault="000E264E" w:rsidP="00CD0372">
      <w:pPr>
        <w:pStyle w:val="BodyText"/>
        <w:spacing w:before="0" w:after="0" w:line="360" w:lineRule="auto"/>
        <w:jc w:val="left"/>
        <w:rPr>
          <w:rFonts w:ascii="Arial" w:hAnsi="Arial" w:cs="Arial"/>
          <w:b/>
          <w:bCs/>
          <w:lang w:eastAsia="zh-CN"/>
        </w:rPr>
      </w:pPr>
      <w:r w:rsidRPr="00ED30C5">
        <w:rPr>
          <w:rFonts w:ascii="Arial" w:hAnsi="Arial" w:cs="Arial"/>
          <w:szCs w:val="22"/>
        </w:rPr>
        <w:t xml:space="preserve">There will be no customers classified as Retail (as per COBS 3.4). </w:t>
      </w:r>
      <w:bookmarkStart w:id="65" w:name="_Toc507562621"/>
      <w:bookmarkStart w:id="66" w:name="_Toc507562879"/>
      <w:bookmarkStart w:id="67" w:name="_Toc507562622"/>
      <w:bookmarkStart w:id="68" w:name="_Toc507562880"/>
      <w:bookmarkStart w:id="69" w:name="_Toc507562623"/>
      <w:bookmarkStart w:id="70" w:name="_Toc507562881"/>
      <w:bookmarkStart w:id="71" w:name="_Toc507562624"/>
      <w:bookmarkStart w:id="72" w:name="_Toc507562882"/>
      <w:bookmarkStart w:id="73" w:name="_Toc507562625"/>
      <w:bookmarkStart w:id="74" w:name="_Toc507562883"/>
      <w:bookmarkEnd w:id="65"/>
      <w:bookmarkEnd w:id="66"/>
      <w:bookmarkEnd w:id="67"/>
      <w:bookmarkEnd w:id="68"/>
      <w:bookmarkEnd w:id="69"/>
      <w:bookmarkEnd w:id="70"/>
      <w:bookmarkEnd w:id="71"/>
      <w:bookmarkEnd w:id="72"/>
      <w:bookmarkEnd w:id="73"/>
      <w:bookmarkEnd w:id="74"/>
      <w:r w:rsidR="008417CE"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5" w:name="_Toc528250558"/>
      <w:r w:rsidRPr="00ED30C5">
        <w:rPr>
          <w:rFonts w:ascii="Arial" w:hAnsi="Arial" w:cs="Arial"/>
          <w:color w:val="auto"/>
          <w:sz w:val="22"/>
          <w:szCs w:val="22"/>
          <w:lang w:eastAsia="zh-CN"/>
        </w:rPr>
        <w:lastRenderedPageBreak/>
        <w:t>Credit Risk</w:t>
      </w:r>
      <w:bookmarkEnd w:id="75"/>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6" w:name="_Toc528250559"/>
      <w:r w:rsidRPr="00ED30C5">
        <w:rPr>
          <w:rFonts w:ascii="Arial" w:hAnsi="Arial" w:cs="Arial"/>
          <w:color w:val="auto"/>
          <w:sz w:val="22"/>
          <w:szCs w:val="22"/>
        </w:rPr>
        <w:t xml:space="preserve">Credit Risk </w:t>
      </w:r>
      <w:r>
        <w:rPr>
          <w:rFonts w:ascii="Arial" w:hAnsi="Arial" w:cs="Arial"/>
          <w:color w:val="auto"/>
          <w:sz w:val="22"/>
          <w:szCs w:val="22"/>
        </w:rPr>
        <w:t>Exposure</w:t>
      </w:r>
      <w:bookmarkEnd w:id="76"/>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A4B4352"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7" w:name="OLE_LINK4"/>
            <w:bookmarkStart w:id="78" w:name="OLE_LINK5"/>
            <w:r w:rsidRPr="00ED30C5">
              <w:rPr>
                <w:rFonts w:ascii="Arial" w:hAnsi="Arial" w:cs="Arial"/>
                <w:szCs w:val="22"/>
              </w:rPr>
              <w:t>√</w:t>
            </w:r>
          </w:p>
          <w:bookmarkEnd w:id="77"/>
          <w:bookmarkEnd w:id="78"/>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Pr="00ED30C5" w:rsidRDefault="001D4AC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46B0AAA6"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 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lastRenderedPageBreak/>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79" w:name="_Toc522550592"/>
      <w:bookmarkStart w:id="80" w:name="_Toc522550877"/>
      <w:bookmarkStart w:id="81" w:name="_Toc522551038"/>
      <w:bookmarkStart w:id="82" w:name="_Toc523919239"/>
      <w:bookmarkStart w:id="83" w:name="_Toc523928421"/>
      <w:bookmarkStart w:id="84" w:name="_Toc525119363"/>
      <w:bookmarkStart w:id="85" w:name="_Toc525129687"/>
      <w:bookmarkStart w:id="86" w:name="_Toc528250560"/>
      <w:r w:rsidRPr="00ED30C5">
        <w:rPr>
          <w:rFonts w:ascii="Arial" w:hAnsi="Arial" w:cs="Arial"/>
          <w:color w:val="auto"/>
          <w:sz w:val="22"/>
          <w:szCs w:val="22"/>
        </w:rPr>
        <w:t>Credit Risk Mitigation</w:t>
      </w:r>
      <w:bookmarkEnd w:id="79"/>
      <w:bookmarkEnd w:id="80"/>
      <w:bookmarkEnd w:id="81"/>
      <w:bookmarkEnd w:id="82"/>
      <w:bookmarkEnd w:id="83"/>
      <w:bookmarkEnd w:id="84"/>
      <w:bookmarkEnd w:id="85"/>
      <w:bookmarkEnd w:id="86"/>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mitigants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lastRenderedPageBreak/>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7" w:name="_Toc528250561"/>
      <w:r w:rsidRPr="00ED30C5">
        <w:rPr>
          <w:rFonts w:ascii="Arial" w:hAnsi="Arial" w:cs="Arial"/>
          <w:color w:val="auto"/>
          <w:sz w:val="22"/>
          <w:szCs w:val="22"/>
        </w:rPr>
        <w:t xml:space="preserve">Credit Risk </w:t>
      </w:r>
      <w:r>
        <w:rPr>
          <w:rFonts w:ascii="Arial" w:hAnsi="Arial" w:cs="Arial"/>
          <w:color w:val="auto"/>
          <w:sz w:val="22"/>
          <w:szCs w:val="22"/>
        </w:rPr>
        <w:t>Appetite</w:t>
      </w:r>
      <w:bookmarkEnd w:id="87"/>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1B8C6AE2"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eg: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3F426EBB"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4F2EC49F" w14:textId="77777777" w:rsidR="00E81C79" w:rsidRPr="00E81C79" w:rsidRDefault="00E81C79" w:rsidP="00E81C7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Concentrations can arise with regard to material individual exposures to a single counterparty or group of connected counterparties, to exposures to counterparties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lastRenderedPageBreak/>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56FFA84E" w14:textId="77777777" w:rsidR="00AF0EE8"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 xml:space="preserve">Risk appetite </w:t>
            </w:r>
          </w:p>
          <w:p w14:paraId="2B20626D" w14:textId="04000289" w:rsidR="00283C2A" w:rsidRPr="00283C2A" w:rsidRDefault="00283C2A" w:rsidP="00283C2A">
            <w:pPr>
              <w:rPr>
                <w:rFonts w:ascii="Arial" w:hAnsi="Arial" w:cs="Arial"/>
              </w:rPr>
            </w:pPr>
            <w:r w:rsidRPr="00283C2A">
              <w:rPr>
                <w:rFonts w:ascii="Arial" w:hAnsi="Arial" w:cs="Arial"/>
                <w:color w:val="FFFFFF" w:themeColor="background1"/>
              </w:rPr>
              <w:t xml:space="preserve">Maximum exposure </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010E7353" w14:textId="77777777" w:rsidTr="00297CDD">
        <w:tc>
          <w:tcPr>
            <w:tcW w:w="2289" w:type="dxa"/>
          </w:tcPr>
          <w:p w14:paraId="2644F0A8" w14:textId="46D614F1" w:rsidR="00EB7444" w:rsidRPr="00EB7444" w:rsidRDefault="001D4A90" w:rsidP="00EB7444">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DD135E6" w14:textId="279A39A5" w:rsidR="00EB7444" w:rsidRPr="00EB7444" w:rsidRDefault="001D4A90" w:rsidP="00EB7444">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3E755208" w14:textId="566CB31C" w:rsidR="00EB7444" w:rsidRPr="001D4A90" w:rsidRDefault="001D4A90" w:rsidP="001D4A90">
            <w:pPr>
              <w:pStyle w:val="Caption"/>
              <w:keepNext/>
              <w:spacing w:before="0" w:after="0"/>
              <w:rPr>
                <w:rFonts w:ascii="Arial" w:hAnsi="Arial" w:cs="Arial"/>
                <w:b w:val="0"/>
                <w:szCs w:val="22"/>
              </w:rPr>
            </w:pPr>
            <w:r w:rsidRPr="001D4A90">
              <w:rPr>
                <w:rFonts w:ascii="Arial" w:hAnsi="Arial" w:cs="Arial"/>
                <w:b w:val="0"/>
                <w:szCs w:val="22"/>
              </w:rPr>
              <w:t>Net exposure to</w:t>
            </w:r>
            <w:r w:rsidR="00F03477">
              <w:rPr>
                <w:rFonts w:ascii="Arial" w:hAnsi="Arial" w:cs="Arial"/>
                <w:b w:val="0"/>
                <w:szCs w:val="22"/>
              </w:rPr>
              <w:t xml:space="preserve"> Total Assets</w:t>
            </w:r>
            <w:r w:rsidRPr="001D4A90">
              <w:rPr>
                <w:rFonts w:ascii="Arial" w:hAnsi="Arial" w:cs="Arial"/>
                <w:b w:val="0"/>
                <w:szCs w:val="22"/>
              </w:rPr>
              <w:t>:</w:t>
            </w:r>
          </w:p>
          <w:p w14:paraId="410F6B31" w14:textId="77777777" w:rsidR="001D4A90" w:rsidRPr="001D4A90" w:rsidRDefault="001D4A90" w:rsidP="001D4A90">
            <w:pPr>
              <w:spacing w:before="0" w:after="0" w:line="240" w:lineRule="auto"/>
              <w:rPr>
                <w:rFonts w:ascii="Arial" w:hAnsi="Arial" w:cs="Arial"/>
              </w:rPr>
            </w:pPr>
            <w:r w:rsidRPr="001D4A90">
              <w:rPr>
                <w:rFonts w:ascii="Arial" w:hAnsi="Arial" w:cs="Arial"/>
              </w:rPr>
              <w:t>USD</w:t>
            </w:r>
          </w:p>
          <w:p w14:paraId="36EA8B96" w14:textId="77777777" w:rsidR="001D4A90" w:rsidRPr="001D4A90" w:rsidRDefault="001D4A90" w:rsidP="001D4A90">
            <w:pPr>
              <w:spacing w:before="0" w:after="0" w:line="240" w:lineRule="auto"/>
              <w:rPr>
                <w:rFonts w:ascii="Arial" w:hAnsi="Arial" w:cs="Arial"/>
              </w:rPr>
            </w:pPr>
            <w:r w:rsidRPr="001D4A90">
              <w:rPr>
                <w:rFonts w:ascii="Arial" w:hAnsi="Arial" w:cs="Arial"/>
              </w:rPr>
              <w:t>RMB</w:t>
            </w:r>
          </w:p>
          <w:p w14:paraId="13A14CB5" w14:textId="77777777" w:rsidR="001D4A90" w:rsidRPr="001D4A90" w:rsidRDefault="001D4A90" w:rsidP="001D4A90">
            <w:pPr>
              <w:spacing w:before="0" w:after="0" w:line="240" w:lineRule="auto"/>
              <w:rPr>
                <w:rFonts w:ascii="Arial" w:hAnsi="Arial" w:cs="Arial"/>
              </w:rPr>
            </w:pPr>
            <w:r w:rsidRPr="001D4A90">
              <w:rPr>
                <w:rFonts w:ascii="Arial" w:hAnsi="Arial" w:cs="Arial"/>
              </w:rPr>
              <w:t xml:space="preserve">GBP </w:t>
            </w:r>
          </w:p>
          <w:p w14:paraId="1E0D7C5E" w14:textId="661D7869" w:rsidR="001D4A90" w:rsidRPr="001D4A90" w:rsidRDefault="001D4A90" w:rsidP="001D4A90">
            <w:pPr>
              <w:spacing w:before="0" w:after="0" w:line="240" w:lineRule="auto"/>
            </w:pPr>
            <w:r w:rsidRPr="001D4A90">
              <w:rPr>
                <w:rFonts w:ascii="Arial" w:hAnsi="Arial" w:cs="Arial"/>
              </w:rPr>
              <w:t>EURO</w:t>
            </w:r>
          </w:p>
        </w:tc>
        <w:tc>
          <w:tcPr>
            <w:tcW w:w="2253" w:type="dxa"/>
            <w:gridSpan w:val="2"/>
          </w:tcPr>
          <w:p w14:paraId="4A995905" w14:textId="77777777" w:rsidR="00EB7444" w:rsidRPr="001D4A90" w:rsidRDefault="00EB7444" w:rsidP="00F03477">
            <w:pPr>
              <w:pStyle w:val="Caption"/>
              <w:keepNext/>
              <w:spacing w:before="0" w:after="0"/>
              <w:jc w:val="center"/>
              <w:rPr>
                <w:rFonts w:ascii="Arial" w:hAnsi="Arial" w:cs="Arial"/>
                <w:b w:val="0"/>
                <w:szCs w:val="22"/>
              </w:rPr>
            </w:pPr>
          </w:p>
          <w:p w14:paraId="0CD82B7F" w14:textId="726B0251" w:rsidR="001D4A90" w:rsidRPr="001D4A90" w:rsidRDefault="001D4A90" w:rsidP="00F03477">
            <w:pPr>
              <w:spacing w:before="0" w:after="0" w:line="240" w:lineRule="auto"/>
              <w:jc w:val="center"/>
              <w:rPr>
                <w:rFonts w:ascii="Arial" w:hAnsi="Arial" w:cs="Arial"/>
              </w:rPr>
            </w:pPr>
            <w:r w:rsidRPr="001D4A90">
              <w:rPr>
                <w:rFonts w:ascii="Arial" w:hAnsi="Arial" w:cs="Arial"/>
              </w:rPr>
              <w:t>100%</w:t>
            </w:r>
          </w:p>
          <w:p w14:paraId="2B9F457A" w14:textId="77777777" w:rsidR="001D4A90" w:rsidRDefault="001D4A90" w:rsidP="00F03477">
            <w:pPr>
              <w:spacing w:before="0" w:after="0" w:line="240" w:lineRule="auto"/>
              <w:jc w:val="center"/>
              <w:rPr>
                <w:rFonts w:ascii="Arial" w:hAnsi="Arial" w:cs="Arial"/>
              </w:rPr>
            </w:pPr>
            <w:r w:rsidRPr="001D4A90">
              <w:rPr>
                <w:rFonts w:ascii="Arial" w:hAnsi="Arial" w:cs="Arial"/>
              </w:rPr>
              <w:t>100%</w:t>
            </w:r>
          </w:p>
          <w:p w14:paraId="6C1DB952" w14:textId="77777777" w:rsidR="001D4A90" w:rsidRDefault="001D4A90" w:rsidP="00F03477">
            <w:pPr>
              <w:spacing w:before="0" w:after="0" w:line="240" w:lineRule="auto"/>
              <w:jc w:val="center"/>
              <w:rPr>
                <w:rFonts w:ascii="Arial" w:hAnsi="Arial" w:cs="Arial"/>
              </w:rPr>
            </w:pPr>
            <w:r>
              <w:rPr>
                <w:rFonts w:ascii="Arial" w:hAnsi="Arial" w:cs="Arial"/>
              </w:rPr>
              <w:t>50%</w:t>
            </w:r>
          </w:p>
          <w:p w14:paraId="0668E464" w14:textId="02B8E4CA" w:rsidR="001D4A90" w:rsidRPr="001D4A90" w:rsidRDefault="001D4A90" w:rsidP="00F03477">
            <w:pPr>
              <w:spacing w:before="0" w:after="0" w:line="240" w:lineRule="auto"/>
              <w:jc w:val="center"/>
              <w:rPr>
                <w:rFonts w:ascii="Arial" w:hAnsi="Arial" w:cs="Arial"/>
              </w:rPr>
            </w:pPr>
            <w:r>
              <w:rPr>
                <w:rFonts w:ascii="Arial" w:hAnsi="Arial" w:cs="Arial"/>
              </w:rPr>
              <w:t>50%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16CBB5F5" w14:textId="77777777" w:rsidR="00297CDD" w:rsidRDefault="00297CDD" w:rsidP="00F03477">
            <w:pPr>
              <w:spacing w:before="0" w:after="0" w:line="240" w:lineRule="auto"/>
              <w:rPr>
                <w:rFonts w:ascii="Arial" w:hAnsi="Arial" w:cs="Arial"/>
              </w:rPr>
            </w:pPr>
            <w:r>
              <w:rPr>
                <w:rFonts w:ascii="Arial" w:hAnsi="Arial" w:cs="Arial"/>
              </w:rPr>
              <w:t>(Maximum 20% per country)</w:t>
            </w:r>
          </w:p>
          <w:p w14:paraId="27A3DD85" w14:textId="203E72ED" w:rsidR="00297CDD" w:rsidRPr="00F03477" w:rsidRDefault="00297CDD" w:rsidP="00F03477">
            <w:pPr>
              <w:spacing w:before="0" w:after="0" w:line="240" w:lineRule="auto"/>
              <w:rPr>
                <w:rFonts w:ascii="Arial" w:hAnsi="Arial" w:cs="Arial"/>
              </w:rPr>
            </w:pP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297CDD">
        <w:tc>
          <w:tcPr>
            <w:tcW w:w="2289" w:type="dxa"/>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2BA6D57B" w:rsidR="00334F47" w:rsidRPr="00334F47" w:rsidRDefault="00334F47" w:rsidP="00334F47">
            <w:pPr>
              <w:pStyle w:val="Caption"/>
              <w:keepNext/>
              <w:spacing w:before="0" w:after="0"/>
            </w:pPr>
            <w:r w:rsidRPr="00334F47">
              <w:rPr>
                <w:rFonts w:ascii="Arial" w:hAnsi="Arial" w:cs="Arial"/>
                <w:b w:val="0"/>
              </w:rPr>
              <w:t xml:space="preserve">Other </w:t>
            </w:r>
          </w:p>
        </w:tc>
        <w:tc>
          <w:tcPr>
            <w:tcW w:w="2253" w:type="dxa"/>
            <w:gridSpan w:val="2"/>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49FD396F" w:rsidR="00F03477" w:rsidRPr="00F03477" w:rsidRDefault="00334F47" w:rsidP="00F03477">
            <w:pPr>
              <w:spacing w:before="0" w:after="0" w:line="240" w:lineRule="auto"/>
              <w:jc w:val="center"/>
              <w:rPr>
                <w:rFonts w:ascii="Arial" w:hAnsi="Arial" w:cs="Arial"/>
              </w:rPr>
            </w:pPr>
            <w:r>
              <w:rPr>
                <w:rFonts w:ascii="Arial" w:hAnsi="Arial" w:cs="Arial"/>
              </w:rPr>
              <w:t>50</w:t>
            </w:r>
            <w:r w:rsidR="00F03477"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r>
              <w:rPr>
                <w:rFonts w:ascii="Arial" w:hAnsi="Arial" w:cs="Arial"/>
                <w:b w:val="0"/>
              </w:rPr>
              <w:t>20</w:t>
            </w:r>
            <w:r w:rsidRPr="00F03477">
              <w:rPr>
                <w:rFonts w:ascii="Arial" w:hAnsi="Arial" w:cs="Arial"/>
                <w:b w:val="0"/>
              </w:rPr>
              <w:t>%</w:t>
            </w:r>
          </w:p>
        </w:tc>
      </w:tr>
      <w:tr w:rsidR="003641FF" w14:paraId="3CF7C620" w14:textId="77777777" w:rsidTr="00297CDD">
        <w:tc>
          <w:tcPr>
            <w:tcW w:w="2289" w:type="dxa"/>
          </w:tcPr>
          <w:p w14:paraId="23D73B01" w14:textId="39E6B60C" w:rsidR="003641FF" w:rsidRDefault="003641FF" w:rsidP="003641FF">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3641FF" w:rsidRDefault="003641FF" w:rsidP="003641FF">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3641FF" w:rsidRPr="00F03477" w:rsidRDefault="003641FF" w:rsidP="003641FF">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3641FF" w:rsidRPr="00F03477" w:rsidRDefault="003641FF" w:rsidP="003641FF">
            <w:pPr>
              <w:spacing w:before="0" w:after="0" w:line="240" w:lineRule="auto"/>
              <w:rPr>
                <w:rFonts w:ascii="Arial" w:hAnsi="Arial" w:cs="Arial"/>
              </w:rPr>
            </w:pPr>
            <w:r>
              <w:rPr>
                <w:rFonts w:ascii="Arial" w:hAnsi="Arial" w:cs="Arial"/>
              </w:rPr>
              <w:t>Sovereign/Government</w:t>
            </w:r>
          </w:p>
          <w:p w14:paraId="22EE676E" w14:textId="24D2B6FA" w:rsidR="003641FF" w:rsidRPr="00F03477" w:rsidRDefault="003641FF" w:rsidP="003641FF">
            <w:pPr>
              <w:spacing w:before="0" w:after="0" w:line="240" w:lineRule="auto"/>
              <w:rPr>
                <w:rFonts w:ascii="Arial" w:hAnsi="Arial" w:cs="Arial"/>
              </w:rPr>
            </w:pPr>
            <w:r>
              <w:rPr>
                <w:rFonts w:ascii="Arial" w:hAnsi="Arial" w:cs="Arial"/>
              </w:rPr>
              <w:t xml:space="preserve">Financial Institutions </w:t>
            </w:r>
          </w:p>
          <w:p w14:paraId="6B5FDAD0" w14:textId="34ECCD14" w:rsidR="003641FF" w:rsidRPr="00F03477" w:rsidRDefault="003641FF" w:rsidP="003641FF">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3641FF" w:rsidRPr="00F03477" w:rsidRDefault="003641FF" w:rsidP="003641FF">
            <w:pPr>
              <w:spacing w:before="0" w:after="0" w:line="240" w:lineRule="auto"/>
              <w:jc w:val="center"/>
              <w:rPr>
                <w:rFonts w:ascii="Arial" w:hAnsi="Arial" w:cs="Arial"/>
              </w:rPr>
            </w:pPr>
          </w:p>
          <w:p w14:paraId="2899DA3D" w14:textId="1FAFC1B8" w:rsidR="003641FF" w:rsidRPr="00F03477" w:rsidRDefault="003641FF" w:rsidP="003641FF">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27BDA7D3" w:rsidR="003641FF" w:rsidRPr="00F03477" w:rsidRDefault="003641FF" w:rsidP="003641FF">
            <w:pPr>
              <w:spacing w:before="0" w:after="0" w:line="240" w:lineRule="auto"/>
              <w:jc w:val="center"/>
              <w:rPr>
                <w:rFonts w:ascii="Arial" w:hAnsi="Arial" w:cs="Arial"/>
              </w:rPr>
            </w:pPr>
            <w:r>
              <w:rPr>
                <w:rFonts w:ascii="Arial" w:hAnsi="Arial" w:cs="Arial"/>
              </w:rPr>
              <w:t>80</w:t>
            </w:r>
            <w:r w:rsidRPr="00F03477">
              <w:rPr>
                <w:rFonts w:ascii="Arial" w:hAnsi="Arial" w:cs="Arial"/>
              </w:rPr>
              <w:t>%</w:t>
            </w:r>
          </w:p>
          <w:p w14:paraId="575A4437" w14:textId="50F72900" w:rsidR="003641FF" w:rsidRPr="00F03477" w:rsidRDefault="003641FF" w:rsidP="003641FF">
            <w:pPr>
              <w:spacing w:before="0" w:after="0" w:line="240" w:lineRule="auto"/>
              <w:jc w:val="center"/>
              <w:rPr>
                <w:rFonts w:ascii="Arial" w:hAnsi="Arial" w:cs="Arial"/>
                <w:b/>
              </w:rPr>
            </w:pPr>
            <w:r>
              <w:rPr>
                <w:rFonts w:ascii="Arial" w:hAnsi="Arial" w:cs="Arial"/>
              </w:rPr>
              <w:t>7</w:t>
            </w:r>
            <w:r w:rsidRPr="00F03477">
              <w:rPr>
                <w:rFonts w:ascii="Arial" w:hAnsi="Arial" w:cs="Arial"/>
              </w:rPr>
              <w:t>0%</w:t>
            </w:r>
          </w:p>
        </w:tc>
      </w:tr>
      <w:tr w:rsidR="00CD0372" w:rsidRPr="00ED30C5" w14:paraId="1F6DF461" w14:textId="25E3E590" w:rsidTr="00CD0372">
        <w:trPr>
          <w:trHeight w:val="49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CD0372" w:rsidRPr="003641FF" w:rsidRDefault="00CD0372" w:rsidP="005659D2">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CD0372" w:rsidRPr="003641FF" w:rsidRDefault="00CD0372" w:rsidP="005659D2">
            <w:pPr>
              <w:pStyle w:val="BodyText"/>
              <w:spacing w:before="0" w:after="0" w:line="360" w:lineRule="auto"/>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CD0372" w:rsidRPr="00ED30C5" w14:paraId="0C3E3978" w14:textId="6DAC0F8E" w:rsidTr="003C0D7A">
        <w:trPr>
          <w:trHeight w:val="531"/>
        </w:trPr>
        <w:tc>
          <w:tcPr>
            <w:tcW w:w="2289" w:type="dxa"/>
            <w:vMerge/>
            <w:tcBorders>
              <w:left w:val="single" w:sz="4" w:space="0" w:color="auto"/>
              <w:bottom w:val="single" w:sz="4" w:space="0" w:color="auto"/>
              <w:right w:val="single" w:sz="4" w:space="0" w:color="auto"/>
            </w:tcBorders>
          </w:tcPr>
          <w:p w14:paraId="5844F518" w14:textId="155B1976" w:rsidR="00CD0372" w:rsidRPr="00ED30C5" w:rsidRDefault="00CD0372" w:rsidP="003B26C7">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CD0372" w:rsidRPr="00ED30C5" w:rsidRDefault="00CD0372" w:rsidP="003B26C7">
            <w:pPr>
              <w:pStyle w:val="BodyText"/>
              <w:spacing w:before="0" w:after="0" w:line="360" w:lineRule="auto"/>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CD0372" w:rsidRPr="00ED30C5" w:rsidRDefault="00CD0372" w:rsidP="003B26C7">
            <w:pPr>
              <w:pStyle w:val="BodyText"/>
              <w:spacing w:before="0" w:after="0" w:line="360" w:lineRule="auto"/>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CD0372" w:rsidRPr="00ED30C5" w:rsidRDefault="00CD0372" w:rsidP="003B26C7">
            <w:pPr>
              <w:pStyle w:val="BodyText"/>
              <w:spacing w:before="0" w:after="0" w:line="360" w:lineRule="auto"/>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CD0372" w:rsidRPr="00ED30C5" w:rsidRDefault="00CD0372" w:rsidP="003B26C7">
            <w:pPr>
              <w:pStyle w:val="BodyText"/>
              <w:spacing w:before="0" w:after="0" w:line="360" w:lineRule="auto"/>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CD0372" w:rsidRPr="00ED30C5" w:rsidRDefault="00CD0372" w:rsidP="003B26C7">
            <w:pPr>
              <w:pStyle w:val="BodyText"/>
              <w:spacing w:before="0" w:after="0" w:line="360" w:lineRule="auto"/>
              <w:jc w:val="left"/>
              <w:rPr>
                <w:rFonts w:ascii="Arial" w:hAnsi="Arial" w:cs="Arial"/>
                <w:b/>
                <w:szCs w:val="22"/>
              </w:rPr>
            </w:pPr>
            <w:r w:rsidRPr="00ED30C5">
              <w:rPr>
                <w:rFonts w:ascii="Arial" w:hAnsi="Arial" w:cs="Arial"/>
                <w:b/>
                <w:szCs w:val="22"/>
              </w:rPr>
              <w:t xml:space="preserve">Project Finance </w:t>
            </w:r>
          </w:p>
        </w:tc>
      </w:tr>
      <w:tr w:rsidR="003B26C7" w:rsidRPr="00ED30C5" w14:paraId="36D2F758" w14:textId="5CFB3B1A" w:rsidTr="00CD0372">
        <w:trPr>
          <w:trHeight w:val="357"/>
        </w:trPr>
        <w:tc>
          <w:tcPr>
            <w:tcW w:w="2289" w:type="dxa"/>
            <w:tcBorders>
              <w:top w:val="single" w:sz="4" w:space="0" w:color="auto"/>
              <w:left w:val="single" w:sz="4" w:space="0" w:color="auto"/>
              <w:bottom w:val="single" w:sz="4" w:space="0" w:color="auto"/>
              <w:right w:val="single" w:sz="4" w:space="0" w:color="auto"/>
            </w:tcBorders>
          </w:tcPr>
          <w:p w14:paraId="4A2F78F9" w14:textId="77777777" w:rsidR="003B26C7" w:rsidRPr="00CD0372" w:rsidRDefault="003B26C7" w:rsidP="003B26C7">
            <w:pPr>
              <w:pStyle w:val="BodyText"/>
              <w:spacing w:before="0" w:after="0" w:line="360" w:lineRule="auto"/>
              <w:jc w:val="left"/>
              <w:rPr>
                <w:rFonts w:ascii="Arial" w:hAnsi="Arial" w:cs="Arial"/>
                <w:sz w:val="18"/>
                <w:szCs w:val="18"/>
              </w:rPr>
            </w:pPr>
            <w:r w:rsidRPr="00CD0372">
              <w:rPr>
                <w:rFonts w:ascii="Arial" w:hAnsi="Arial" w:cs="Arial"/>
                <w:sz w:val="18"/>
                <w:szCs w:val="18"/>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3B26C7" w:rsidRPr="00CD0372" w:rsidRDefault="00D80B23"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w:t>
            </w:r>
            <w:r w:rsidR="003B26C7" w:rsidRPr="00CD0372">
              <w:rPr>
                <w:rFonts w:ascii="Arial" w:hAnsi="Arial" w:cs="Arial"/>
                <w:sz w:val="18"/>
                <w:szCs w:val="18"/>
                <w:lang w:eastAsia="zh-CN"/>
              </w:rPr>
              <w:t>0%</w:t>
            </w:r>
          </w:p>
        </w:tc>
      </w:tr>
      <w:tr w:rsidR="003B26C7" w:rsidRPr="00ED30C5" w14:paraId="7B7EBA1A" w14:textId="709352F1" w:rsidTr="00CD0372">
        <w:trPr>
          <w:trHeight w:val="277"/>
        </w:trPr>
        <w:tc>
          <w:tcPr>
            <w:tcW w:w="2289" w:type="dxa"/>
            <w:tcBorders>
              <w:top w:val="single" w:sz="4" w:space="0" w:color="auto"/>
              <w:left w:val="single" w:sz="4" w:space="0" w:color="auto"/>
              <w:bottom w:val="single" w:sz="4" w:space="0" w:color="auto"/>
              <w:right w:val="single" w:sz="4" w:space="0" w:color="auto"/>
            </w:tcBorders>
          </w:tcPr>
          <w:p w14:paraId="5667BC91" w14:textId="77777777" w:rsidR="003B26C7" w:rsidRPr="00CD0372" w:rsidRDefault="003B26C7" w:rsidP="003B26C7">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3B26C7" w:rsidRPr="00CD0372" w:rsidRDefault="00D80B23"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w:t>
            </w:r>
            <w:r w:rsidR="003B26C7" w:rsidRPr="00CD0372">
              <w:rPr>
                <w:rFonts w:ascii="Arial" w:hAnsi="Arial" w:cs="Arial"/>
                <w:sz w:val="18"/>
                <w:szCs w:val="18"/>
                <w:lang w:eastAsia="zh-CN"/>
              </w:rPr>
              <w:t>0%</w:t>
            </w:r>
          </w:p>
        </w:tc>
      </w:tr>
      <w:tr w:rsidR="003B26C7" w:rsidRPr="00ED30C5" w14:paraId="3A577975" w14:textId="1BCF6580" w:rsidTr="00CD0372">
        <w:trPr>
          <w:trHeight w:val="239"/>
        </w:trPr>
        <w:tc>
          <w:tcPr>
            <w:tcW w:w="2289" w:type="dxa"/>
            <w:tcBorders>
              <w:top w:val="single" w:sz="4" w:space="0" w:color="auto"/>
              <w:left w:val="single" w:sz="4" w:space="0" w:color="auto"/>
              <w:bottom w:val="single" w:sz="4" w:space="0" w:color="auto"/>
              <w:right w:val="single" w:sz="4" w:space="0" w:color="auto"/>
            </w:tcBorders>
          </w:tcPr>
          <w:p w14:paraId="47B66CEF" w14:textId="4C27089D" w:rsidR="003B26C7" w:rsidRPr="00CD0372" w:rsidRDefault="003B26C7" w:rsidP="003B26C7">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1291222E" w:rsidR="003B26C7" w:rsidRPr="00CD0372" w:rsidRDefault="00334F4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75</w:t>
            </w:r>
            <w:r w:rsidR="003B26C7" w:rsidRPr="00CD0372">
              <w:rPr>
                <w:rFonts w:ascii="Arial" w:hAnsi="Arial" w:cs="Arial"/>
                <w:sz w:val="18"/>
                <w:szCs w:val="18"/>
                <w:lang w:eastAsia="zh-CN"/>
              </w:rPr>
              <w:t>%</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3B26C7" w:rsidRPr="00CD0372" w:rsidRDefault="003B26C7"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196C03" w:rsidRPr="00ED30C5" w14:paraId="57F5C03F" w14:textId="77777777"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6B879AB4" w14:textId="1E363A81" w:rsidR="00196C03" w:rsidRPr="00CD0372" w:rsidRDefault="00196C03" w:rsidP="003B26C7">
            <w:pPr>
              <w:pStyle w:val="BodyText"/>
              <w:spacing w:before="0" w:after="0" w:line="360" w:lineRule="auto"/>
              <w:jc w:val="left"/>
              <w:rPr>
                <w:rFonts w:ascii="Arial" w:hAnsi="Arial" w:cs="Arial"/>
                <w:sz w:val="18"/>
                <w:szCs w:val="18"/>
              </w:rPr>
            </w:pPr>
            <w:r w:rsidRPr="00CD0372">
              <w:rPr>
                <w:rFonts w:ascii="Arial" w:hAnsi="Arial" w:cs="Arial"/>
                <w:sz w:val="18"/>
                <w:szCs w:val="18"/>
              </w:rPr>
              <w:t xml:space="preserve">Local EMEA </w:t>
            </w:r>
            <w:r w:rsidR="003A7556" w:rsidRPr="00CD0372">
              <w:rPr>
                <w:rFonts w:ascii="Arial" w:hAnsi="Arial" w:cs="Arial"/>
                <w:sz w:val="18"/>
                <w:szCs w:val="18"/>
              </w:rPr>
              <w:t xml:space="preserve">/Other Country </w:t>
            </w:r>
            <w:r w:rsidRPr="00CD0372">
              <w:rPr>
                <w:rFonts w:ascii="Arial" w:hAnsi="Arial" w:cs="Arial"/>
                <w:sz w:val="18"/>
                <w:szCs w:val="18"/>
              </w:rPr>
              <w:t>Customers</w:t>
            </w:r>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196C03" w:rsidRPr="00CD0372" w:rsidRDefault="00C37220"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196C03" w:rsidRPr="00CD0372" w:rsidRDefault="00C37220"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196C03" w:rsidRPr="00CD0372" w:rsidRDefault="00C37220"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196C03" w:rsidRPr="00CD0372" w:rsidDel="00334F47" w:rsidRDefault="00C37220"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196C03" w:rsidRPr="00CD0372" w:rsidRDefault="00C37220" w:rsidP="003B26C7">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88"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89" w:name="_Toc528250562"/>
      <w:bookmarkEnd w:id="88"/>
      <w:r w:rsidRPr="00E81C79">
        <w:rPr>
          <w:rFonts w:ascii="Arial" w:hAnsi="Arial" w:cs="Arial"/>
          <w:color w:val="auto"/>
          <w:sz w:val="22"/>
          <w:szCs w:val="22"/>
        </w:rPr>
        <w:lastRenderedPageBreak/>
        <w:t>Market Risk</w:t>
      </w:r>
      <w:bookmarkEnd w:id="89"/>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0" w:name="_Toc528250563"/>
      <w:r w:rsidRPr="00E81C79">
        <w:rPr>
          <w:rFonts w:ascii="Arial" w:hAnsi="Arial" w:cs="Arial"/>
          <w:color w:val="auto"/>
          <w:sz w:val="22"/>
          <w:szCs w:val="22"/>
        </w:rPr>
        <w:t>Market Risk Exposure</w:t>
      </w:r>
      <w:bookmarkEnd w:id="90"/>
    </w:p>
    <w:p w14:paraId="55F0BFD6" w14:textId="3C6C9CE1"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4C691FCF" w14:textId="6169A614" w:rsidR="002D22E4" w:rsidRDefault="00C93F42" w:rsidP="002046E1">
      <w:pPr>
        <w:pStyle w:val="BodyText"/>
        <w:spacing w:before="0" w:after="0" w:line="360" w:lineRule="auto"/>
        <w:jc w:val="left"/>
        <w:rPr>
          <w:rFonts w:ascii="Arial" w:hAnsi="Arial" w:cs="Arial"/>
          <w:szCs w:val="22"/>
        </w:rPr>
      </w:pPr>
      <w:r>
        <w:rPr>
          <w:rFonts w:ascii="Arial" w:hAnsi="Arial" w:cs="Arial"/>
        </w:rPr>
        <w:t xml:space="preserve">Financial Markets department are responsible for managing market risk. </w:t>
      </w:r>
      <w:r w:rsidR="00703D2C" w:rsidRPr="00ED30C5">
        <w:rPr>
          <w:rFonts w:ascii="Arial" w:hAnsi="Arial" w:cs="Arial"/>
          <w:szCs w:val="22"/>
        </w:rPr>
        <w:t xml:space="preserve">The </w:t>
      </w:r>
      <w:r w:rsidR="002046E1" w:rsidRPr="00ED30C5">
        <w:rPr>
          <w:rFonts w:ascii="Arial" w:hAnsi="Arial" w:cs="Arial"/>
          <w:szCs w:val="22"/>
        </w:rPr>
        <w:t xml:space="preserve">ManCo </w:t>
      </w:r>
      <w:r w:rsidR="00703D2C" w:rsidRPr="00ED30C5">
        <w:rPr>
          <w:rFonts w:ascii="Arial" w:hAnsi="Arial" w:cs="Arial"/>
          <w:szCs w:val="22"/>
        </w:rPr>
        <w:t>and the ALC</w:t>
      </w:r>
      <w:r w:rsidR="00671EB2" w:rsidRPr="00ED30C5">
        <w:rPr>
          <w:rFonts w:ascii="Arial" w:hAnsi="Arial" w:cs="Arial"/>
          <w:szCs w:val="22"/>
        </w:rPr>
        <w:t>o</w:t>
      </w:r>
      <w:r w:rsidR="00703D2C" w:rsidRPr="00ED30C5">
        <w:rPr>
          <w:rFonts w:ascii="Arial" w:hAnsi="Arial" w:cs="Arial"/>
          <w:szCs w:val="22"/>
        </w:rPr>
        <w:t xml:space="preserve"> both have responsibility for monitoring the market risk </w:t>
      </w:r>
      <w:r w:rsidR="002046E1" w:rsidRPr="00ED30C5">
        <w:rPr>
          <w:rFonts w:ascii="Arial" w:hAnsi="Arial" w:cs="Arial"/>
          <w:szCs w:val="22"/>
        </w:rPr>
        <w:t>which</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1" w:name="_Toc528250564"/>
      <w:r>
        <w:rPr>
          <w:rFonts w:ascii="Arial" w:hAnsi="Arial" w:cs="Arial"/>
          <w:color w:val="auto"/>
          <w:sz w:val="22"/>
          <w:szCs w:val="22"/>
        </w:rPr>
        <w:t>Foreign Exchange Risk</w:t>
      </w:r>
      <w:bookmarkEnd w:id="91"/>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CCD2C3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2D067477" w14:textId="77777777" w:rsidR="00A37E77" w:rsidRPr="00ED30C5" w:rsidRDefault="00A37E77" w:rsidP="00AF0962">
            <w:pPr>
              <w:spacing w:line="360" w:lineRule="auto"/>
              <w:rPr>
                <w:rFonts w:ascii="Arial" w:hAnsi="Arial" w:cs="Arial"/>
                <w:b w:val="0"/>
              </w:rPr>
            </w:pPr>
            <w:r w:rsidRPr="00ED30C5">
              <w:rPr>
                <w:rFonts w:ascii="Arial" w:hAnsi="Arial" w:cs="Arial"/>
                <w:b w:val="0"/>
              </w:rPr>
              <w:lastRenderedPageBreak/>
              <w:t>Intra-day limit</w:t>
            </w:r>
          </w:p>
        </w:tc>
        <w:tc>
          <w:tcPr>
            <w:tcW w:w="6866" w:type="dxa"/>
          </w:tcPr>
          <w:p w14:paraId="6BAED278"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$10 million</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r w:rsidR="00A37E77" w:rsidRPr="00ED30C5" w14:paraId="45B92A4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3CD91DD3" w14:textId="77777777" w:rsidR="00A37E77" w:rsidRPr="00ED30C5" w:rsidRDefault="00A37E77" w:rsidP="00AF0962">
            <w:pPr>
              <w:spacing w:line="360" w:lineRule="auto"/>
              <w:rPr>
                <w:rFonts w:ascii="Arial" w:hAnsi="Arial" w:cs="Arial"/>
                <w:b w:val="0"/>
              </w:rPr>
            </w:pPr>
            <w:r w:rsidRPr="00ED30C5">
              <w:rPr>
                <w:rFonts w:ascii="Arial" w:hAnsi="Arial" w:cs="Arial"/>
                <w:b w:val="0"/>
              </w:rPr>
              <w:t>Annual stop loss</w:t>
            </w:r>
          </w:p>
        </w:tc>
        <w:tc>
          <w:tcPr>
            <w:tcW w:w="6866" w:type="dxa"/>
          </w:tcPr>
          <w:p w14:paraId="7059F281"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$250,000</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50AF29F6" w14:textId="688593B5" w:rsidR="00C97744" w:rsidRDefault="00C97744" w:rsidP="00297CDD">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Financial Control independently monitors the actual P&amp;L against the USD 250,000 loss limit on a daily basis by calculating </w:t>
      </w:r>
      <w:r w:rsidRPr="00ED30C5">
        <w:rPr>
          <w:rFonts w:ascii="Arial" w:eastAsia="Times New Roman" w:hAnsi="Arial" w:cs="Arial"/>
          <w:color w:val="auto"/>
          <w:sz w:val="22"/>
          <w:szCs w:val="22"/>
          <w:lang w:val="en-IE"/>
        </w:rPr>
        <w:t xml:space="preserve">Treasury P&amp;L which is circulated to senior management. </w:t>
      </w:r>
      <w:r w:rsidRPr="00ED30C5">
        <w:rPr>
          <w:rFonts w:ascii="Arial" w:hAnsi="Arial" w:cs="Arial"/>
          <w:color w:val="auto"/>
          <w:sz w:val="22"/>
          <w:szCs w:val="22"/>
        </w:rPr>
        <w:t>If a loss limit is actually breached (or in the judgment of the manager such a loss limit is likely to be breached) then a report of the actual (or probable) breach will be required from the Head of Financial markets laying out the strategy and recommendation as to how the risks should be managed. ManCo will review and consider the proposal and either approve or determine actions required.</w:t>
      </w:r>
    </w:p>
    <w:p w14:paraId="67807D83" w14:textId="77777777" w:rsidR="00237CA7" w:rsidRPr="00ED30C5" w:rsidRDefault="00237CA7" w:rsidP="00297CDD">
      <w:pPr>
        <w:pStyle w:val="Default"/>
        <w:spacing w:line="360" w:lineRule="auto"/>
        <w:rPr>
          <w:rFonts w:ascii="Arial" w:hAnsi="Arial" w:cs="Arial"/>
        </w:rPr>
      </w:pPr>
    </w:p>
    <w:p w14:paraId="6AE9A63F" w14:textId="070932BF" w:rsidR="00C97744" w:rsidRDefault="00C97744" w:rsidP="00C97744">
      <w:pPr>
        <w:spacing w:after="0" w:line="360" w:lineRule="auto"/>
        <w:rPr>
          <w:rFonts w:ascii="Arial" w:hAnsi="Arial" w:cs="Arial"/>
        </w:rPr>
      </w:pPr>
      <w:r w:rsidRPr="00ED30C5">
        <w:rPr>
          <w:rFonts w:ascii="Arial" w:hAnsi="Arial" w:cs="Arial"/>
        </w:rPr>
        <w:t>The Head of Financial Markets will in consultation with the Vice President set loss limits at various sub-desk levels such as book or a trade, if required.</w:t>
      </w:r>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2" w:name="_Toc528250565"/>
      <w:r>
        <w:rPr>
          <w:rFonts w:ascii="Arial" w:hAnsi="Arial" w:cs="Arial"/>
          <w:color w:val="auto"/>
          <w:sz w:val="22"/>
          <w:szCs w:val="22"/>
        </w:rPr>
        <w:t>Interest Rate Risk</w:t>
      </w:r>
      <w:bookmarkEnd w:id="92"/>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utilising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lastRenderedPageBreak/>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03D148D1" w14:textId="77777777" w:rsidR="00E81C79" w:rsidRDefault="00E81C79" w:rsidP="00297CDD">
      <w:pPr>
        <w:spacing w:before="0" w:after="0" w:line="360" w:lineRule="auto"/>
        <w:rPr>
          <w:rFonts w:ascii="Arial" w:hAnsi="Arial" w:cs="Arial"/>
        </w:rPr>
      </w:pPr>
    </w:p>
    <w:p w14:paraId="4FBD3C8B" w14:textId="77777777" w:rsidR="002B3167" w:rsidRDefault="002B3167">
      <w:pPr>
        <w:spacing w:before="0" w:after="160" w:line="259" w:lineRule="auto"/>
        <w:rPr>
          <w:rFonts w:ascii="Arial" w:hAnsi="Arial" w:cs="Arial"/>
        </w:rPr>
      </w:pPr>
      <w:r>
        <w:rPr>
          <w:rFonts w:ascii="Arial" w:hAnsi="Arial" w:cs="Arial"/>
        </w:rPr>
        <w:br w:type="page"/>
      </w:r>
    </w:p>
    <w:p w14:paraId="3397C3E2" w14:textId="3EAB6136" w:rsidR="006B5F35" w:rsidRDefault="000F74C5" w:rsidP="00297CDD">
      <w:pPr>
        <w:spacing w:before="0" w:after="0" w:line="360" w:lineRule="auto"/>
        <w:rPr>
          <w:rFonts w:ascii="Arial" w:hAnsi="Arial" w:cs="Arial"/>
        </w:rPr>
      </w:pPr>
      <w:r w:rsidRPr="00ED30C5">
        <w:rPr>
          <w:rFonts w:ascii="Arial" w:hAnsi="Arial" w:cs="Arial"/>
        </w:rPr>
        <w:lastRenderedPageBreak/>
        <w:t>The risk appetite for interest rate gapping is articulated in the following table:</w:t>
      </w: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 xml:space="preserve">8 days </w:t>
            </w:r>
            <w:r w:rsidR="00F43672" w:rsidRPr="00ED30C5">
              <w:rPr>
                <w:rFonts w:ascii="Arial" w:hAnsi="Arial" w:cs="Arial"/>
                <w:szCs w:val="22"/>
              </w:rPr>
              <w:t>to 1 month</w:t>
            </w:r>
          </w:p>
        </w:tc>
        <w:tc>
          <w:tcPr>
            <w:tcW w:w="6939" w:type="dxa"/>
          </w:tcPr>
          <w:p w14:paraId="3524FEC8" w14:textId="41DC9846"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8</w:t>
            </w:r>
            <w:r w:rsidRPr="00ED30C5">
              <w:rPr>
                <w:rFonts w:ascii="Arial" w:hAnsi="Arial" w:cs="Arial"/>
                <w:szCs w:val="22"/>
              </w:rPr>
              <w:t>0</w:t>
            </w:r>
            <w:r w:rsidR="00F43672" w:rsidRPr="00ED30C5">
              <w:rPr>
                <w:rFonts w:ascii="Arial" w:hAnsi="Arial" w:cs="Arial"/>
                <w:szCs w:val="22"/>
              </w:rPr>
              <w:t>%</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46CA871A"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70</w:t>
            </w:r>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4024E4F8" w:rsidR="00A37E77" w:rsidRPr="00ED30C5" w:rsidRDefault="00334F47" w:rsidP="00334F47">
            <w:pPr>
              <w:pStyle w:val="BodyText"/>
              <w:spacing w:before="0" w:after="0" w:line="360" w:lineRule="auto"/>
              <w:jc w:val="center"/>
              <w:rPr>
                <w:rFonts w:ascii="Arial" w:hAnsi="Arial" w:cs="Arial"/>
                <w:szCs w:val="22"/>
              </w:rPr>
            </w:pPr>
            <w:r>
              <w:rPr>
                <w:rFonts w:ascii="Arial" w:hAnsi="Arial" w:cs="Arial"/>
                <w:szCs w:val="22"/>
              </w:rPr>
              <w:t>5</w:t>
            </w:r>
            <w:r w:rsidRPr="00ED30C5">
              <w:rPr>
                <w:rFonts w:ascii="Arial" w:hAnsi="Arial" w:cs="Arial"/>
                <w:szCs w:val="22"/>
              </w:rPr>
              <w:t>0</w:t>
            </w:r>
            <w:r w:rsidR="00F43672" w:rsidRPr="00ED30C5">
              <w:rPr>
                <w:rFonts w:ascii="Arial" w:hAnsi="Arial" w:cs="Arial"/>
                <w:szCs w:val="22"/>
              </w:rPr>
              <w:t>%</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03189367" w14:textId="77777777" w:rsidR="00334F47" w:rsidRDefault="006B5F35"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2CCD647" w14:textId="77777777" w:rsidR="00334F47" w:rsidRDefault="00334F47" w:rsidP="005659D2">
      <w:pPr>
        <w:pStyle w:val="BodyText"/>
        <w:spacing w:before="0" w:after="0" w:line="360" w:lineRule="auto"/>
        <w:jc w:val="left"/>
        <w:rPr>
          <w:rFonts w:ascii="Arial" w:hAnsi="Arial" w:cs="Arial"/>
          <w:szCs w:val="22"/>
        </w:rPr>
      </w:pPr>
    </w:p>
    <w:p w14:paraId="7BB1EC49" w14:textId="77777777" w:rsidR="0058482F" w:rsidRDefault="006B5F35" w:rsidP="005659D2">
      <w:pPr>
        <w:pStyle w:val="BodyText"/>
        <w:spacing w:before="0" w:after="0" w:line="360" w:lineRule="auto"/>
        <w:jc w:val="left"/>
        <w:rPr>
          <w:rFonts w:ascii="Arial" w:hAnsi="Arial" w:cs="Arial"/>
        </w:rPr>
      </w:pPr>
      <w:r w:rsidRPr="00ED30C5">
        <w:rPr>
          <w:rFonts w:ascii="Arial" w:hAnsi="Arial" w:cs="Arial"/>
        </w:rPr>
        <w:t xml:space="preserve">Interest rate sensitivity analysis will be conducted by </w:t>
      </w:r>
      <w:r w:rsidR="0058482F">
        <w:rPr>
          <w:rFonts w:ascii="Arial" w:hAnsi="Arial" w:cs="Arial"/>
        </w:rPr>
        <w:t xml:space="preserve">Financial Markets and </w:t>
      </w:r>
      <w:r w:rsidRPr="00ED30C5">
        <w:rPr>
          <w:rFonts w:ascii="Arial" w:hAnsi="Arial" w:cs="Arial"/>
        </w:rPr>
        <w:t xml:space="preserve">Risk department </w:t>
      </w:r>
      <w:r w:rsidR="0058482F">
        <w:rPr>
          <w:rFonts w:ascii="Arial" w:hAnsi="Arial" w:cs="Arial"/>
        </w:rPr>
        <w:t>using the following methodologies:</w:t>
      </w:r>
    </w:p>
    <w:tbl>
      <w:tblPr>
        <w:tblStyle w:val="TableGrid"/>
        <w:tblW w:w="0" w:type="auto"/>
        <w:tblLook w:val="04A0" w:firstRow="1" w:lastRow="0" w:firstColumn="1" w:lastColumn="0" w:noHBand="0" w:noVBand="1"/>
      </w:tblPr>
      <w:tblGrid>
        <w:gridCol w:w="2680"/>
        <w:gridCol w:w="2542"/>
        <w:gridCol w:w="2087"/>
        <w:gridCol w:w="2462"/>
      </w:tblGrid>
      <w:tr w:rsidR="0077471D" w14:paraId="3E94A16A" w14:textId="77777777" w:rsidTr="0077471D">
        <w:tc>
          <w:tcPr>
            <w:tcW w:w="2680" w:type="dxa"/>
            <w:shd w:val="clear" w:color="auto" w:fill="7F7F7F" w:themeFill="text1" w:themeFillTint="80"/>
          </w:tcPr>
          <w:p w14:paraId="4C42F8B0" w14:textId="23846179" w:rsidR="0077471D" w:rsidRPr="0058482F" w:rsidRDefault="0077471D" w:rsidP="005659D2">
            <w:pPr>
              <w:pStyle w:val="BodyText"/>
              <w:spacing w:before="0" w:after="0" w:line="360" w:lineRule="auto"/>
              <w:jc w:val="left"/>
              <w:rPr>
                <w:rFonts w:ascii="Arial" w:hAnsi="Arial" w:cs="Arial"/>
                <w:b/>
                <w:color w:val="FFFFFF" w:themeColor="background1"/>
              </w:rPr>
            </w:pPr>
            <w:r w:rsidRPr="0058482F">
              <w:rPr>
                <w:rFonts w:ascii="Arial" w:hAnsi="Arial" w:cs="Arial"/>
                <w:b/>
                <w:color w:val="FFFFFF" w:themeColor="background1"/>
              </w:rPr>
              <w:t>Risk Type</w:t>
            </w:r>
          </w:p>
        </w:tc>
        <w:tc>
          <w:tcPr>
            <w:tcW w:w="2542" w:type="dxa"/>
            <w:shd w:val="clear" w:color="auto" w:fill="7F7F7F" w:themeFill="text1" w:themeFillTint="80"/>
          </w:tcPr>
          <w:p w14:paraId="404B6782" w14:textId="289C2F6F" w:rsidR="0077471D" w:rsidRPr="0058482F" w:rsidRDefault="0077471D" w:rsidP="005659D2">
            <w:pPr>
              <w:pStyle w:val="BodyText"/>
              <w:spacing w:before="0" w:after="0" w:line="360" w:lineRule="auto"/>
              <w:jc w:val="left"/>
              <w:rPr>
                <w:rFonts w:ascii="Arial" w:hAnsi="Arial" w:cs="Arial"/>
                <w:b/>
                <w:color w:val="FFFFFF" w:themeColor="background1"/>
              </w:rPr>
            </w:pPr>
            <w:r w:rsidRPr="0058482F">
              <w:rPr>
                <w:rFonts w:ascii="Arial" w:hAnsi="Arial" w:cs="Arial"/>
                <w:b/>
                <w:color w:val="FFFFFF" w:themeColor="background1"/>
              </w:rPr>
              <w:t xml:space="preserve">Calculation </w:t>
            </w:r>
          </w:p>
        </w:tc>
        <w:tc>
          <w:tcPr>
            <w:tcW w:w="2087" w:type="dxa"/>
            <w:shd w:val="clear" w:color="auto" w:fill="7F7F7F" w:themeFill="text1" w:themeFillTint="80"/>
          </w:tcPr>
          <w:p w14:paraId="283C46A7" w14:textId="1BAE0F9A" w:rsidR="0077471D" w:rsidRPr="0058482F" w:rsidRDefault="0077471D" w:rsidP="005659D2">
            <w:pPr>
              <w:pStyle w:val="BodyText"/>
              <w:spacing w:before="0" w:after="0" w:line="360" w:lineRule="auto"/>
              <w:jc w:val="left"/>
              <w:rPr>
                <w:rFonts w:ascii="Arial" w:hAnsi="Arial" w:cs="Arial"/>
                <w:b/>
                <w:color w:val="FFFFFF" w:themeColor="background1"/>
              </w:rPr>
            </w:pPr>
            <w:r>
              <w:rPr>
                <w:rFonts w:ascii="Arial" w:hAnsi="Arial" w:cs="Arial"/>
                <w:b/>
                <w:color w:val="FFFFFF" w:themeColor="background1"/>
              </w:rPr>
              <w:t>FM Book</w:t>
            </w:r>
          </w:p>
        </w:tc>
        <w:tc>
          <w:tcPr>
            <w:tcW w:w="2462" w:type="dxa"/>
            <w:shd w:val="clear" w:color="auto" w:fill="7F7F7F" w:themeFill="text1" w:themeFillTint="80"/>
          </w:tcPr>
          <w:p w14:paraId="27CEAB76" w14:textId="713C0FEF" w:rsidR="0077471D" w:rsidRPr="0058482F" w:rsidRDefault="0077471D" w:rsidP="005659D2">
            <w:pPr>
              <w:pStyle w:val="BodyText"/>
              <w:spacing w:before="0" w:after="0" w:line="360" w:lineRule="auto"/>
              <w:jc w:val="left"/>
              <w:rPr>
                <w:rFonts w:ascii="Arial" w:hAnsi="Arial" w:cs="Arial"/>
                <w:b/>
                <w:color w:val="FFFFFF" w:themeColor="background1"/>
              </w:rPr>
            </w:pPr>
            <w:r w:rsidRPr="0058482F">
              <w:rPr>
                <w:rFonts w:ascii="Arial" w:hAnsi="Arial" w:cs="Arial"/>
                <w:b/>
                <w:color w:val="FFFFFF" w:themeColor="background1"/>
              </w:rPr>
              <w:t>Limit</w:t>
            </w:r>
          </w:p>
        </w:tc>
      </w:tr>
      <w:tr w:rsidR="0077471D" w14:paraId="3B839F13" w14:textId="77777777" w:rsidTr="0077471D">
        <w:tc>
          <w:tcPr>
            <w:tcW w:w="2680" w:type="dxa"/>
          </w:tcPr>
          <w:p w14:paraId="44FB6219" w14:textId="2024F146" w:rsidR="0077471D" w:rsidRDefault="0077471D" w:rsidP="005659D2">
            <w:pPr>
              <w:pStyle w:val="BodyText"/>
              <w:spacing w:before="0" w:after="0" w:line="360" w:lineRule="auto"/>
              <w:jc w:val="left"/>
              <w:rPr>
                <w:rFonts w:ascii="Arial" w:hAnsi="Arial" w:cs="Arial"/>
              </w:rPr>
            </w:pPr>
            <w:r>
              <w:rPr>
                <w:rFonts w:ascii="Arial" w:hAnsi="Arial" w:cs="Arial"/>
              </w:rPr>
              <w:t>Present Value per Basis Point</w:t>
            </w:r>
          </w:p>
        </w:tc>
        <w:tc>
          <w:tcPr>
            <w:tcW w:w="2542" w:type="dxa"/>
          </w:tcPr>
          <w:p w14:paraId="7AEF3684" w14:textId="139A5DC0" w:rsidR="0077471D" w:rsidRDefault="0077471D" w:rsidP="005659D2">
            <w:pPr>
              <w:pStyle w:val="BodyText"/>
              <w:spacing w:before="0" w:after="0" w:line="360" w:lineRule="auto"/>
              <w:jc w:val="left"/>
              <w:rPr>
                <w:rFonts w:ascii="Arial" w:hAnsi="Arial" w:cs="Arial"/>
              </w:rPr>
            </w:pPr>
            <w:r>
              <w:rPr>
                <w:rFonts w:ascii="Arial" w:hAnsi="Arial" w:cs="Arial"/>
              </w:rPr>
              <w:t>DV01(1 basis point move)</w:t>
            </w:r>
          </w:p>
        </w:tc>
        <w:tc>
          <w:tcPr>
            <w:tcW w:w="2087" w:type="dxa"/>
          </w:tcPr>
          <w:p w14:paraId="633E5B48" w14:textId="1C8F2D5A" w:rsidR="0077471D" w:rsidRDefault="0077471D" w:rsidP="005659D2">
            <w:pPr>
              <w:pStyle w:val="BodyText"/>
              <w:spacing w:before="0" w:after="0" w:line="360" w:lineRule="auto"/>
              <w:jc w:val="left"/>
              <w:rPr>
                <w:rFonts w:ascii="Arial" w:hAnsi="Arial" w:cs="Arial"/>
              </w:rPr>
            </w:pPr>
            <w:r>
              <w:rPr>
                <w:rFonts w:ascii="Arial" w:hAnsi="Arial" w:cs="Arial"/>
              </w:rPr>
              <w:t>Trading (Interest Rates)</w:t>
            </w:r>
          </w:p>
        </w:tc>
        <w:tc>
          <w:tcPr>
            <w:tcW w:w="2462" w:type="dxa"/>
          </w:tcPr>
          <w:p w14:paraId="460B5333" w14:textId="2B6F2DD7" w:rsidR="0077471D" w:rsidRDefault="0077471D" w:rsidP="005659D2">
            <w:pPr>
              <w:pStyle w:val="BodyText"/>
              <w:spacing w:before="0" w:after="0" w:line="360" w:lineRule="auto"/>
              <w:jc w:val="left"/>
              <w:rPr>
                <w:rFonts w:ascii="Arial" w:hAnsi="Arial" w:cs="Arial"/>
              </w:rPr>
            </w:pPr>
            <w:r>
              <w:rPr>
                <w:rFonts w:ascii="Arial" w:hAnsi="Arial" w:cs="Arial"/>
              </w:rPr>
              <w:t>USD 20,000</w:t>
            </w:r>
          </w:p>
        </w:tc>
      </w:tr>
      <w:tr w:rsidR="0077471D" w14:paraId="2C507772" w14:textId="77777777" w:rsidTr="0077471D">
        <w:tc>
          <w:tcPr>
            <w:tcW w:w="2680" w:type="dxa"/>
          </w:tcPr>
          <w:p w14:paraId="437A63AF" w14:textId="779F4E68" w:rsidR="0077471D" w:rsidRDefault="0077471D" w:rsidP="005659D2">
            <w:pPr>
              <w:pStyle w:val="BodyText"/>
              <w:spacing w:before="0" w:after="0" w:line="360" w:lineRule="auto"/>
              <w:jc w:val="left"/>
              <w:rPr>
                <w:rFonts w:ascii="Arial" w:hAnsi="Arial" w:cs="Arial"/>
              </w:rPr>
            </w:pPr>
            <w:r>
              <w:rPr>
                <w:rFonts w:ascii="Arial" w:hAnsi="Arial" w:cs="Arial"/>
                <w:color w:val="222222"/>
                <w:shd w:val="clear" w:color="auto" w:fill="FFFFFF"/>
              </w:rPr>
              <w:t>Fair Value through Other Comprehensive Income </w:t>
            </w:r>
          </w:p>
        </w:tc>
        <w:tc>
          <w:tcPr>
            <w:tcW w:w="2542" w:type="dxa"/>
          </w:tcPr>
          <w:p w14:paraId="494F0ADD" w14:textId="62522240" w:rsidR="0077471D" w:rsidRDefault="0077471D" w:rsidP="00A332AA">
            <w:pPr>
              <w:pStyle w:val="BodyText"/>
              <w:spacing w:before="0" w:after="0" w:line="360" w:lineRule="auto"/>
              <w:jc w:val="left"/>
              <w:rPr>
                <w:rFonts w:ascii="Arial" w:hAnsi="Arial" w:cs="Arial"/>
              </w:rPr>
            </w:pPr>
            <w:r>
              <w:rPr>
                <w:rFonts w:ascii="Helvetica" w:hAnsi="Helvetica"/>
                <w:color w:val="545454"/>
                <w:shd w:val="clear" w:color="auto" w:fill="FFFFFF"/>
              </w:rPr>
              <w:t>Divide present value of the coupon payments and the par value by the market price of the bond. </w:t>
            </w:r>
          </w:p>
        </w:tc>
        <w:tc>
          <w:tcPr>
            <w:tcW w:w="2087" w:type="dxa"/>
          </w:tcPr>
          <w:p w14:paraId="53DCBBBB" w14:textId="34437454" w:rsidR="0077471D" w:rsidRDefault="0077471D" w:rsidP="005659D2">
            <w:pPr>
              <w:pStyle w:val="BodyText"/>
              <w:spacing w:before="0" w:after="0" w:line="360" w:lineRule="auto"/>
              <w:jc w:val="left"/>
              <w:rPr>
                <w:rFonts w:ascii="Arial" w:hAnsi="Arial" w:cs="Arial"/>
              </w:rPr>
            </w:pPr>
            <w:r>
              <w:rPr>
                <w:rFonts w:ascii="Arial" w:hAnsi="Arial" w:cs="Arial"/>
              </w:rPr>
              <w:t>Investment</w:t>
            </w:r>
          </w:p>
        </w:tc>
        <w:tc>
          <w:tcPr>
            <w:tcW w:w="2462" w:type="dxa"/>
          </w:tcPr>
          <w:p w14:paraId="78609567" w14:textId="6A40D29D" w:rsidR="0077471D" w:rsidRDefault="0077471D" w:rsidP="005659D2">
            <w:pPr>
              <w:pStyle w:val="BodyText"/>
              <w:spacing w:before="0" w:after="0" w:line="360" w:lineRule="auto"/>
              <w:jc w:val="left"/>
              <w:rPr>
                <w:rFonts w:ascii="Arial" w:hAnsi="Arial" w:cs="Arial"/>
              </w:rPr>
            </w:pPr>
            <w:r>
              <w:rPr>
                <w:rFonts w:ascii="Arial" w:hAnsi="Arial" w:cs="Arial"/>
              </w:rPr>
              <w:t>≤ 2.5 years</w:t>
            </w:r>
          </w:p>
        </w:tc>
      </w:tr>
      <w:tr w:rsidR="0077471D" w14:paraId="53DBFDBA" w14:textId="77777777" w:rsidTr="0077471D">
        <w:tc>
          <w:tcPr>
            <w:tcW w:w="2680" w:type="dxa"/>
          </w:tcPr>
          <w:p w14:paraId="260320F7" w14:textId="64C157B3" w:rsidR="0077471D" w:rsidRDefault="0077471D" w:rsidP="005659D2">
            <w:pPr>
              <w:pStyle w:val="BodyText"/>
              <w:spacing w:before="0" w:after="0" w:line="360" w:lineRule="auto"/>
              <w:jc w:val="left"/>
              <w:rPr>
                <w:rFonts w:ascii="Arial" w:hAnsi="Arial" w:cs="Arial"/>
              </w:rPr>
            </w:pPr>
            <w:r>
              <w:rPr>
                <w:rFonts w:ascii="Arial" w:hAnsi="Arial" w:cs="Arial"/>
              </w:rPr>
              <w:t>Credit Spread per basis point</w:t>
            </w:r>
          </w:p>
        </w:tc>
        <w:tc>
          <w:tcPr>
            <w:tcW w:w="2542" w:type="dxa"/>
          </w:tcPr>
          <w:p w14:paraId="61146152" w14:textId="684E69A8" w:rsidR="0077471D" w:rsidRDefault="0077471D" w:rsidP="005659D2">
            <w:pPr>
              <w:pStyle w:val="BodyText"/>
              <w:spacing w:before="0" w:after="0" w:line="360" w:lineRule="auto"/>
              <w:jc w:val="left"/>
              <w:rPr>
                <w:rFonts w:ascii="Arial" w:hAnsi="Arial" w:cs="Arial"/>
              </w:rPr>
            </w:pPr>
            <w:r>
              <w:rPr>
                <w:rFonts w:ascii="Arial" w:hAnsi="Arial" w:cs="Arial"/>
              </w:rPr>
              <w:t>CSO1 (1 basis point move)</w:t>
            </w:r>
          </w:p>
        </w:tc>
        <w:tc>
          <w:tcPr>
            <w:tcW w:w="2087" w:type="dxa"/>
          </w:tcPr>
          <w:p w14:paraId="61412825" w14:textId="1AD29AF3" w:rsidR="0077471D" w:rsidRDefault="0077471D" w:rsidP="0077471D">
            <w:pPr>
              <w:pStyle w:val="BodyText"/>
              <w:spacing w:before="0" w:after="0" w:line="360" w:lineRule="auto"/>
              <w:jc w:val="left"/>
              <w:rPr>
                <w:rFonts w:ascii="Arial" w:hAnsi="Arial" w:cs="Arial"/>
              </w:rPr>
            </w:pPr>
            <w:r>
              <w:rPr>
                <w:rFonts w:ascii="Arial" w:hAnsi="Arial" w:cs="Arial"/>
              </w:rPr>
              <w:t>Investment</w:t>
            </w:r>
          </w:p>
        </w:tc>
        <w:tc>
          <w:tcPr>
            <w:tcW w:w="2462" w:type="dxa"/>
          </w:tcPr>
          <w:p w14:paraId="65E66C77" w14:textId="561AE7F3" w:rsidR="0077471D" w:rsidRDefault="0077471D" w:rsidP="0077471D">
            <w:pPr>
              <w:pStyle w:val="BodyText"/>
              <w:spacing w:before="0" w:after="0" w:line="360" w:lineRule="auto"/>
              <w:jc w:val="left"/>
              <w:rPr>
                <w:rFonts w:ascii="Arial" w:hAnsi="Arial" w:cs="Arial"/>
              </w:rPr>
            </w:pPr>
            <w:r>
              <w:rPr>
                <w:rFonts w:ascii="Arial" w:hAnsi="Arial" w:cs="Arial"/>
              </w:rPr>
              <w:t>USD 1,000,000</w:t>
            </w:r>
          </w:p>
        </w:tc>
      </w:tr>
    </w:tbl>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3" w:name="_Toc528250566"/>
      <w:r w:rsidRPr="00ED30C5">
        <w:rPr>
          <w:rFonts w:ascii="Arial" w:hAnsi="Arial" w:cs="Arial"/>
          <w:color w:val="auto"/>
          <w:sz w:val="22"/>
          <w:szCs w:val="22"/>
        </w:rPr>
        <w:lastRenderedPageBreak/>
        <w:t>Operational Risk</w:t>
      </w:r>
      <w:bookmarkEnd w:id="93"/>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4" w:name="_Toc528250567"/>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4"/>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5" w:name="_Toc528250568"/>
      <w:r>
        <w:rPr>
          <w:rFonts w:ascii="Arial" w:hAnsi="Arial" w:cs="Arial"/>
          <w:color w:val="auto"/>
          <w:sz w:val="22"/>
          <w:szCs w:val="22"/>
        </w:rPr>
        <w:t>Operational Risk Appetite</w:t>
      </w:r>
      <w:bookmarkEnd w:id="95"/>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p w14:paraId="28C4D02E" w14:textId="77777777" w:rsidR="008001EA" w:rsidRPr="00ED30C5" w:rsidRDefault="008001EA" w:rsidP="000F74C5">
      <w:pPr>
        <w:pStyle w:val="BodyText"/>
        <w:spacing w:before="0" w:after="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531D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17"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17"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17"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531DE4">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17"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D30C5" w:rsidRDefault="00850C4E" w:rsidP="000F74C5">
      <w:pPr>
        <w:pStyle w:val="BodyText"/>
        <w:spacing w:before="0" w:after="0" w:line="360" w:lineRule="auto"/>
        <w:jc w:val="left"/>
        <w:rPr>
          <w:rFonts w:ascii="Arial" w:hAnsi="Arial" w:cs="Arial"/>
          <w:szCs w:val="22"/>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41D5F1E" w14:textId="77777777" w:rsidR="00E81C79" w:rsidRPr="00697FBB" w:rsidRDefault="00E81C79"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6" w:name="_Toc507562638"/>
      <w:bookmarkStart w:id="97" w:name="_Toc507562896"/>
      <w:bookmarkStart w:id="98" w:name="_Toc507562639"/>
      <w:bookmarkStart w:id="99" w:name="_Toc507562897"/>
      <w:bookmarkStart w:id="100" w:name="_Toc507562640"/>
      <w:bookmarkStart w:id="101" w:name="_Toc507562898"/>
      <w:bookmarkStart w:id="102" w:name="_Toc507562641"/>
      <w:bookmarkStart w:id="103" w:name="_Toc507562899"/>
      <w:bookmarkStart w:id="104" w:name="_Toc507562642"/>
      <w:bookmarkStart w:id="105" w:name="_Toc507562900"/>
      <w:bookmarkStart w:id="106" w:name="_Toc507562643"/>
      <w:bookmarkStart w:id="107" w:name="_Toc507562901"/>
      <w:bookmarkStart w:id="108" w:name="__DdeLink__4136_736746831"/>
      <w:bookmarkStart w:id="109" w:name="_Toc528250569"/>
      <w:bookmarkEnd w:id="96"/>
      <w:bookmarkEnd w:id="97"/>
      <w:bookmarkEnd w:id="98"/>
      <w:bookmarkEnd w:id="99"/>
      <w:bookmarkEnd w:id="100"/>
      <w:bookmarkEnd w:id="101"/>
      <w:bookmarkEnd w:id="102"/>
      <w:bookmarkEnd w:id="103"/>
      <w:bookmarkEnd w:id="104"/>
      <w:bookmarkEnd w:id="105"/>
      <w:bookmarkEnd w:id="106"/>
      <w:bookmarkEnd w:id="107"/>
      <w:bookmarkEnd w:id="108"/>
      <w:r w:rsidRPr="00ED30C5">
        <w:rPr>
          <w:rFonts w:ascii="Arial" w:hAnsi="Arial" w:cs="Arial"/>
          <w:color w:val="auto"/>
          <w:sz w:val="22"/>
          <w:szCs w:val="22"/>
        </w:rPr>
        <w:t>Liquidity Risk</w:t>
      </w:r>
      <w:bookmarkEnd w:id="109"/>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0" w:name="_Toc528250570"/>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0"/>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(“ALCo”) which will be supported by ManCo in ensuring ongoing adherence to the limits set for liquidity risk.</w:t>
      </w:r>
      <w:r w:rsidRPr="00ED30C5">
        <w:rPr>
          <w:rFonts w:ascii="Arial" w:hAnsi="Arial" w:cs="Arial"/>
          <w:szCs w:val="22"/>
          <w:lang w:eastAsia="zh-CN"/>
        </w:rPr>
        <w:t xml:space="preserve"> </w:t>
      </w:r>
    </w:p>
    <w:p w14:paraId="00351350" w14:textId="77777777" w:rsidR="002856B4" w:rsidRPr="00ED30C5" w:rsidRDefault="002856B4" w:rsidP="002856B4">
      <w:pPr>
        <w:pStyle w:val="BodyText"/>
        <w:spacing w:before="0" w:after="0" w:line="360" w:lineRule="auto"/>
        <w:jc w:val="left"/>
        <w:rPr>
          <w:rFonts w:ascii="Arial" w:hAnsi="Arial" w:cs="Arial"/>
          <w:szCs w:val="22"/>
        </w:rPr>
      </w:pPr>
    </w:p>
    <w:p w14:paraId="5F23A641" w14:textId="0B27372A"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quantified in terms of stress </w:t>
      </w:r>
      <w:r w:rsidR="00017973" w:rsidRPr="00ED30C5">
        <w:rPr>
          <w:rFonts w:ascii="Arial" w:hAnsi="Arial" w:cs="Arial"/>
          <w:szCs w:val="22"/>
        </w:rPr>
        <w:t xml:space="preserve">scenarios </w:t>
      </w:r>
      <w:r w:rsidR="002D68F2">
        <w:rPr>
          <w:rFonts w:ascii="Arial" w:hAnsi="Arial" w:cs="Arial"/>
          <w:szCs w:val="22"/>
        </w:rPr>
        <w:t xml:space="preserve">covering intraday, short-term (30 days) and medium-term (1 year) and are </w:t>
      </w:r>
      <w:r w:rsidRPr="00ED30C5">
        <w:rPr>
          <w:rFonts w:ascii="Arial" w:hAnsi="Arial" w:cs="Arial"/>
          <w:szCs w:val="22"/>
        </w:rPr>
        <w:t>applied to CNCBLB’s sources of funding</w:t>
      </w:r>
      <w:r w:rsidR="002D68F2">
        <w:rPr>
          <w:rFonts w:ascii="Arial" w:hAnsi="Arial" w:cs="Arial"/>
          <w:szCs w:val="22"/>
        </w:rPr>
        <w:t xml:space="preserve">. This methodology </w:t>
      </w:r>
      <w:r w:rsidR="00E81C79">
        <w:rPr>
          <w:rFonts w:ascii="Arial" w:hAnsi="Arial" w:cs="Arial"/>
          <w:szCs w:val="22"/>
        </w:rPr>
        <w:t xml:space="preserve">considers </w:t>
      </w:r>
      <w:r w:rsidR="00E81C79" w:rsidRPr="00ED30C5">
        <w:rPr>
          <w:rFonts w:ascii="Arial" w:hAnsi="Arial" w:cs="Arial"/>
          <w:szCs w:val="22"/>
        </w:rPr>
        <w:t>the</w:t>
      </w:r>
      <w:r w:rsidRPr="00ED30C5">
        <w:rPr>
          <w:rFonts w:ascii="Arial" w:hAnsi="Arial" w:cs="Arial"/>
          <w:szCs w:val="22"/>
        </w:rPr>
        <w:t xml:space="preserve"> possibility that CNCBLB cannot raise funding from its normal sources, </w:t>
      </w:r>
      <w:r w:rsidR="00E81C79" w:rsidRPr="00ED30C5">
        <w:rPr>
          <w:rFonts w:ascii="Arial" w:hAnsi="Arial" w:cs="Arial"/>
          <w:szCs w:val="22"/>
        </w:rPr>
        <w:t xml:space="preserve">and </w:t>
      </w:r>
      <w:r w:rsidR="00E81C79" w:rsidRPr="002D68F2">
        <w:rPr>
          <w:rFonts w:ascii="Arial" w:hAnsi="Arial" w:cs="Arial"/>
          <w:szCs w:val="22"/>
        </w:rPr>
        <w:t>takes</w:t>
      </w:r>
      <w:r w:rsidR="002D68F2">
        <w:rPr>
          <w:rFonts w:ascii="Arial" w:hAnsi="Arial" w:cs="Arial"/>
          <w:szCs w:val="22"/>
        </w:rPr>
        <w:t xml:space="preserve"> into account</w:t>
      </w:r>
      <w:r w:rsidRPr="00ED30C5">
        <w:rPr>
          <w:rFonts w:ascii="Arial" w:hAnsi="Arial" w:cs="Arial"/>
          <w:szCs w:val="22"/>
        </w:rPr>
        <w:t xml:space="preserve"> </w:t>
      </w:r>
      <w:r w:rsidR="002D68F2">
        <w:rPr>
          <w:rFonts w:ascii="Arial" w:hAnsi="Arial" w:cs="Arial"/>
          <w:szCs w:val="22"/>
        </w:rPr>
        <w:lastRenderedPageBreak/>
        <w:t xml:space="preserve">both </w:t>
      </w:r>
      <w:r w:rsidRPr="00ED30C5">
        <w:rPr>
          <w:rFonts w:ascii="Arial" w:hAnsi="Arial" w:cs="Arial"/>
          <w:szCs w:val="22"/>
        </w:rPr>
        <w:t>cash inflows and outflows</w:t>
      </w:r>
      <w:r w:rsidR="002D68F2">
        <w:rPr>
          <w:rFonts w:ascii="Arial" w:hAnsi="Arial" w:cs="Arial"/>
          <w:szCs w:val="22"/>
        </w:rPr>
        <w:t xml:space="preserve">. The stress scenarios will reflect </w:t>
      </w:r>
      <w:r w:rsidRPr="00ED30C5">
        <w:rPr>
          <w:rFonts w:ascii="Arial" w:hAnsi="Arial" w:cs="Arial"/>
          <w:szCs w:val="22"/>
        </w:rPr>
        <w:t xml:space="preserve">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75ADF316" w14:textId="33AD34C9"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The Branch will monitor its </w:t>
      </w:r>
      <w:r w:rsidR="002D68F2">
        <w:rPr>
          <w:rFonts w:ascii="Arial" w:hAnsi="Arial" w:cs="Arial"/>
          <w:szCs w:val="22"/>
        </w:rPr>
        <w:t xml:space="preserve">liquidity </w:t>
      </w:r>
      <w:r w:rsidRPr="00ED30C5">
        <w:rPr>
          <w:rFonts w:ascii="Arial" w:hAnsi="Arial" w:cs="Arial"/>
          <w:szCs w:val="22"/>
        </w:rPr>
        <w:t>risk appetite against the following metrics:</w:t>
      </w:r>
    </w:p>
    <w:p w14:paraId="16CED572" w14:textId="77777777" w:rsidR="002D444E" w:rsidRPr="00ED30C5" w:rsidRDefault="002D444E" w:rsidP="002856B4">
      <w:pPr>
        <w:pStyle w:val="BodyText"/>
        <w:spacing w:before="0" w:after="0" w:line="360" w:lineRule="auto"/>
        <w:jc w:val="left"/>
        <w:rPr>
          <w:rFonts w:ascii="Arial" w:hAnsi="Arial" w:cs="Arial"/>
          <w:szCs w:val="22"/>
        </w:rPr>
      </w:pPr>
    </w:p>
    <w:p w14:paraId="2D538D47" w14:textId="77777777"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defined as the balance of Branch liquid assets / Balance of Branch liquidity liabilities.</w:t>
      </w:r>
    </w:p>
    <w:p w14:paraId="795FA10D" w14:textId="4BCE4C2B"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Liquidity Coverage Ratio</w:t>
      </w:r>
      <w:r w:rsidR="00017973" w:rsidRPr="00ED30C5">
        <w:rPr>
          <w:rFonts w:ascii="Arial" w:hAnsi="Arial" w:cs="Arial"/>
          <w:color w:val="auto"/>
        </w:rPr>
        <w:t xml:space="preserve"> (“LCR”)</w:t>
      </w:r>
      <w:r w:rsidRPr="00ED30C5">
        <w:rPr>
          <w:rFonts w:ascii="Arial" w:hAnsi="Arial" w:cs="Arial"/>
          <w:color w:val="auto"/>
        </w:rPr>
        <w:t xml:space="preserve">: the </w:t>
      </w:r>
      <w:r w:rsidR="00017973" w:rsidRPr="00ED30C5">
        <w:rPr>
          <w:rFonts w:ascii="Arial" w:hAnsi="Arial" w:cs="Arial"/>
          <w:color w:val="auto"/>
        </w:rPr>
        <w:t xml:space="preserve">LCR considers short-term liquidity risk </w:t>
      </w:r>
      <w:r w:rsidR="00735026" w:rsidRPr="00ED30C5">
        <w:rPr>
          <w:rFonts w:ascii="Arial" w:hAnsi="Arial" w:cs="Arial"/>
          <w:color w:val="auto"/>
        </w:rPr>
        <w:t xml:space="preserve">using </w:t>
      </w:r>
      <w:r w:rsidR="00017973" w:rsidRPr="00ED30C5">
        <w:rPr>
          <w:rFonts w:ascii="Arial" w:hAnsi="Arial" w:cs="Arial"/>
          <w:color w:val="auto"/>
        </w:rPr>
        <w:t xml:space="preserve">a stress scenario in the 30 day maturity bucket. The outflows are stressed to 40% against inflows to calculate the net cash outflows. The net cash outflows in the 30-day maturity bucket are measured against CNCBLB’s liquidity buffer to calculate the LCR. </w:t>
      </w:r>
    </w:p>
    <w:p w14:paraId="5C3C3BF2" w14:textId="6062AD31" w:rsidR="00735026" w:rsidRPr="00ED30C5" w:rsidRDefault="00017973" w:rsidP="002856B4">
      <w:pPr>
        <w:pStyle w:val="DBullet"/>
        <w:spacing w:before="0" w:after="0" w:line="360" w:lineRule="auto"/>
        <w:jc w:val="left"/>
        <w:rPr>
          <w:rFonts w:ascii="Arial" w:hAnsi="Arial" w:cs="Arial"/>
          <w:color w:val="auto"/>
        </w:rPr>
      </w:pPr>
      <w:r w:rsidRPr="00ED30C5">
        <w:rPr>
          <w:rFonts w:ascii="Arial" w:hAnsi="Arial" w:cs="Arial"/>
          <w:color w:val="auto"/>
        </w:rPr>
        <w:t>Net Stable Funding Ratio (“NSFR”): the NSFR ratio considers medium-term liquidity risk</w:t>
      </w:r>
      <w:r w:rsidR="00735026" w:rsidRPr="00ED30C5">
        <w:rPr>
          <w:rFonts w:ascii="Arial" w:hAnsi="Arial" w:cs="Arial"/>
          <w:color w:val="auto"/>
        </w:rPr>
        <w:t xml:space="preserve"> using stress scenarios in the amount of stable funding available against required stable funding</w:t>
      </w:r>
      <w:r w:rsidR="002D68F2">
        <w:rPr>
          <w:rFonts w:ascii="Arial" w:hAnsi="Arial" w:cs="Arial"/>
          <w:color w:val="auto"/>
        </w:rPr>
        <w:t>, out to 1 year</w:t>
      </w:r>
      <w:r w:rsidR="00735026" w:rsidRPr="00ED30C5">
        <w:rPr>
          <w:rFonts w:ascii="Arial" w:hAnsi="Arial" w:cs="Arial"/>
          <w:color w:val="auto"/>
        </w:rPr>
        <w:t xml:space="preserve">. </w:t>
      </w:r>
    </w:p>
    <w:p w14:paraId="64B25BC4" w14:textId="79BCD4CA" w:rsidR="002856B4" w:rsidRPr="00ED30C5" w:rsidRDefault="00735026" w:rsidP="00735026">
      <w:pPr>
        <w:pStyle w:val="DBullet"/>
        <w:numPr>
          <w:ilvl w:val="0"/>
          <w:numId w:val="0"/>
        </w:numPr>
        <w:spacing w:before="0" w:after="0" w:line="360" w:lineRule="auto"/>
        <w:ind w:left="357"/>
        <w:jc w:val="left"/>
        <w:rPr>
          <w:rFonts w:ascii="Arial" w:hAnsi="Arial" w:cs="Arial"/>
          <w:color w:val="auto"/>
        </w:rPr>
      </w:pPr>
      <w:r w:rsidRPr="00ED30C5">
        <w:rPr>
          <w:rFonts w:ascii="Arial" w:hAnsi="Arial" w:cs="Arial"/>
          <w:color w:val="auto"/>
        </w:rPr>
        <w:t xml:space="preserve">  </w:t>
      </w:r>
      <w:r w:rsidR="00017973" w:rsidRPr="00ED30C5">
        <w:rPr>
          <w:rFonts w:ascii="Arial" w:hAnsi="Arial" w:cs="Arial"/>
          <w:color w:val="auto"/>
        </w:rPr>
        <w:t xml:space="preserve">   </w:t>
      </w:r>
    </w:p>
    <w:p w14:paraId="56E4A5C9" w14:textId="77A8DFC8" w:rsidR="00B33DC4" w:rsidRPr="00ED30C5" w:rsidRDefault="00B33DC4" w:rsidP="00B33DC4">
      <w:pPr>
        <w:pStyle w:val="Heading2"/>
        <w:spacing w:before="0" w:after="0" w:line="360" w:lineRule="auto"/>
        <w:rPr>
          <w:rFonts w:ascii="Arial" w:hAnsi="Arial" w:cs="Arial"/>
          <w:color w:val="auto"/>
          <w:sz w:val="22"/>
          <w:szCs w:val="22"/>
        </w:rPr>
      </w:pPr>
      <w:bookmarkStart w:id="111" w:name="_Toc528250571"/>
      <w:r>
        <w:rPr>
          <w:rFonts w:ascii="Arial" w:hAnsi="Arial" w:cs="Arial"/>
          <w:color w:val="auto"/>
          <w:sz w:val="22"/>
          <w:szCs w:val="22"/>
        </w:rPr>
        <w:t>Liquidity Risk Appetite</w:t>
      </w:r>
      <w:bookmarkEnd w:id="111"/>
    </w:p>
    <w:p w14:paraId="656BE21B" w14:textId="17DF2266"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The Branch has set the following liquidity risk appetite:</w:t>
      </w:r>
    </w:p>
    <w:p w14:paraId="66376E6E" w14:textId="77777777" w:rsidR="002D444E" w:rsidRPr="00ED30C5" w:rsidRDefault="002D444E" w:rsidP="002856B4">
      <w:pPr>
        <w:pStyle w:val="BodyText"/>
        <w:spacing w:before="0" w:after="0" w:line="360" w:lineRule="auto"/>
        <w:jc w:val="left"/>
        <w:rPr>
          <w:rFonts w:ascii="Arial" w:hAnsi="Arial" w:cs="Arial"/>
          <w:szCs w:val="22"/>
        </w:rPr>
      </w:pPr>
    </w:p>
    <w:p w14:paraId="76CE2077" w14:textId="075F8D55"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must not fall below 30%;</w:t>
      </w:r>
    </w:p>
    <w:p w14:paraId="5CC05C55" w14:textId="2F21EF7A"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One Month Liquidity Coverage Ratio must not fall below 75%; and</w:t>
      </w:r>
    </w:p>
    <w:p w14:paraId="5AA30052" w14:textId="449B107C" w:rsidR="002856B4" w:rsidRPr="00ED30C5" w:rsidRDefault="00D41768" w:rsidP="002856B4">
      <w:pPr>
        <w:pStyle w:val="DBullet"/>
        <w:spacing w:before="0" w:after="0" w:line="360" w:lineRule="auto"/>
        <w:jc w:val="left"/>
        <w:rPr>
          <w:rFonts w:ascii="Arial" w:hAnsi="Arial" w:cs="Arial"/>
          <w:color w:val="auto"/>
        </w:rPr>
      </w:pPr>
      <w:r w:rsidRPr="00ED30C5">
        <w:rPr>
          <w:rFonts w:ascii="Arial" w:hAnsi="Arial" w:cs="Arial"/>
          <w:color w:val="auto"/>
        </w:rPr>
        <w:t xml:space="preserve">Net Stable Funding </w:t>
      </w:r>
      <w:r w:rsidR="002856B4" w:rsidRPr="00ED30C5">
        <w:rPr>
          <w:rFonts w:ascii="Arial" w:hAnsi="Arial" w:cs="Arial"/>
          <w:color w:val="auto"/>
        </w:rPr>
        <w:t>Ratio must not fall below 90%.</w:t>
      </w:r>
    </w:p>
    <w:p w14:paraId="39064D98" w14:textId="42C1DE22" w:rsidR="00D41768" w:rsidRPr="00ED30C5" w:rsidRDefault="00D41768" w:rsidP="002856B4">
      <w:pPr>
        <w:pStyle w:val="BodyText"/>
        <w:spacing w:before="0" w:after="0" w:line="360" w:lineRule="auto"/>
        <w:jc w:val="left"/>
        <w:rPr>
          <w:rFonts w:ascii="Arial" w:hAnsi="Arial" w:cs="Arial"/>
          <w:szCs w:val="22"/>
        </w:rPr>
      </w:pPr>
    </w:p>
    <w:p w14:paraId="2B293C96" w14:textId="3A0CBA9D" w:rsidR="00D41768" w:rsidRPr="00ED30C5" w:rsidRDefault="00D41768" w:rsidP="00D41768">
      <w:pPr>
        <w:pStyle w:val="BodyText"/>
        <w:spacing w:before="0" w:after="0" w:line="360" w:lineRule="auto"/>
        <w:jc w:val="left"/>
        <w:rPr>
          <w:rFonts w:ascii="Arial" w:hAnsi="Arial" w:cs="Arial"/>
          <w:szCs w:val="22"/>
        </w:rPr>
      </w:pPr>
      <w:r w:rsidRPr="00ED30C5">
        <w:rPr>
          <w:rFonts w:ascii="Arial" w:hAnsi="Arial" w:cs="Arial"/>
          <w:szCs w:val="22"/>
        </w:rPr>
        <w:lastRenderedPageBreak/>
        <w:t>The CNCBLB ‘Liquidity Buffer’ will be restricted to ‘High Quality Liquid Assets (“HQLA”) that will consist of cash, Central Bank deposits and Level 1 securities, as defined under the Commission Delegated Regulation (EU) 2015/61.</w:t>
      </w:r>
    </w:p>
    <w:p w14:paraId="5EF562BA" w14:textId="77777777" w:rsidR="00DD6525" w:rsidRDefault="00DD6525" w:rsidP="00DD6525">
      <w:pPr>
        <w:rPr>
          <w:rFonts w:ascii="Arial" w:hAnsi="Arial" w:cs="Arial"/>
        </w:rPr>
      </w:pPr>
    </w:p>
    <w:p w14:paraId="737B6D49" w14:textId="779467D2"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concentration limits, </w:t>
      </w:r>
      <w:r>
        <w:rPr>
          <w:rFonts w:ascii="Arial" w:hAnsi="Arial" w:cs="Arial"/>
        </w:rPr>
        <w:t>is</w:t>
      </w:r>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52825057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52825057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52825057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lastRenderedPageBreak/>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124" w:name="_Toc528250575"/>
      <w:r>
        <w:rPr>
          <w:rFonts w:ascii="Arial" w:hAnsi="Arial" w:cs="Arial"/>
          <w:color w:val="auto"/>
          <w:sz w:val="22"/>
          <w:szCs w:val="22"/>
        </w:rPr>
        <w:t>Climate Change Risk</w:t>
      </w:r>
    </w:p>
    <w:p w14:paraId="0ADB91A1" w14:textId="67C3A411" w:rsidR="00343ED6" w:rsidRDefault="00343ED6" w:rsidP="002B3167">
      <w:pPr>
        <w:spacing w:before="0" w:after="0" w:line="360" w:lineRule="auto"/>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collapse of ecosystems, extreme weather events and potential failure of any mitigation could impact various other existing and emerging risks. The World Economic Forum provide the following interconnectivity map for 2019. </w:t>
      </w:r>
      <w:r>
        <w:rPr>
          <w:noProof/>
          <w:lang w:val="en-GB" w:eastAsia="zh-CN" w:bidi="ar-SA"/>
        </w:rPr>
        <w:drawing>
          <wp:inline distT="0" distB="0" distL="0" distR="0" wp14:anchorId="146C630A" wp14:editId="7788E562">
            <wp:extent cx="5953125" cy="534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715" cy="5359718"/>
                    </a:xfrm>
                    <a:prstGeom prst="rect">
                      <a:avLst/>
                    </a:prstGeom>
                  </pic:spPr>
                </pic:pic>
              </a:graphicData>
            </a:graphic>
          </wp:inline>
        </w:drawing>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lastRenderedPageBreak/>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w:t>
      </w:r>
      <w:r>
        <w:rPr>
          <w:rFonts w:ascii="Arial" w:eastAsia="Times New Roman" w:hAnsi="Arial" w:cs="Arial"/>
          <w:color w:val="1E1E1E"/>
          <w:sz w:val="22"/>
          <w:szCs w:val="22"/>
          <w:lang w:eastAsia="zh-CN"/>
        </w:rPr>
        <w:lastRenderedPageBreak/>
        <w:t xml:space="preserve">of environmental risk. The CRO will also 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4"/>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The Branch has the following mitigants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lastRenderedPageBreak/>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5" w:name="_Toc507562654"/>
      <w:bookmarkStart w:id="126" w:name="_Toc507562912"/>
      <w:bookmarkStart w:id="127" w:name="_Toc507562655"/>
      <w:bookmarkStart w:id="128" w:name="_Toc507562913"/>
      <w:bookmarkStart w:id="129" w:name="_Toc528250576"/>
      <w:bookmarkEnd w:id="125"/>
      <w:bookmarkEnd w:id="126"/>
      <w:bookmarkEnd w:id="127"/>
      <w:bookmarkEnd w:id="128"/>
      <w:r w:rsidRPr="00ED30C5">
        <w:rPr>
          <w:rFonts w:ascii="Arial" w:hAnsi="Arial" w:cs="Arial"/>
          <w:color w:val="auto"/>
          <w:sz w:val="22"/>
          <w:szCs w:val="22"/>
        </w:rPr>
        <w:t>Conduct Risk</w:t>
      </w:r>
      <w:bookmarkEnd w:id="129"/>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ManCo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onduct risk could occur at a number of points on the customer journey, from the design of the product, to the way the product is sold, to the ongoing servicing of clients’ needs. The senior management of the Branch recognise that governance and the underlying culture of the organisation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The Branch will operate in the wholesale market and not in the retail market space, and its clients will be categorised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The Branch may inadvertently increase the incidence of conduct risk by not taking appropriate steps to organise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r w:rsidR="00A227C8">
        <w:rPr>
          <w:rFonts w:ascii="Arial" w:hAnsi="Arial" w:cs="Arial"/>
          <w:szCs w:val="22"/>
          <w:lang w:val="en-GB" w:eastAsia="zh-CN"/>
        </w:rPr>
        <w:t>ManCo</w:t>
      </w:r>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the ARCo and the ManCo.</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0" w:name="_Toc528250577"/>
      <w:r w:rsidRPr="00ED30C5">
        <w:rPr>
          <w:rFonts w:ascii="Arial" w:hAnsi="Arial" w:cs="Arial"/>
          <w:color w:val="auto"/>
          <w:sz w:val="22"/>
          <w:szCs w:val="22"/>
        </w:rPr>
        <w:lastRenderedPageBreak/>
        <w:t>Outsourcing Risk</w:t>
      </w:r>
      <w:bookmarkEnd w:id="130"/>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w:t>
      </w:r>
      <w:r w:rsidRPr="00ED30C5">
        <w:rPr>
          <w:rFonts w:ascii="Arial" w:hAnsi="Arial" w:cs="Arial"/>
          <w:sz w:val="22"/>
        </w:rPr>
        <w:lastRenderedPageBreak/>
        <w:t>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1" w:name="_Toc522550607"/>
      <w:bookmarkStart w:id="132" w:name="_Toc522550887"/>
      <w:bookmarkStart w:id="133" w:name="_Toc522551048"/>
      <w:bookmarkStart w:id="134" w:name="_Toc523919249"/>
      <w:bookmarkStart w:id="135" w:name="_Toc523928431"/>
      <w:bookmarkStart w:id="136" w:name="_Toc525119374"/>
      <w:bookmarkStart w:id="137" w:name="_Toc525129698"/>
      <w:bookmarkStart w:id="138" w:name="_Toc525216734"/>
      <w:bookmarkStart w:id="139" w:name="_Toc525217149"/>
      <w:bookmarkStart w:id="140" w:name="_Toc525217319"/>
      <w:bookmarkStart w:id="141" w:name="_Toc528250578"/>
      <w:r w:rsidRPr="00ED30C5">
        <w:rPr>
          <w:rFonts w:ascii="Arial" w:hAnsi="Arial" w:cs="Arial"/>
          <w:color w:val="auto"/>
          <w:sz w:val="22"/>
          <w:szCs w:val="22"/>
        </w:rPr>
        <w:lastRenderedPageBreak/>
        <w:t>IT Risk</w:t>
      </w:r>
      <w:bookmarkEnd w:id="131"/>
      <w:bookmarkEnd w:id="132"/>
      <w:bookmarkEnd w:id="133"/>
      <w:bookmarkEnd w:id="134"/>
      <w:bookmarkEnd w:id="135"/>
      <w:bookmarkEnd w:id="136"/>
      <w:bookmarkEnd w:id="137"/>
      <w:bookmarkEnd w:id="138"/>
      <w:bookmarkEnd w:id="139"/>
      <w:bookmarkEnd w:id="140"/>
      <w:bookmarkEnd w:id="141"/>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organisation.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6F0D1A59"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2" w:name="_Toc528250579"/>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2"/>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ManCo,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3" w:name="_Toc507562685"/>
      <w:bookmarkStart w:id="144" w:name="_Toc507562943"/>
      <w:bookmarkStart w:id="145" w:name="_Toc507562686"/>
      <w:bookmarkStart w:id="146" w:name="_Toc507562944"/>
      <w:bookmarkStart w:id="147" w:name="_Toc507562687"/>
      <w:bookmarkStart w:id="148" w:name="_Toc507562945"/>
      <w:bookmarkStart w:id="149" w:name="_Toc507562688"/>
      <w:bookmarkStart w:id="150" w:name="_Toc507562946"/>
      <w:bookmarkStart w:id="151" w:name="_Toc528250580"/>
      <w:bookmarkEnd w:id="143"/>
      <w:bookmarkEnd w:id="144"/>
      <w:bookmarkEnd w:id="145"/>
      <w:bookmarkEnd w:id="146"/>
      <w:bookmarkEnd w:id="147"/>
      <w:bookmarkEnd w:id="148"/>
      <w:bookmarkEnd w:id="149"/>
      <w:bookmarkEnd w:id="150"/>
      <w:r w:rsidRPr="00ED30C5">
        <w:rPr>
          <w:rFonts w:ascii="Arial" w:hAnsi="Arial" w:cs="Arial"/>
          <w:color w:val="auto"/>
          <w:sz w:val="22"/>
          <w:szCs w:val="22"/>
        </w:rPr>
        <w:t>Exceptions</w:t>
      </w:r>
      <w:bookmarkEnd w:id="151"/>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Unless otherwise provided for in this document, the opportunity must first be reviewed and approved by the ManCo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ManCo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2" w:name="_Toc528250581"/>
      <w:r w:rsidRPr="00ED30C5">
        <w:rPr>
          <w:rFonts w:ascii="Arial" w:hAnsi="Arial" w:cs="Arial"/>
          <w:color w:val="auto"/>
          <w:sz w:val="22"/>
          <w:szCs w:val="22"/>
        </w:rPr>
        <w:lastRenderedPageBreak/>
        <w:t>Stress Testing</w:t>
      </w:r>
      <w:bookmarkEnd w:id="152"/>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ARCo and ManCo</w:t>
      </w:r>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3" w:name="_Toc528250582"/>
      <w:r w:rsidRPr="00ED30C5">
        <w:rPr>
          <w:rFonts w:ascii="Arial" w:hAnsi="Arial" w:cs="Arial"/>
          <w:color w:val="auto"/>
          <w:sz w:val="22"/>
          <w:szCs w:val="22"/>
        </w:rPr>
        <w:t>Management Information and Reporting</w:t>
      </w:r>
      <w:bookmarkEnd w:id="153"/>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MI relating to the branch performance against its stated Risk Appetite measures will be included within the regular reporting received by the ManCo</w:t>
      </w:r>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ARCo</w:t>
      </w:r>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61F988A6" w14:textId="53C68C3B"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C024FC">
        <w:rPr>
          <w:rFonts w:ascii="Arial" w:hAnsi="Arial" w:cs="Arial"/>
          <w:szCs w:val="22"/>
          <w:lang w:eastAsia="zh-CN"/>
        </w:rPr>
        <w:t>present compliance at the ManCo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12.4</w:t>
      </w:r>
      <w:r w:rsidRPr="00ED30C5">
        <w:rPr>
          <w:rFonts w:ascii="Arial" w:hAnsi="Arial" w:cs="Arial"/>
          <w:szCs w:val="22"/>
          <w:lang w:eastAsia="zh-CN"/>
        </w:rPr>
        <w:t xml:space="preserve"> below. </w:t>
      </w:r>
    </w:p>
    <w:p w14:paraId="55933E3C" w14:textId="77777777" w:rsidR="002B3167" w:rsidRDefault="002B3167">
      <w:pPr>
        <w:spacing w:before="0" w:after="160" w:line="259" w:lineRule="auto"/>
        <w:rPr>
          <w:rFonts w:ascii="Arial" w:hAnsi="Arial" w:cs="Arial"/>
          <w:b/>
          <w:bCs/>
          <w:lang w:val="en-GB" w:eastAsia="zh-CN"/>
        </w:rPr>
      </w:pPr>
      <w:bookmarkStart w:id="154" w:name="_Toc528250583"/>
      <w:r>
        <w:rPr>
          <w:rFonts w:ascii="Arial" w:hAnsi="Arial" w:cs="Arial"/>
        </w:rPr>
        <w:br w:type="page"/>
      </w:r>
    </w:p>
    <w:p w14:paraId="3CFC20DF" w14:textId="59D4D8EF" w:rsidR="009E219D" w:rsidRPr="00ED30C5" w:rsidRDefault="00703D2C" w:rsidP="0083404A">
      <w:pPr>
        <w:pStyle w:val="Heading2"/>
        <w:rPr>
          <w:rFonts w:ascii="Arial" w:hAnsi="Arial" w:cs="Arial"/>
          <w:color w:val="auto"/>
          <w:sz w:val="22"/>
          <w:szCs w:val="22"/>
        </w:rPr>
      </w:pPr>
      <w:r w:rsidRPr="00ED30C5">
        <w:rPr>
          <w:rFonts w:ascii="Arial" w:hAnsi="Arial" w:cs="Arial"/>
          <w:color w:val="auto"/>
          <w:sz w:val="22"/>
          <w:szCs w:val="22"/>
        </w:rPr>
        <w:lastRenderedPageBreak/>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4"/>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r w:rsidR="0083404A" w:rsidRPr="00ED30C5">
        <w:rPr>
          <w:rFonts w:ascii="Arial" w:hAnsi="Arial" w:cs="Arial"/>
        </w:rPr>
        <w:t xml:space="preserve">ManCo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ManCo</w:t>
            </w:r>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ARCo</w:t>
            </w:r>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ManCo</w:t>
            </w:r>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ARCo</w:t>
            </w:r>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5" w:name="_Toc466897494"/>
    </w:p>
    <w:p w14:paraId="1173B960" w14:textId="7C8C906E"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ManCo</w:t>
      </w:r>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5"/>
    </w:p>
    <w:p w14:paraId="5B007E1D" w14:textId="77777777" w:rsidR="002B3167" w:rsidRDefault="002B3167">
      <w:pPr>
        <w:spacing w:before="0" w:after="160" w:line="259" w:lineRule="auto"/>
        <w:rPr>
          <w:rFonts w:ascii="Arial" w:hAnsi="Arial" w:cs="Arial"/>
          <w:b/>
          <w:bCs/>
          <w:lang w:val="en-GB" w:eastAsia="zh-CN"/>
        </w:rPr>
      </w:pPr>
      <w:bookmarkStart w:id="156" w:name="_Toc528250584"/>
      <w:r>
        <w:rPr>
          <w:rFonts w:ascii="Arial" w:hAnsi="Arial" w:cs="Arial"/>
        </w:rPr>
        <w:br w:type="page"/>
      </w:r>
    </w:p>
    <w:p w14:paraId="6E5E443B" w14:textId="0CC775D7" w:rsidR="00DD6525" w:rsidRPr="00ED30C5" w:rsidRDefault="00DD6525" w:rsidP="00DD6525">
      <w:pPr>
        <w:pStyle w:val="Heading2"/>
        <w:rPr>
          <w:rFonts w:ascii="Arial" w:hAnsi="Arial" w:cs="Arial"/>
          <w:color w:val="auto"/>
          <w:sz w:val="22"/>
          <w:szCs w:val="22"/>
        </w:rPr>
      </w:pPr>
      <w:r w:rsidRPr="00ED30C5">
        <w:rPr>
          <w:rFonts w:ascii="Arial" w:hAnsi="Arial" w:cs="Arial"/>
          <w:color w:val="auto"/>
          <w:sz w:val="22"/>
          <w:szCs w:val="22"/>
        </w:rPr>
        <w:lastRenderedPageBreak/>
        <w:t>RAS Usage in CNCBLB</w:t>
      </w:r>
      <w:bookmarkEnd w:id="156"/>
    </w:p>
    <w:p w14:paraId="316C8E1C" w14:textId="2B1D8763" w:rsidR="00DD6525" w:rsidRDefault="00DD6525" w:rsidP="00DD6525">
      <w:pPr>
        <w:spacing w:after="0" w:line="360" w:lineRule="auto"/>
        <w:rPr>
          <w:rFonts w:ascii="Arial" w:hAnsi="Arial" w:cs="Arial"/>
        </w:rPr>
      </w:pPr>
      <w:r w:rsidRPr="00ED30C5">
        <w:rPr>
          <w:rFonts w:ascii="Arial" w:hAnsi="Arial" w:cs="Arial"/>
        </w:rPr>
        <w:t>The RAS is set out in sufficient detail to enable ManCo and ARCo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2C94999F" w14:textId="77777777" w:rsidR="00DD6525" w:rsidRPr="00ED30C5" w:rsidRDefault="00DD6525" w:rsidP="00DD6525">
      <w:pPr>
        <w:pStyle w:val="Heading2"/>
        <w:rPr>
          <w:rFonts w:ascii="Arial" w:hAnsi="Arial" w:cs="Arial"/>
          <w:color w:val="auto"/>
          <w:sz w:val="22"/>
          <w:szCs w:val="22"/>
        </w:rPr>
      </w:pPr>
      <w:bookmarkStart w:id="157" w:name="_Toc528250585"/>
      <w:r w:rsidRPr="00ED30C5">
        <w:rPr>
          <w:rFonts w:ascii="Arial" w:hAnsi="Arial" w:cs="Arial"/>
          <w:color w:val="auto"/>
          <w:sz w:val="22"/>
          <w:szCs w:val="22"/>
        </w:rPr>
        <w:t>RAS Approval and Update</w:t>
      </w:r>
      <w:bookmarkEnd w:id="157"/>
      <w:r w:rsidRPr="00ED30C5">
        <w:rPr>
          <w:rFonts w:ascii="Arial" w:hAnsi="Arial" w:cs="Arial"/>
          <w:color w:val="auto"/>
          <w:sz w:val="22"/>
          <w:szCs w:val="22"/>
        </w:rPr>
        <w:t xml:space="preserve"> </w:t>
      </w:r>
    </w:p>
    <w:p w14:paraId="5BD62D3F" w14:textId="1D19678C" w:rsidR="00DD6525" w:rsidRPr="00ED30C5" w:rsidRDefault="00DD6525" w:rsidP="00DD6525">
      <w:pPr>
        <w:spacing w:after="0" w:line="360" w:lineRule="auto"/>
        <w:rPr>
          <w:rFonts w:ascii="Arial" w:hAnsi="Arial" w:cs="Arial"/>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ManCo at least annually or more frequently should changes in the business plan </w:t>
      </w:r>
      <w:r w:rsidR="00604892">
        <w:rPr>
          <w:rFonts w:ascii="Arial" w:hAnsi="Arial" w:cs="Arial"/>
        </w:rPr>
        <w:t xml:space="preserve">or activities </w:t>
      </w:r>
      <w:r w:rsidRPr="00ED30C5">
        <w:rPr>
          <w:rFonts w:ascii="Arial" w:hAnsi="Arial" w:cs="Arial"/>
        </w:rPr>
        <w:t>occur.</w:t>
      </w:r>
    </w:p>
    <w:p w14:paraId="1A56ABF6" w14:textId="5204FE73" w:rsidR="00A730D7" w:rsidRDefault="00A730D7">
      <w:pPr>
        <w:spacing w:before="0" w:after="160" w:line="259" w:lineRule="auto"/>
        <w:rPr>
          <w:rFonts w:ascii="Arial" w:hAnsi="Arial" w:cs="Arial"/>
          <w:b/>
          <w:bCs/>
          <w:lang w:eastAsia="zh-CN"/>
        </w:rPr>
      </w:pPr>
      <w:bookmarkStart w:id="158" w:name="_Toc522550615"/>
      <w:bookmarkStart w:id="159" w:name="_Toc522550895"/>
      <w:bookmarkStart w:id="160" w:name="_Toc522551056"/>
      <w:bookmarkStart w:id="161" w:name="_Toc523919257"/>
      <w:bookmarkStart w:id="162" w:name="_Toc523928439"/>
    </w:p>
    <w:p w14:paraId="51DB9947" w14:textId="77777777" w:rsidR="002B3167" w:rsidRDefault="002B3167">
      <w:pPr>
        <w:spacing w:before="0" w:after="160" w:line="259" w:lineRule="auto"/>
        <w:rPr>
          <w:rFonts w:ascii="Arial" w:hAnsi="Arial" w:cs="Arial"/>
          <w:b/>
          <w:bCs/>
          <w:lang w:eastAsia="zh-CN"/>
        </w:rPr>
      </w:pPr>
      <w:bookmarkStart w:id="163" w:name="_Toc528250586"/>
      <w:r>
        <w:rPr>
          <w:rFonts w:ascii="Arial" w:hAnsi="Arial" w:cs="Arial"/>
          <w:lang w:eastAsia="zh-CN"/>
        </w:rPr>
        <w:br w:type="page"/>
      </w:r>
    </w:p>
    <w:p w14:paraId="6C809744" w14:textId="3CF3038A" w:rsidR="0018225D" w:rsidRPr="002D444E" w:rsidRDefault="00264B62" w:rsidP="000339C9">
      <w:pPr>
        <w:pStyle w:val="Heading1"/>
        <w:spacing w:after="160" w:line="259" w:lineRule="auto"/>
        <w:jc w:val="left"/>
        <w:rPr>
          <w:rFonts w:ascii="Arial" w:hAnsi="Arial" w:cs="Arial"/>
          <w:color w:val="auto"/>
          <w:sz w:val="22"/>
          <w:szCs w:val="22"/>
          <w:lang w:val="en-GB" w:eastAsia="zh-CN"/>
        </w:rPr>
      </w:pPr>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HO Delegated Authority</w:t>
      </w:r>
      <w:bookmarkEnd w:id="163"/>
      <w:r w:rsidR="0004275F" w:rsidRPr="002D444E">
        <w:rPr>
          <w:rFonts w:ascii="Arial" w:hAnsi="Arial" w:cs="Arial"/>
          <w:color w:val="auto"/>
          <w:sz w:val="22"/>
          <w:szCs w:val="22"/>
          <w:lang w:eastAsia="zh-CN"/>
        </w:rPr>
        <w:t xml:space="preserve"> </w:t>
      </w:r>
    </w:p>
    <w:p w14:paraId="6635FE56" w14:textId="77777777" w:rsidR="00D03C81" w:rsidRPr="00ED30C5" w:rsidRDefault="00D03C81" w:rsidP="005659D2">
      <w:pPr>
        <w:pStyle w:val="BodyText"/>
        <w:spacing w:before="0" w:after="0" w:line="360" w:lineRule="auto"/>
        <w:jc w:val="left"/>
        <w:rPr>
          <w:rFonts w:ascii="Arial" w:hAnsi="Arial" w:cs="Arial"/>
          <w:szCs w:val="22"/>
          <w:lang w:val="en-GB" w:eastAsia="zh-CN"/>
        </w:rPr>
      </w:pPr>
      <w:bookmarkStart w:id="164" w:name="_Toc507562660"/>
      <w:bookmarkStart w:id="165" w:name="_Toc507562918"/>
      <w:bookmarkStart w:id="166" w:name="_Toc507562661"/>
      <w:bookmarkStart w:id="167" w:name="_Toc507562919"/>
      <w:bookmarkStart w:id="168" w:name="_Toc507562662"/>
      <w:bookmarkStart w:id="169" w:name="_Toc507562920"/>
      <w:bookmarkStart w:id="170" w:name="_Toc507562663"/>
      <w:bookmarkStart w:id="171" w:name="_Toc507562921"/>
      <w:bookmarkStart w:id="172" w:name="_Toc507562664"/>
      <w:bookmarkStart w:id="173" w:name="_Toc507562922"/>
      <w:bookmarkStart w:id="174" w:name="_Toc507562665"/>
      <w:bookmarkStart w:id="175" w:name="_Toc507562923"/>
      <w:bookmarkStart w:id="176" w:name="_Toc507562666"/>
      <w:bookmarkStart w:id="177" w:name="_Toc507562924"/>
      <w:bookmarkStart w:id="178" w:name="_Toc507562669"/>
      <w:bookmarkStart w:id="179" w:name="_Toc507562927"/>
      <w:bookmarkStart w:id="180" w:name="_Toc507562670"/>
      <w:bookmarkStart w:id="181" w:name="_Toc507562928"/>
      <w:bookmarkStart w:id="182" w:name="_Toc507562671"/>
      <w:bookmarkStart w:id="183" w:name="_Toc507562929"/>
      <w:bookmarkStart w:id="184" w:name="_Toc507562672"/>
      <w:bookmarkStart w:id="185" w:name="_Toc507562930"/>
      <w:bookmarkStart w:id="186" w:name="_Toc507562673"/>
      <w:bookmarkStart w:id="187" w:name="_Toc507562931"/>
      <w:bookmarkStart w:id="188" w:name="_Toc507562674"/>
      <w:bookmarkStart w:id="189" w:name="_Toc507562932"/>
      <w:bookmarkStart w:id="190" w:name="_Toc507562675"/>
      <w:bookmarkStart w:id="191" w:name="_Toc507562933"/>
      <w:bookmarkStart w:id="192" w:name="_Toc507562676"/>
      <w:bookmarkStart w:id="193" w:name="_Toc507562934"/>
      <w:bookmarkStart w:id="194" w:name="_Toc507562677"/>
      <w:bookmarkStart w:id="195" w:name="_Toc507562935"/>
      <w:bookmarkStart w:id="196" w:name="_Toc507562679"/>
      <w:bookmarkStart w:id="197" w:name="_Toc507562937"/>
      <w:bookmarkStart w:id="198" w:name="_Toc507562680"/>
      <w:bookmarkStart w:id="199" w:name="_Toc507562938"/>
      <w:bookmarkStart w:id="200" w:name="_Toc507562681"/>
      <w:bookmarkStart w:id="201" w:name="_Toc507562939"/>
      <w:bookmarkEnd w:id="158"/>
      <w:bookmarkEnd w:id="159"/>
      <w:bookmarkEnd w:id="160"/>
      <w:bookmarkEnd w:id="161"/>
      <w:bookmarkEnd w:id="16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sectPr w:rsidR="00D03C81" w:rsidRPr="00ED30C5" w:rsidSect="0018225D">
      <w:headerReference w:type="even" r:id="rId14"/>
      <w:headerReference w:type="default" r:id="rId15"/>
      <w:headerReference w:type="first" r:id="rId16"/>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3C0D7A" w:rsidRDefault="003C0D7A">
      <w:pPr>
        <w:spacing w:before="0" w:after="0" w:line="240" w:lineRule="auto"/>
      </w:pPr>
      <w:r>
        <w:separator/>
      </w:r>
    </w:p>
    <w:p w14:paraId="67287D1C" w14:textId="77777777" w:rsidR="003C0D7A" w:rsidRDefault="003C0D7A"/>
  </w:endnote>
  <w:endnote w:type="continuationSeparator" w:id="0">
    <w:p w14:paraId="69C6E009" w14:textId="77777777" w:rsidR="003C0D7A" w:rsidRDefault="003C0D7A">
      <w:pPr>
        <w:spacing w:before="0" w:after="0" w:line="240" w:lineRule="auto"/>
      </w:pPr>
      <w:r>
        <w:continuationSeparator/>
      </w:r>
    </w:p>
    <w:p w14:paraId="7C81E8D1" w14:textId="77777777" w:rsidR="003C0D7A" w:rsidRDefault="003C0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nivers 45 Light">
    <w:charset w:val="00"/>
    <w:family w:val="auto"/>
    <w:pitch w:val="variable"/>
    <w:sig w:usb0="8000002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3C0D7A" w:rsidRDefault="003C0D7A">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B6D5D">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6D5D">
      <w:rPr>
        <w:b/>
        <w:noProof/>
      </w:rPr>
      <w:t>43</w:t>
    </w:r>
    <w:r>
      <w:rPr>
        <w:b/>
        <w:sz w:val="24"/>
        <w:szCs w:val="24"/>
      </w:rPr>
      <w:fldChar w:fldCharType="end"/>
    </w:r>
  </w:p>
  <w:p w14:paraId="3CAFA575" w14:textId="77777777" w:rsidR="003C0D7A" w:rsidRDefault="003C0D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3C0D7A" w:rsidRDefault="003C0D7A">
      <w:pPr>
        <w:spacing w:before="0" w:after="0" w:line="240" w:lineRule="auto"/>
      </w:pPr>
      <w:r>
        <w:separator/>
      </w:r>
    </w:p>
    <w:p w14:paraId="0B8A2A96" w14:textId="77777777" w:rsidR="003C0D7A" w:rsidRDefault="003C0D7A"/>
  </w:footnote>
  <w:footnote w:type="continuationSeparator" w:id="0">
    <w:p w14:paraId="6AB4BBE0" w14:textId="77777777" w:rsidR="003C0D7A" w:rsidRDefault="003C0D7A">
      <w:pPr>
        <w:spacing w:before="0" w:after="0" w:line="240" w:lineRule="auto"/>
      </w:pPr>
      <w:r>
        <w:continuationSeparator/>
      </w:r>
    </w:p>
    <w:p w14:paraId="6BDDFC58" w14:textId="77777777" w:rsidR="003C0D7A" w:rsidRDefault="003C0D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3C0D7A" w:rsidRDefault="003C0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3C0D7A" w:rsidRPr="005659D2" w:rsidRDefault="003C0D7A" w:rsidP="006D47A0">
    <w:pPr>
      <w:pStyle w:val="Header"/>
      <w:tabs>
        <w:tab w:val="left" w:pos="3753"/>
      </w:tabs>
      <w:rPr>
        <w:rFonts w:ascii="Arial" w:hAnsi="Arial" w:cs="Arial"/>
        <w:b/>
      </w:rPr>
    </w:pPr>
    <w:sdt>
      <w:sdtPr>
        <w:id w:val="345288054"/>
        <w:showingPlcHdr/>
      </w:sdtPr>
      <w:sdtContent>
        <w:r>
          <w:t xml:space="preserve">     </w:t>
        </w:r>
      </w:sdtContent>
    </w:sdt>
    <w:r w:rsidRPr="005659D2">
      <w:rPr>
        <w:rFonts w:ascii="Arial" w:hAnsi="Arial" w:cs="Arial"/>
        <w:b/>
        <w:sz w:val="22"/>
      </w:rPr>
      <w:t>China CITIC Bank London Branch</w:t>
    </w:r>
    <w:r w:rsidRPr="005659D2">
      <w:rPr>
        <w:rFonts w:ascii="Arial" w:hAnsi="Arial" w:cs="Arial"/>
        <w:b/>
      </w:rPr>
      <w:tab/>
    </w:r>
    <w:r w:rsidRPr="005659D2">
      <w:rPr>
        <w:rFonts w:ascii="Arial" w:hAnsi="Arial" w:cs="Arial"/>
        <w:b/>
        <w:sz w:val="22"/>
      </w:rPr>
      <w:t xml:space="preserve">                  </w:t>
    </w:r>
    <w:r w:rsidRPr="005659D2">
      <w:rPr>
        <w:rFonts w:ascii="Arial" w:hAnsi="Arial" w:cs="Arial"/>
        <w:b/>
        <w:color w:val="FF0000"/>
        <w:sz w:val="22"/>
      </w:rPr>
      <w:t xml:space="preserve">   </w:t>
    </w:r>
    <w:r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3C0D7A" w:rsidRDefault="003C0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9"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16"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1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0"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23"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0"/>
  </w:num>
  <w:num w:numId="3">
    <w:abstractNumId w:val="4"/>
  </w:num>
  <w:num w:numId="4">
    <w:abstractNumId w:val="8"/>
  </w:num>
  <w:num w:numId="5">
    <w:abstractNumId w:val="22"/>
  </w:num>
  <w:num w:numId="6">
    <w:abstractNumId w:val="17"/>
  </w:num>
  <w:num w:numId="7">
    <w:abstractNumId w:val="19"/>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3"/>
  </w:num>
  <w:num w:numId="11">
    <w:abstractNumId w:val="18"/>
  </w:num>
  <w:num w:numId="12">
    <w:abstractNumId w:val="2"/>
  </w:num>
  <w:num w:numId="13">
    <w:abstractNumId w:val="1"/>
  </w:num>
  <w:num w:numId="14">
    <w:abstractNumId w:val="5"/>
  </w:num>
  <w:num w:numId="15">
    <w:abstractNumId w:val="7"/>
  </w:num>
  <w:num w:numId="16">
    <w:abstractNumId w:val="9"/>
  </w:num>
  <w:num w:numId="17">
    <w:abstractNumId w:val="11"/>
  </w:num>
  <w:num w:numId="18">
    <w:abstractNumId w:val="16"/>
  </w:num>
  <w:num w:numId="19">
    <w:abstractNumId w:val="23"/>
  </w:num>
  <w:num w:numId="20">
    <w:abstractNumId w:val="3"/>
  </w:num>
  <w:num w:numId="21">
    <w:abstractNumId w:val="15"/>
  </w:num>
  <w:num w:numId="22">
    <w:abstractNumId w:val="6"/>
  </w:num>
  <w:num w:numId="23">
    <w:abstractNumId w:val="21"/>
  </w:num>
  <w:num w:numId="24">
    <w:abstractNumId w:val="20"/>
  </w:num>
  <w:num w:numId="25">
    <w:abstractNumId w:val="2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2"/>
  <w:drawingGridHorizontalSpacing w:val="110"/>
  <w:displayHorizontalDrawingGridEvery w:val="0"/>
  <w:displayVerticalDrawingGridEvery w:val="2"/>
  <w:characterSpacingControl w:val="compressPunctuation"/>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97"/>
    <w:rsid w:val="001962A4"/>
    <w:rsid w:val="00196AF2"/>
    <w:rsid w:val="00196B52"/>
    <w:rsid w:val="00196C03"/>
    <w:rsid w:val="00197301"/>
    <w:rsid w:val="00197CE6"/>
    <w:rsid w:val="001A0505"/>
    <w:rsid w:val="001A0ED0"/>
    <w:rsid w:val="001A1564"/>
    <w:rsid w:val="001A2033"/>
    <w:rsid w:val="001A2653"/>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6D5D"/>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3C8A"/>
    <w:rsid w:val="00A0463F"/>
    <w:rsid w:val="00A04747"/>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509B"/>
    <w:rsid w:val="00E05A39"/>
    <w:rsid w:val="00E066D7"/>
    <w:rsid w:val="00E06BB7"/>
    <w:rsid w:val="00E07633"/>
    <w:rsid w:val="00E1187D"/>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SimSun"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SimSun"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SimSun"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85B3F-ABB9-450C-97A3-26B09A4D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43</Pages>
  <Words>8328</Words>
  <Characters>48658</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56873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5</cp:revision>
  <cp:lastPrinted>2019-12-09T10:54:00Z</cp:lastPrinted>
  <dcterms:created xsi:type="dcterms:W3CDTF">2019-12-09T10:47:00Z</dcterms:created>
  <dcterms:modified xsi:type="dcterms:W3CDTF">2019-12-09T10:57:00Z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