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782" w:rsidRDefault="00535782">
      <w:pPr>
        <w:autoSpaceDE w:val="0"/>
        <w:autoSpaceDN w:val="0"/>
        <w:adjustRightInd w:val="0"/>
        <w:spacing w:line="560" w:lineRule="atLeast"/>
        <w:jc w:val="center"/>
        <w:rPr>
          <w:rFonts w:ascii="仿宋" w:eastAsia="仿宋" w:hAnsi="仿宋"/>
          <w:b/>
          <w:sz w:val="32"/>
          <w:szCs w:val="32"/>
        </w:rPr>
      </w:pPr>
    </w:p>
    <w:p w:rsidR="00535782" w:rsidRDefault="00535782">
      <w:pPr>
        <w:autoSpaceDE w:val="0"/>
        <w:autoSpaceDN w:val="0"/>
        <w:adjustRightInd w:val="0"/>
        <w:spacing w:line="560" w:lineRule="atLeast"/>
        <w:jc w:val="center"/>
        <w:rPr>
          <w:rFonts w:ascii="仿宋" w:eastAsia="仿宋" w:hAnsi="仿宋"/>
          <w:b/>
          <w:sz w:val="32"/>
          <w:szCs w:val="32"/>
        </w:rPr>
      </w:pPr>
    </w:p>
    <w:p w:rsidR="00535782" w:rsidRDefault="00535782">
      <w:pPr>
        <w:autoSpaceDE w:val="0"/>
        <w:autoSpaceDN w:val="0"/>
        <w:adjustRightInd w:val="0"/>
        <w:spacing w:line="560" w:lineRule="atLeast"/>
        <w:jc w:val="center"/>
        <w:rPr>
          <w:rFonts w:ascii="仿宋" w:eastAsia="仿宋" w:hAnsi="仿宋"/>
          <w:b/>
          <w:sz w:val="32"/>
          <w:szCs w:val="32"/>
        </w:rPr>
      </w:pPr>
    </w:p>
    <w:p w:rsidR="00535782" w:rsidRDefault="00535782">
      <w:pPr>
        <w:autoSpaceDE w:val="0"/>
        <w:autoSpaceDN w:val="0"/>
        <w:adjustRightInd w:val="0"/>
        <w:spacing w:line="560" w:lineRule="atLeast"/>
        <w:jc w:val="center"/>
        <w:rPr>
          <w:rFonts w:ascii="仿宋" w:eastAsia="仿宋" w:hAnsi="仿宋"/>
          <w:b/>
          <w:sz w:val="32"/>
          <w:szCs w:val="32"/>
        </w:rPr>
      </w:pPr>
    </w:p>
    <w:p w:rsidR="00535782" w:rsidRDefault="00535782">
      <w:pPr>
        <w:autoSpaceDE w:val="0"/>
        <w:autoSpaceDN w:val="0"/>
        <w:adjustRightInd w:val="0"/>
        <w:spacing w:line="560" w:lineRule="atLeast"/>
        <w:jc w:val="center"/>
        <w:rPr>
          <w:rFonts w:ascii="仿宋" w:eastAsia="仿宋" w:hAnsi="仿宋"/>
          <w:b/>
          <w:sz w:val="32"/>
          <w:szCs w:val="32"/>
        </w:rPr>
      </w:pPr>
    </w:p>
    <w:p w:rsidR="00535782" w:rsidRDefault="00A84B67">
      <w:pPr>
        <w:autoSpaceDE w:val="0"/>
        <w:autoSpaceDN w:val="0"/>
        <w:adjustRightInd w:val="0"/>
        <w:spacing w:line="560" w:lineRule="atLeast"/>
        <w:jc w:val="center"/>
        <w:rPr>
          <w:rFonts w:ascii="黑体" w:eastAsia="黑体" w:hAnsi="黑体"/>
          <w:b/>
          <w:sz w:val="58"/>
          <w:szCs w:val="58"/>
        </w:rPr>
      </w:pPr>
      <w:r>
        <w:rPr>
          <w:rFonts w:ascii="黑体" w:eastAsia="黑体" w:hAnsi="黑体" w:hint="eastAsia"/>
          <w:b/>
          <w:sz w:val="58"/>
          <w:szCs w:val="58"/>
        </w:rPr>
        <w:t>中信银行股份有限公司</w:t>
      </w:r>
    </w:p>
    <w:p w:rsidR="00535782" w:rsidRDefault="00535782">
      <w:pPr>
        <w:autoSpaceDE w:val="0"/>
        <w:autoSpaceDN w:val="0"/>
        <w:adjustRightInd w:val="0"/>
        <w:spacing w:line="560" w:lineRule="atLeast"/>
        <w:jc w:val="center"/>
        <w:rPr>
          <w:rFonts w:ascii="仿宋" w:eastAsia="仿宋" w:hAnsi="仿宋"/>
          <w:b/>
          <w:sz w:val="32"/>
          <w:szCs w:val="32"/>
        </w:rPr>
      </w:pPr>
    </w:p>
    <w:p w:rsidR="00535782" w:rsidRDefault="00A84B67">
      <w:pPr>
        <w:autoSpaceDE w:val="0"/>
        <w:autoSpaceDN w:val="0"/>
        <w:adjustRightInd w:val="0"/>
        <w:spacing w:line="560" w:lineRule="atLeast"/>
        <w:jc w:val="center"/>
        <w:rPr>
          <w:rFonts w:ascii="黑体" w:eastAsia="黑体" w:hAnsi="黑体"/>
          <w:b/>
          <w:sz w:val="58"/>
          <w:szCs w:val="58"/>
        </w:rPr>
      </w:pPr>
      <w:r>
        <w:rPr>
          <w:rFonts w:ascii="黑体" w:eastAsia="黑体" w:hAnsi="黑体" w:hint="eastAsia"/>
          <w:b/>
          <w:sz w:val="58"/>
          <w:szCs w:val="58"/>
        </w:rPr>
        <w:t>202</w:t>
      </w:r>
      <w:r>
        <w:rPr>
          <w:rFonts w:ascii="黑体" w:eastAsia="黑体" w:hAnsi="黑体"/>
          <w:b/>
          <w:sz w:val="58"/>
          <w:szCs w:val="58"/>
        </w:rPr>
        <w:t>1</w:t>
      </w:r>
      <w:r>
        <w:rPr>
          <w:rFonts w:ascii="黑体" w:eastAsia="黑体" w:hAnsi="黑体" w:hint="eastAsia"/>
          <w:b/>
          <w:sz w:val="58"/>
          <w:szCs w:val="58"/>
        </w:rPr>
        <w:t>年度授权书</w:t>
      </w:r>
    </w:p>
    <w:p w:rsidR="00535782" w:rsidRDefault="00535782">
      <w:pPr>
        <w:autoSpaceDE w:val="0"/>
        <w:autoSpaceDN w:val="0"/>
        <w:adjustRightInd w:val="0"/>
        <w:spacing w:line="560" w:lineRule="atLeast"/>
        <w:jc w:val="center"/>
        <w:rPr>
          <w:rFonts w:ascii="仿宋" w:eastAsia="仿宋" w:hAnsi="仿宋"/>
          <w:b/>
          <w:sz w:val="32"/>
          <w:szCs w:val="32"/>
        </w:rPr>
      </w:pPr>
    </w:p>
    <w:p w:rsidR="00535782" w:rsidRDefault="00A84B67">
      <w:pPr>
        <w:pStyle w:val="p0"/>
        <w:jc w:val="center"/>
        <w:rPr>
          <w:rFonts w:ascii="黑体" w:eastAsia="黑体" w:hAnsi="黑体"/>
          <w:b/>
          <w:sz w:val="44"/>
          <w:szCs w:val="44"/>
        </w:rPr>
      </w:pPr>
      <w:r>
        <w:rPr>
          <w:rFonts w:ascii="黑体" w:eastAsia="黑体" w:hAnsi="黑体" w:hint="eastAsia"/>
          <w:b/>
          <w:sz w:val="44"/>
          <w:szCs w:val="44"/>
        </w:rPr>
        <w:t>（被授权人：伦敦分行）</w:t>
      </w:r>
    </w:p>
    <w:p w:rsidR="00535782" w:rsidRDefault="00535782">
      <w:pPr>
        <w:autoSpaceDE w:val="0"/>
        <w:autoSpaceDN w:val="0"/>
        <w:adjustRightInd w:val="0"/>
        <w:spacing w:line="560" w:lineRule="atLeast"/>
        <w:jc w:val="center"/>
        <w:rPr>
          <w:rFonts w:ascii="仿宋" w:eastAsia="仿宋" w:hAnsi="仿宋"/>
          <w:b/>
          <w:sz w:val="32"/>
          <w:szCs w:val="32"/>
        </w:rPr>
      </w:pPr>
    </w:p>
    <w:p w:rsidR="00535782" w:rsidRDefault="00535782">
      <w:pPr>
        <w:autoSpaceDE w:val="0"/>
        <w:autoSpaceDN w:val="0"/>
        <w:adjustRightInd w:val="0"/>
        <w:spacing w:line="560" w:lineRule="atLeast"/>
        <w:jc w:val="center"/>
        <w:rPr>
          <w:rFonts w:ascii="仿宋" w:eastAsia="仿宋" w:hAnsi="仿宋"/>
          <w:b/>
          <w:sz w:val="32"/>
          <w:szCs w:val="32"/>
        </w:rPr>
      </w:pPr>
    </w:p>
    <w:p w:rsidR="00535782" w:rsidRDefault="00535782">
      <w:pPr>
        <w:autoSpaceDE w:val="0"/>
        <w:autoSpaceDN w:val="0"/>
        <w:adjustRightInd w:val="0"/>
        <w:spacing w:line="560" w:lineRule="atLeast"/>
        <w:jc w:val="center"/>
        <w:rPr>
          <w:rFonts w:ascii="仿宋" w:eastAsia="仿宋" w:hAnsi="仿宋"/>
          <w:b/>
          <w:sz w:val="32"/>
          <w:szCs w:val="32"/>
        </w:rPr>
      </w:pPr>
    </w:p>
    <w:p w:rsidR="00535782" w:rsidRDefault="00535782">
      <w:pPr>
        <w:autoSpaceDE w:val="0"/>
        <w:autoSpaceDN w:val="0"/>
        <w:adjustRightInd w:val="0"/>
        <w:spacing w:line="560" w:lineRule="atLeast"/>
        <w:jc w:val="center"/>
        <w:rPr>
          <w:rFonts w:ascii="仿宋" w:eastAsia="仿宋" w:hAnsi="仿宋"/>
          <w:b/>
          <w:sz w:val="32"/>
          <w:szCs w:val="32"/>
        </w:rPr>
      </w:pPr>
    </w:p>
    <w:p w:rsidR="00535782" w:rsidRDefault="00535782">
      <w:pPr>
        <w:autoSpaceDE w:val="0"/>
        <w:autoSpaceDN w:val="0"/>
        <w:adjustRightInd w:val="0"/>
        <w:spacing w:line="560" w:lineRule="atLeast"/>
        <w:jc w:val="center"/>
        <w:rPr>
          <w:rFonts w:ascii="仿宋" w:eastAsia="仿宋" w:hAnsi="仿宋"/>
          <w:b/>
          <w:sz w:val="32"/>
          <w:szCs w:val="32"/>
        </w:rPr>
      </w:pPr>
    </w:p>
    <w:p w:rsidR="00535782" w:rsidRDefault="00535782">
      <w:pPr>
        <w:autoSpaceDE w:val="0"/>
        <w:autoSpaceDN w:val="0"/>
        <w:adjustRightInd w:val="0"/>
        <w:spacing w:line="560" w:lineRule="atLeast"/>
        <w:jc w:val="center"/>
        <w:rPr>
          <w:rFonts w:ascii="仿宋" w:eastAsia="仿宋" w:hAnsi="仿宋"/>
          <w:b/>
          <w:sz w:val="32"/>
          <w:szCs w:val="32"/>
        </w:rPr>
      </w:pPr>
    </w:p>
    <w:p w:rsidR="00535782" w:rsidRDefault="00535782">
      <w:pPr>
        <w:autoSpaceDE w:val="0"/>
        <w:autoSpaceDN w:val="0"/>
        <w:adjustRightInd w:val="0"/>
        <w:spacing w:line="560" w:lineRule="atLeast"/>
        <w:jc w:val="center"/>
        <w:rPr>
          <w:rFonts w:ascii="仿宋" w:eastAsia="仿宋" w:hAnsi="仿宋"/>
          <w:b/>
          <w:sz w:val="32"/>
          <w:szCs w:val="32"/>
        </w:rPr>
      </w:pPr>
    </w:p>
    <w:p w:rsidR="00535782" w:rsidRDefault="00A84B67">
      <w:pPr>
        <w:autoSpaceDE w:val="0"/>
        <w:autoSpaceDN w:val="0"/>
        <w:adjustRightInd w:val="0"/>
        <w:spacing w:line="560" w:lineRule="atLeast"/>
        <w:jc w:val="center"/>
        <w:rPr>
          <w:rFonts w:ascii="黑体" w:eastAsia="黑体" w:hAnsi="黑体"/>
          <w:sz w:val="44"/>
          <w:szCs w:val="44"/>
        </w:rPr>
      </w:pPr>
      <w:r>
        <w:rPr>
          <w:rFonts w:ascii="黑体" w:eastAsia="黑体" w:hAnsi="黑体" w:hint="eastAsia"/>
          <w:sz w:val="44"/>
          <w:szCs w:val="44"/>
        </w:rPr>
        <w:t>二〇二一年一月</w:t>
      </w:r>
    </w:p>
    <w:p w:rsidR="00535782" w:rsidRDefault="00535782">
      <w:pPr>
        <w:widowControl/>
        <w:jc w:val="left"/>
        <w:rPr>
          <w:rFonts w:ascii="黑体" w:eastAsia="黑体" w:hAnsi="黑体"/>
          <w:sz w:val="44"/>
          <w:szCs w:val="44"/>
        </w:rPr>
        <w:sectPr w:rsidR="00535782">
          <w:headerReference w:type="default" r:id="rId9"/>
          <w:footerReference w:type="default" r:id="rId10"/>
          <w:pgSz w:w="11906" w:h="16838"/>
          <w:pgMar w:top="2098" w:right="1474" w:bottom="1985" w:left="1531" w:header="851" w:footer="992" w:gutter="0"/>
          <w:cols w:space="720"/>
          <w:titlePg/>
          <w:docGrid w:type="lines" w:linePitch="312"/>
        </w:sectPr>
      </w:pPr>
    </w:p>
    <w:p w:rsidR="00535782" w:rsidRDefault="00A84B67">
      <w:pPr>
        <w:widowControl/>
        <w:jc w:val="center"/>
        <w:rPr>
          <w:rFonts w:ascii="黑体" w:eastAsia="黑体" w:hAnsi="黑体"/>
          <w:b/>
          <w:spacing w:val="12"/>
          <w:sz w:val="44"/>
          <w:szCs w:val="44"/>
        </w:rPr>
      </w:pPr>
      <w:r>
        <w:rPr>
          <w:rFonts w:ascii="黑体" w:eastAsia="黑体" w:hAnsi="黑体"/>
          <w:sz w:val="44"/>
          <w:szCs w:val="44"/>
        </w:rPr>
        <w:lastRenderedPageBreak/>
        <w:br w:type="page"/>
      </w:r>
      <w:r>
        <w:rPr>
          <w:rFonts w:ascii="黑体" w:eastAsia="黑体" w:hAnsi="黑体" w:hint="eastAsia"/>
          <w:b/>
          <w:spacing w:val="12"/>
          <w:sz w:val="44"/>
          <w:szCs w:val="44"/>
        </w:rPr>
        <w:lastRenderedPageBreak/>
        <w:t>中信银行股份有限公司</w:t>
      </w:r>
    </w:p>
    <w:p w:rsidR="00535782" w:rsidRDefault="00A84B67">
      <w:pPr>
        <w:adjustRightInd w:val="0"/>
        <w:snapToGrid w:val="0"/>
        <w:spacing w:line="560" w:lineRule="atLeast"/>
        <w:jc w:val="center"/>
        <w:rPr>
          <w:rFonts w:ascii="黑体" w:eastAsia="黑体" w:hAnsi="黑体"/>
          <w:b/>
          <w:bCs/>
          <w:spacing w:val="12"/>
          <w:sz w:val="44"/>
          <w:szCs w:val="44"/>
        </w:rPr>
      </w:pPr>
      <w:r>
        <w:rPr>
          <w:rFonts w:ascii="黑体" w:eastAsia="黑体" w:hAnsi="黑体" w:hint="eastAsia"/>
          <w:b/>
          <w:bCs/>
          <w:spacing w:val="12"/>
          <w:sz w:val="44"/>
          <w:szCs w:val="44"/>
        </w:rPr>
        <w:t>202</w:t>
      </w:r>
      <w:r>
        <w:rPr>
          <w:rFonts w:ascii="黑体" w:eastAsia="黑体" w:hAnsi="黑体"/>
          <w:b/>
          <w:bCs/>
          <w:spacing w:val="12"/>
          <w:sz w:val="44"/>
          <w:szCs w:val="44"/>
        </w:rPr>
        <w:t>1</w:t>
      </w:r>
      <w:r>
        <w:rPr>
          <w:rFonts w:ascii="黑体" w:eastAsia="黑体" w:hAnsi="黑体" w:hint="eastAsia"/>
          <w:b/>
          <w:bCs/>
          <w:spacing w:val="12"/>
          <w:sz w:val="44"/>
          <w:szCs w:val="44"/>
        </w:rPr>
        <w:t>年度授权书</w:t>
      </w:r>
    </w:p>
    <w:p w:rsidR="00535782" w:rsidRDefault="00535782">
      <w:pPr>
        <w:pStyle w:val="p0"/>
        <w:adjustRightInd w:val="0"/>
        <w:snapToGrid w:val="0"/>
        <w:spacing w:line="560" w:lineRule="atLeast"/>
        <w:rPr>
          <w:rFonts w:ascii="仿宋" w:eastAsia="仿宋" w:hAnsi="仿宋"/>
          <w:spacing w:val="12"/>
          <w:sz w:val="32"/>
          <w:szCs w:val="32"/>
        </w:rPr>
      </w:pPr>
    </w:p>
    <w:p w:rsidR="00535782" w:rsidRDefault="00A84B67">
      <w:pPr>
        <w:pStyle w:val="p0"/>
        <w:adjustRightInd w:val="0"/>
        <w:snapToGrid w:val="0"/>
        <w:spacing w:line="560" w:lineRule="atLeast"/>
        <w:rPr>
          <w:rFonts w:ascii="仿宋_GB2312" w:eastAsia="仿宋_GB2312" w:hAnsi="仿宋"/>
          <w:spacing w:val="12"/>
          <w:sz w:val="32"/>
          <w:szCs w:val="32"/>
        </w:rPr>
      </w:pPr>
      <w:r>
        <w:rPr>
          <w:rFonts w:ascii="仿宋_GB2312" w:eastAsia="仿宋_GB2312" w:hAnsi="仿宋" w:hint="eastAsia"/>
          <w:spacing w:val="12"/>
          <w:sz w:val="32"/>
          <w:szCs w:val="32"/>
        </w:rPr>
        <w:t>伦敦分行：</w:t>
      </w:r>
    </w:p>
    <w:p w:rsidR="00535782" w:rsidRDefault="00A84B67">
      <w:pPr>
        <w:pStyle w:val="p0"/>
        <w:adjustRightInd w:val="0"/>
        <w:snapToGrid w:val="0"/>
        <w:spacing w:line="560" w:lineRule="atLeast"/>
        <w:ind w:firstLineChars="200" w:firstLine="688"/>
        <w:rPr>
          <w:rFonts w:ascii="仿宋_GB2312" w:eastAsia="仿宋_GB2312" w:hAnsi="仿宋"/>
          <w:spacing w:val="12"/>
          <w:sz w:val="32"/>
          <w:szCs w:val="32"/>
        </w:rPr>
      </w:pPr>
      <w:r>
        <w:rPr>
          <w:rFonts w:ascii="仿宋_GB2312" w:eastAsia="仿宋_GB2312" w:hAnsi="仿宋" w:hint="eastAsia"/>
          <w:spacing w:val="12"/>
          <w:sz w:val="32"/>
          <w:szCs w:val="32"/>
        </w:rPr>
        <w:t>根据《中信银行行长授权管理办法》，兹授权被授权人依据本授权书行使下列经营管理权限，分行负责人代表被授权人接受授权书。</w:t>
      </w:r>
    </w:p>
    <w:p w:rsidR="00535782" w:rsidRDefault="00A84B67">
      <w:pPr>
        <w:autoSpaceDE w:val="0"/>
        <w:autoSpaceDN w:val="0"/>
        <w:adjustRightInd w:val="0"/>
        <w:snapToGrid w:val="0"/>
        <w:spacing w:line="560" w:lineRule="atLeast"/>
        <w:ind w:firstLineChars="200" w:firstLine="688"/>
        <w:rPr>
          <w:rFonts w:ascii="黑体" w:eastAsia="黑体" w:hAnsi="黑体" w:cs="仿宋_GB2312"/>
          <w:spacing w:val="12"/>
          <w:sz w:val="32"/>
          <w:szCs w:val="32"/>
          <w:lang w:val="zh-CN"/>
        </w:rPr>
      </w:pPr>
      <w:r>
        <w:rPr>
          <w:rFonts w:ascii="黑体" w:eastAsia="黑体" w:hAnsi="黑体" w:cs="仿宋_GB2312" w:hint="eastAsia"/>
          <w:spacing w:val="12"/>
          <w:sz w:val="32"/>
          <w:szCs w:val="32"/>
          <w:lang w:val="zh-CN"/>
        </w:rPr>
        <w:t>一、授权内容</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该授权书是总行对伦敦分行行长的正式授权,伦敦分行行长可在授权范围内进行转授权。根据本授权书以及英国当地的法律法规，伦敦分行行长对伦敦分行的经营管理全权负责。</w:t>
      </w:r>
    </w:p>
    <w:p w:rsidR="00535782" w:rsidRPr="00614609" w:rsidRDefault="00A84B67">
      <w:pPr>
        <w:autoSpaceDE w:val="0"/>
        <w:autoSpaceDN w:val="0"/>
        <w:adjustRightInd w:val="0"/>
        <w:snapToGrid w:val="0"/>
        <w:spacing w:line="560" w:lineRule="atLeast"/>
        <w:ind w:firstLineChars="200" w:firstLine="688"/>
        <w:rPr>
          <w:rFonts w:ascii="楷体_GB2312" w:eastAsia="楷体_GB2312" w:hAnsi="楷体" w:cs="仿宋_GB2312"/>
          <w:spacing w:val="12"/>
          <w:sz w:val="32"/>
          <w:szCs w:val="32"/>
          <w:lang w:val="zh-CN"/>
        </w:rPr>
      </w:pPr>
      <w:r w:rsidRPr="00614609">
        <w:rPr>
          <w:rFonts w:ascii="楷体_GB2312" w:eastAsia="楷体_GB2312" w:hAnsi="楷体" w:cs="仿宋_GB2312" w:hint="eastAsia"/>
          <w:spacing w:val="12"/>
          <w:sz w:val="32"/>
          <w:szCs w:val="32"/>
          <w:lang w:val="zh-CN"/>
        </w:rPr>
        <w:t>（一</w:t>
      </w:r>
      <w:r w:rsidRPr="00614609">
        <w:rPr>
          <w:rFonts w:ascii="楷体_GB2312" w:eastAsia="楷体_GB2312" w:hAnsi="楷体" w:cs="仿宋_GB2312"/>
          <w:spacing w:val="12"/>
          <w:sz w:val="32"/>
          <w:szCs w:val="32"/>
          <w:lang w:val="zh-CN"/>
        </w:rPr>
        <w:t>）</w:t>
      </w:r>
      <w:r w:rsidRPr="00614609">
        <w:rPr>
          <w:rFonts w:ascii="楷体_GB2312" w:eastAsia="楷体_GB2312" w:hAnsi="楷体" w:cs="仿宋_GB2312" w:hint="eastAsia"/>
          <w:spacing w:val="12"/>
          <w:sz w:val="32"/>
          <w:szCs w:val="32"/>
          <w:lang w:val="zh-CN"/>
        </w:rPr>
        <w:t>授权总述</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伦敦分行行长有权：</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1.负责组织伦敦分行的运行工作，以实现分行的战略目标；</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2.根据伦敦分行内部治理安排，对授权书中的未尽事宜做出运营层面决策；</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3.可将部分权限转授权给直接下属（如副行长或首席风险官）；</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4.代表总行与英国的监管机构（具体指PRA和FCA）接洽；</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5.雇用和解雇伦敦分行员工（包括管理委员会成员）。对</w:t>
      </w:r>
      <w:r>
        <w:rPr>
          <w:rFonts w:ascii="仿宋_GB2312" w:eastAsia="仿宋_GB2312" w:hAnsi="仿宋" w:cs="仿宋_GB2312" w:hint="eastAsia"/>
          <w:spacing w:val="12"/>
          <w:sz w:val="32"/>
          <w:szCs w:val="32"/>
          <w:lang w:val="zh-CN"/>
        </w:rPr>
        <w:lastRenderedPageBreak/>
        <w:t>于总部外派员工，雇佣和解雇的决策须考虑多方意见，但决策流程需遵循分行内部治理框架。无论是当地员工或是外派员工，分行行长有权拒绝总行的用人举荐；</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6.有权批准伦敦分行运营所需的当地文件以及满足当地政府机关（例如英国税务局）要求的相关文件；</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7.代表总行签署与分行相关的法律文件；</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8.总行推荐的业务如不符合当地监管要求或分行战略目标，伦敦分行行长有权拒绝开展。</w:t>
      </w:r>
    </w:p>
    <w:p w:rsidR="00535782" w:rsidRPr="00614609" w:rsidRDefault="00A84B67">
      <w:pPr>
        <w:autoSpaceDE w:val="0"/>
        <w:autoSpaceDN w:val="0"/>
        <w:adjustRightInd w:val="0"/>
        <w:snapToGrid w:val="0"/>
        <w:spacing w:line="560" w:lineRule="atLeast"/>
        <w:ind w:firstLineChars="200" w:firstLine="688"/>
        <w:rPr>
          <w:rFonts w:ascii="楷体_GB2312" w:eastAsia="楷体_GB2312" w:hAnsi="楷体" w:cs="仿宋_GB2312"/>
          <w:spacing w:val="12"/>
          <w:sz w:val="32"/>
          <w:szCs w:val="32"/>
          <w:lang w:val="zh-CN"/>
        </w:rPr>
      </w:pPr>
      <w:r w:rsidRPr="00614609">
        <w:rPr>
          <w:rFonts w:ascii="楷体_GB2312" w:eastAsia="楷体_GB2312" w:hAnsi="楷体" w:cs="仿宋_GB2312" w:hint="eastAsia"/>
          <w:spacing w:val="12"/>
          <w:sz w:val="32"/>
          <w:szCs w:val="32"/>
          <w:lang w:val="zh-CN"/>
        </w:rPr>
        <w:t>（二</w:t>
      </w:r>
      <w:r w:rsidRPr="00614609">
        <w:rPr>
          <w:rFonts w:ascii="楷体_GB2312" w:eastAsia="楷体_GB2312" w:hAnsi="楷体" w:cs="仿宋_GB2312"/>
          <w:spacing w:val="12"/>
          <w:sz w:val="32"/>
          <w:szCs w:val="32"/>
          <w:lang w:val="zh-CN"/>
        </w:rPr>
        <w:t>）</w:t>
      </w:r>
      <w:r w:rsidRPr="00614609">
        <w:rPr>
          <w:rFonts w:ascii="楷体_GB2312" w:eastAsia="楷体_GB2312" w:hAnsi="楷体" w:cs="仿宋_GB2312" w:hint="eastAsia"/>
          <w:spacing w:val="12"/>
          <w:sz w:val="32"/>
          <w:szCs w:val="32"/>
          <w:lang w:val="zh-CN"/>
        </w:rPr>
        <w:t>授权类别</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为保证伦敦分行战略目标与总行风险偏好一致，现按照具体业务类别设定授权限额如下：</w:t>
      </w:r>
    </w:p>
    <w:p w:rsidR="00535782" w:rsidRPr="00C00C56" w:rsidRDefault="00A84B67">
      <w:pPr>
        <w:autoSpaceDE w:val="0"/>
        <w:autoSpaceDN w:val="0"/>
        <w:adjustRightInd w:val="0"/>
        <w:snapToGrid w:val="0"/>
        <w:spacing w:line="560" w:lineRule="atLeast"/>
        <w:ind w:firstLineChars="200" w:firstLine="691"/>
        <w:rPr>
          <w:rFonts w:ascii="仿宋_GB2312" w:eastAsia="仿宋_GB2312" w:hAnsi="仿宋" w:cs="仿宋_GB2312"/>
          <w:b/>
          <w:spacing w:val="12"/>
          <w:sz w:val="32"/>
          <w:szCs w:val="32"/>
          <w:lang w:val="zh-CN"/>
        </w:rPr>
      </w:pPr>
      <w:r w:rsidRPr="00C00C56">
        <w:rPr>
          <w:rFonts w:ascii="仿宋_GB2312" w:eastAsia="仿宋_GB2312" w:hAnsi="仿宋" w:cs="仿宋_GB2312" w:hint="eastAsia"/>
          <w:b/>
          <w:spacing w:val="12"/>
          <w:sz w:val="32"/>
          <w:szCs w:val="32"/>
          <w:lang w:val="zh-CN"/>
        </w:rPr>
        <w:t>1.授信审批授权</w:t>
      </w:r>
    </w:p>
    <w:p w:rsidR="00535782" w:rsidRPr="00C00C56"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sidRPr="00C00C56">
        <w:rPr>
          <w:rFonts w:ascii="仿宋_GB2312" w:eastAsia="仿宋_GB2312" w:hAnsi="仿宋" w:cs="仿宋_GB2312" w:hint="eastAsia"/>
          <w:spacing w:val="12"/>
          <w:sz w:val="32"/>
          <w:szCs w:val="32"/>
          <w:lang w:val="zh-CN"/>
        </w:rPr>
        <w:t>下表为伦敦分行的授信审批限额以及相关说明及定义：</w:t>
      </w:r>
    </w:p>
    <w:p w:rsidR="00535782" w:rsidRPr="00C00C56" w:rsidRDefault="00A84B67">
      <w:pPr>
        <w:spacing w:line="360" w:lineRule="auto"/>
        <w:ind w:firstLineChars="50" w:firstLine="161"/>
        <w:contextualSpacing/>
        <w:jc w:val="center"/>
        <w:rPr>
          <w:rFonts w:ascii="仿宋_GB2312" w:eastAsia="仿宋_GB2312" w:hAnsi="仿宋" w:cs="Arial"/>
          <w:b/>
          <w:sz w:val="32"/>
          <w:szCs w:val="32"/>
        </w:rPr>
      </w:pPr>
      <w:bookmarkStart w:id="0" w:name="OLE_LINK11"/>
      <w:r w:rsidRPr="00C00C56">
        <w:rPr>
          <w:rFonts w:ascii="仿宋_GB2312" w:eastAsia="仿宋_GB2312" w:hAnsi="仿宋" w:cs="Arial" w:hint="eastAsia"/>
          <w:b/>
          <w:sz w:val="32"/>
          <w:szCs w:val="32"/>
        </w:rPr>
        <w:t>客户授信审批授权</w:t>
      </w:r>
      <w:bookmarkEnd w:id="0"/>
    </w:p>
    <w:tbl>
      <w:tblPr>
        <w:tblStyle w:val="GridTable1Light1"/>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
        <w:gridCol w:w="859"/>
        <w:gridCol w:w="859"/>
        <w:gridCol w:w="1501"/>
        <w:gridCol w:w="2144"/>
        <w:gridCol w:w="2144"/>
      </w:tblGrid>
      <w:tr w:rsidR="000524A2" w:rsidRPr="00C00C56" w:rsidTr="00535782">
        <w:trPr>
          <w:cnfStyle w:val="100000000000" w:firstRow="1" w:lastRow="0" w:firstColumn="0" w:lastColumn="0" w:oddVBand="0" w:evenVBand="0" w:oddHBand="0" w:evenHBand="0" w:firstRowFirstColumn="0" w:firstRowLastColumn="0" w:lastRowFirstColumn="0" w:lastRowLastColumn="0"/>
          <w:trHeight w:val="557"/>
          <w:tblHeader/>
          <w:jc w:val="center"/>
        </w:trPr>
        <w:tc>
          <w:tcPr>
            <w:cnfStyle w:val="001000000000" w:firstRow="0" w:lastRow="0" w:firstColumn="1" w:lastColumn="0" w:oddVBand="0" w:evenVBand="0" w:oddHBand="0" w:evenHBand="0" w:firstRowFirstColumn="0" w:firstRowLastColumn="0" w:lastRowFirstColumn="0" w:lastRowLastColumn="0"/>
            <w:tcW w:w="861" w:type="dxa"/>
            <w:tcBorders>
              <w:bottom w:val="nil"/>
            </w:tcBorders>
          </w:tcPr>
          <w:p w:rsidR="000524A2" w:rsidRPr="000524A2" w:rsidRDefault="000524A2" w:rsidP="000524A2">
            <w:pPr>
              <w:spacing w:line="360" w:lineRule="auto"/>
              <w:jc w:val="center"/>
              <w:rPr>
                <w:rFonts w:ascii="仿宋_GB2312" w:eastAsia="仿宋_GB2312" w:hAnsi="仿宋" w:cs="Arial"/>
                <w:b w:val="0"/>
                <w:bCs w:val="0"/>
                <w:szCs w:val="32"/>
                <w:u w:val="single"/>
              </w:rPr>
            </w:pPr>
            <w:r w:rsidRPr="000524A2">
              <w:rPr>
                <w:rFonts w:ascii="仿宋_GB2312" w:eastAsia="仿宋_GB2312" w:hAnsi="仿宋" w:cs="Arial" w:hint="eastAsia"/>
                <w:szCs w:val="32"/>
                <w:u w:val="single"/>
              </w:rPr>
              <w:t>穆迪</w:t>
            </w:r>
          </w:p>
        </w:tc>
        <w:tc>
          <w:tcPr>
            <w:tcW w:w="859" w:type="dxa"/>
            <w:tcBorders>
              <w:bottom w:val="nil"/>
            </w:tcBorders>
          </w:tcPr>
          <w:p w:rsidR="000524A2" w:rsidRPr="000524A2" w:rsidRDefault="000524A2" w:rsidP="000524A2">
            <w:pPr>
              <w:spacing w:line="360" w:lineRule="auto"/>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仿宋" w:cs="Arial"/>
                <w:b w:val="0"/>
                <w:bCs w:val="0"/>
                <w:szCs w:val="32"/>
                <w:u w:val="single"/>
              </w:rPr>
            </w:pPr>
            <w:proofErr w:type="gramStart"/>
            <w:r w:rsidRPr="000524A2">
              <w:rPr>
                <w:rFonts w:ascii="仿宋_GB2312" w:eastAsia="仿宋_GB2312" w:hAnsi="仿宋" w:cs="Arial" w:hint="eastAsia"/>
                <w:szCs w:val="32"/>
                <w:u w:val="single"/>
              </w:rPr>
              <w:t>标普</w:t>
            </w:r>
            <w:proofErr w:type="gramEnd"/>
          </w:p>
        </w:tc>
        <w:tc>
          <w:tcPr>
            <w:tcW w:w="859" w:type="dxa"/>
            <w:tcBorders>
              <w:bottom w:val="nil"/>
            </w:tcBorders>
          </w:tcPr>
          <w:p w:rsidR="000524A2" w:rsidRPr="000524A2" w:rsidRDefault="000524A2" w:rsidP="000524A2">
            <w:pPr>
              <w:spacing w:line="360" w:lineRule="auto"/>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仿宋" w:cs="Arial"/>
                <w:b w:val="0"/>
                <w:bCs w:val="0"/>
                <w:szCs w:val="32"/>
                <w:u w:val="single"/>
              </w:rPr>
            </w:pPr>
            <w:r w:rsidRPr="000524A2">
              <w:rPr>
                <w:rFonts w:ascii="仿宋_GB2312" w:eastAsia="仿宋_GB2312" w:hAnsi="仿宋" w:cs="Arial" w:hint="eastAsia"/>
                <w:szCs w:val="32"/>
                <w:u w:val="single"/>
              </w:rPr>
              <w:t>惠誉</w:t>
            </w:r>
          </w:p>
        </w:tc>
        <w:tc>
          <w:tcPr>
            <w:tcW w:w="1501" w:type="dxa"/>
            <w:tcBorders>
              <w:bottom w:val="nil"/>
            </w:tcBorders>
          </w:tcPr>
          <w:p w:rsidR="000524A2" w:rsidRPr="000524A2" w:rsidRDefault="000524A2" w:rsidP="000524A2">
            <w:pPr>
              <w:spacing w:line="360" w:lineRule="auto"/>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仿宋" w:cs="Arial"/>
                <w:b w:val="0"/>
                <w:bCs w:val="0"/>
                <w:szCs w:val="32"/>
                <w:u w:val="single"/>
              </w:rPr>
            </w:pPr>
            <w:r w:rsidRPr="000524A2">
              <w:rPr>
                <w:rFonts w:ascii="仿宋_GB2312" w:eastAsia="仿宋_GB2312" w:hAnsi="仿宋" w:cs="Arial" w:hint="eastAsia"/>
                <w:szCs w:val="32"/>
                <w:u w:val="single"/>
              </w:rPr>
              <w:t>总行评级</w:t>
            </w:r>
          </w:p>
        </w:tc>
        <w:tc>
          <w:tcPr>
            <w:tcW w:w="2144" w:type="dxa"/>
            <w:tcBorders>
              <w:bottom w:val="nil"/>
            </w:tcBorders>
          </w:tcPr>
          <w:p w:rsidR="000524A2" w:rsidRPr="000524A2" w:rsidRDefault="000524A2" w:rsidP="000524A2">
            <w:pPr>
              <w:spacing w:line="360" w:lineRule="auto"/>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仿宋" w:cs="Arial"/>
                <w:b w:val="0"/>
                <w:bCs w:val="0"/>
                <w:szCs w:val="32"/>
                <w:u w:val="single"/>
              </w:rPr>
            </w:pPr>
            <w:r w:rsidRPr="000524A2">
              <w:rPr>
                <w:rFonts w:ascii="仿宋_GB2312" w:eastAsia="仿宋_GB2312" w:hAnsi="仿宋" w:cs="Arial" w:hint="eastAsia"/>
                <w:szCs w:val="32"/>
                <w:u w:val="single"/>
              </w:rPr>
              <w:t>金融机构客户</w:t>
            </w:r>
          </w:p>
        </w:tc>
        <w:tc>
          <w:tcPr>
            <w:tcW w:w="2144" w:type="dxa"/>
            <w:tcBorders>
              <w:bottom w:val="nil"/>
            </w:tcBorders>
          </w:tcPr>
          <w:p w:rsidR="000524A2" w:rsidRPr="000524A2" w:rsidRDefault="000524A2" w:rsidP="000524A2">
            <w:pPr>
              <w:spacing w:line="360" w:lineRule="auto"/>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仿宋" w:cs="Arial"/>
                <w:b w:val="0"/>
                <w:bCs w:val="0"/>
                <w:szCs w:val="32"/>
                <w:u w:val="single"/>
              </w:rPr>
            </w:pPr>
            <w:r w:rsidRPr="000524A2">
              <w:rPr>
                <w:rFonts w:ascii="仿宋_GB2312" w:eastAsia="仿宋_GB2312" w:hAnsi="仿宋" w:cs="Arial" w:hint="eastAsia"/>
                <w:szCs w:val="32"/>
                <w:u w:val="single"/>
              </w:rPr>
              <w:t>企业客户</w:t>
            </w:r>
          </w:p>
        </w:tc>
      </w:tr>
      <w:tr w:rsidR="000524A2" w:rsidRPr="00C00C56" w:rsidTr="00535782">
        <w:trPr>
          <w:trHeight w:val="315"/>
          <w:jc w:val="center"/>
        </w:trPr>
        <w:tc>
          <w:tcPr>
            <w:cnfStyle w:val="001000000000" w:firstRow="0" w:lastRow="0" w:firstColumn="1" w:lastColumn="0" w:oddVBand="0" w:evenVBand="0" w:oddHBand="0" w:evenHBand="0" w:firstRowFirstColumn="0" w:firstRowLastColumn="0" w:lastRowFirstColumn="0" w:lastRowLastColumn="0"/>
            <w:tcW w:w="861" w:type="dxa"/>
          </w:tcPr>
          <w:p w:rsidR="000524A2" w:rsidRPr="000524A2" w:rsidRDefault="000524A2" w:rsidP="000524A2">
            <w:pPr>
              <w:spacing w:line="360" w:lineRule="auto"/>
              <w:jc w:val="center"/>
              <w:rPr>
                <w:rFonts w:ascii="仿宋_GB2312" w:eastAsia="仿宋_GB2312" w:hAnsi="仿宋" w:cs="Arial"/>
                <w:szCs w:val="32"/>
              </w:rPr>
            </w:pPr>
            <w:proofErr w:type="spellStart"/>
            <w:r w:rsidRPr="000524A2">
              <w:rPr>
                <w:rFonts w:ascii="仿宋_GB2312" w:eastAsia="仿宋_GB2312" w:hAnsi="仿宋" w:cs="Arial" w:hint="eastAsia"/>
                <w:szCs w:val="32"/>
              </w:rPr>
              <w:t>Aaa</w:t>
            </w:r>
            <w:proofErr w:type="spellEnd"/>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AAA</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AAA</w:t>
            </w:r>
          </w:p>
        </w:tc>
        <w:tc>
          <w:tcPr>
            <w:tcW w:w="1501"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AAA+</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$150mn</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$100mn</w:t>
            </w:r>
          </w:p>
        </w:tc>
      </w:tr>
      <w:tr w:rsidR="000524A2" w:rsidRPr="00C00C56" w:rsidTr="00535782">
        <w:trPr>
          <w:trHeight w:val="315"/>
          <w:jc w:val="center"/>
        </w:trPr>
        <w:tc>
          <w:tcPr>
            <w:cnfStyle w:val="001000000000" w:firstRow="0" w:lastRow="0" w:firstColumn="1" w:lastColumn="0" w:oddVBand="0" w:evenVBand="0" w:oddHBand="0" w:evenHBand="0" w:firstRowFirstColumn="0" w:firstRowLastColumn="0" w:lastRowFirstColumn="0" w:lastRowLastColumn="0"/>
            <w:tcW w:w="861" w:type="dxa"/>
          </w:tcPr>
          <w:p w:rsidR="000524A2" w:rsidRPr="000524A2" w:rsidRDefault="000524A2" w:rsidP="000524A2">
            <w:pPr>
              <w:spacing w:line="360" w:lineRule="auto"/>
              <w:jc w:val="center"/>
              <w:rPr>
                <w:rFonts w:ascii="仿宋_GB2312" w:eastAsia="仿宋_GB2312" w:hAnsi="仿宋" w:cs="Arial"/>
                <w:szCs w:val="32"/>
              </w:rPr>
            </w:pPr>
            <w:r w:rsidRPr="000524A2">
              <w:rPr>
                <w:rFonts w:ascii="仿宋_GB2312" w:eastAsia="仿宋_GB2312" w:hAnsi="仿宋" w:cs="Arial" w:hint="eastAsia"/>
                <w:szCs w:val="32"/>
              </w:rPr>
              <w:t>Aa1</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AA+</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AA+</w:t>
            </w:r>
          </w:p>
        </w:tc>
        <w:tc>
          <w:tcPr>
            <w:tcW w:w="1501"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AAA</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$120mn</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$80mn</w:t>
            </w:r>
          </w:p>
        </w:tc>
      </w:tr>
      <w:tr w:rsidR="000524A2" w:rsidRPr="00C00C56" w:rsidTr="00535782">
        <w:trPr>
          <w:trHeight w:val="315"/>
          <w:jc w:val="center"/>
        </w:trPr>
        <w:tc>
          <w:tcPr>
            <w:cnfStyle w:val="001000000000" w:firstRow="0" w:lastRow="0" w:firstColumn="1" w:lastColumn="0" w:oddVBand="0" w:evenVBand="0" w:oddHBand="0" w:evenHBand="0" w:firstRowFirstColumn="0" w:firstRowLastColumn="0" w:lastRowFirstColumn="0" w:lastRowLastColumn="0"/>
            <w:tcW w:w="861" w:type="dxa"/>
          </w:tcPr>
          <w:p w:rsidR="000524A2" w:rsidRPr="000524A2" w:rsidRDefault="000524A2" w:rsidP="000524A2">
            <w:pPr>
              <w:spacing w:line="360" w:lineRule="auto"/>
              <w:jc w:val="center"/>
              <w:rPr>
                <w:rFonts w:ascii="仿宋_GB2312" w:eastAsia="仿宋_GB2312" w:hAnsi="仿宋" w:cs="Arial"/>
                <w:szCs w:val="32"/>
              </w:rPr>
            </w:pPr>
            <w:r w:rsidRPr="000524A2">
              <w:rPr>
                <w:rFonts w:ascii="仿宋_GB2312" w:eastAsia="仿宋_GB2312" w:hAnsi="仿宋" w:cs="Arial" w:hint="eastAsia"/>
                <w:szCs w:val="32"/>
              </w:rPr>
              <w:t>Aa2</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AA</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AA</w:t>
            </w:r>
          </w:p>
        </w:tc>
        <w:tc>
          <w:tcPr>
            <w:tcW w:w="1501"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AA+</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$120mn</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$80mn</w:t>
            </w:r>
          </w:p>
        </w:tc>
      </w:tr>
      <w:tr w:rsidR="000524A2" w:rsidRPr="00C00C56" w:rsidTr="00535782">
        <w:trPr>
          <w:trHeight w:val="315"/>
          <w:jc w:val="center"/>
        </w:trPr>
        <w:tc>
          <w:tcPr>
            <w:cnfStyle w:val="001000000000" w:firstRow="0" w:lastRow="0" w:firstColumn="1" w:lastColumn="0" w:oddVBand="0" w:evenVBand="0" w:oddHBand="0" w:evenHBand="0" w:firstRowFirstColumn="0" w:firstRowLastColumn="0" w:lastRowFirstColumn="0" w:lastRowLastColumn="0"/>
            <w:tcW w:w="861" w:type="dxa"/>
          </w:tcPr>
          <w:p w:rsidR="000524A2" w:rsidRPr="000524A2" w:rsidRDefault="000524A2" w:rsidP="000524A2">
            <w:pPr>
              <w:spacing w:line="360" w:lineRule="auto"/>
              <w:jc w:val="center"/>
              <w:rPr>
                <w:rFonts w:ascii="仿宋_GB2312" w:eastAsia="仿宋_GB2312" w:hAnsi="仿宋" w:cs="Arial"/>
                <w:szCs w:val="32"/>
              </w:rPr>
            </w:pPr>
            <w:r w:rsidRPr="000524A2">
              <w:rPr>
                <w:rFonts w:ascii="仿宋_GB2312" w:eastAsia="仿宋_GB2312" w:hAnsi="仿宋" w:cs="Arial" w:hint="eastAsia"/>
                <w:szCs w:val="32"/>
              </w:rPr>
              <w:t>Aa3</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AA-</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AA-</w:t>
            </w:r>
          </w:p>
        </w:tc>
        <w:tc>
          <w:tcPr>
            <w:tcW w:w="1501"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AA</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$120mn</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$80mn</w:t>
            </w:r>
          </w:p>
        </w:tc>
      </w:tr>
      <w:tr w:rsidR="000524A2" w:rsidRPr="00C00C56" w:rsidTr="00535782">
        <w:trPr>
          <w:trHeight w:val="315"/>
          <w:jc w:val="center"/>
        </w:trPr>
        <w:tc>
          <w:tcPr>
            <w:cnfStyle w:val="001000000000" w:firstRow="0" w:lastRow="0" w:firstColumn="1" w:lastColumn="0" w:oddVBand="0" w:evenVBand="0" w:oddHBand="0" w:evenHBand="0" w:firstRowFirstColumn="0" w:firstRowLastColumn="0" w:lastRowFirstColumn="0" w:lastRowLastColumn="0"/>
            <w:tcW w:w="861" w:type="dxa"/>
          </w:tcPr>
          <w:p w:rsidR="000524A2" w:rsidRPr="000524A2" w:rsidRDefault="000524A2" w:rsidP="000524A2">
            <w:pPr>
              <w:spacing w:line="360" w:lineRule="auto"/>
              <w:jc w:val="center"/>
              <w:rPr>
                <w:rFonts w:ascii="仿宋_GB2312" w:eastAsia="仿宋_GB2312" w:hAnsi="仿宋" w:cs="Arial"/>
                <w:szCs w:val="32"/>
              </w:rPr>
            </w:pPr>
            <w:r w:rsidRPr="000524A2">
              <w:rPr>
                <w:rFonts w:ascii="仿宋_GB2312" w:eastAsia="仿宋_GB2312" w:hAnsi="仿宋" w:cs="Arial" w:hint="eastAsia"/>
                <w:szCs w:val="32"/>
              </w:rPr>
              <w:t>A1</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w:t>
            </w:r>
          </w:p>
        </w:tc>
        <w:tc>
          <w:tcPr>
            <w:tcW w:w="1501"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$100mn</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$60mn</w:t>
            </w:r>
          </w:p>
        </w:tc>
      </w:tr>
      <w:tr w:rsidR="000524A2" w:rsidRPr="00C00C56" w:rsidTr="00535782">
        <w:trPr>
          <w:trHeight w:val="315"/>
          <w:jc w:val="center"/>
        </w:trPr>
        <w:tc>
          <w:tcPr>
            <w:cnfStyle w:val="001000000000" w:firstRow="0" w:lastRow="0" w:firstColumn="1" w:lastColumn="0" w:oddVBand="0" w:evenVBand="0" w:oddHBand="0" w:evenHBand="0" w:firstRowFirstColumn="0" w:firstRowLastColumn="0" w:lastRowFirstColumn="0" w:lastRowLastColumn="0"/>
            <w:tcW w:w="861" w:type="dxa"/>
          </w:tcPr>
          <w:p w:rsidR="000524A2" w:rsidRPr="000524A2" w:rsidRDefault="000524A2" w:rsidP="000524A2">
            <w:pPr>
              <w:spacing w:line="360" w:lineRule="auto"/>
              <w:jc w:val="center"/>
              <w:rPr>
                <w:rFonts w:ascii="仿宋_GB2312" w:eastAsia="仿宋_GB2312" w:hAnsi="仿宋" w:cs="Arial"/>
                <w:szCs w:val="32"/>
              </w:rPr>
            </w:pPr>
            <w:r w:rsidRPr="000524A2">
              <w:rPr>
                <w:rFonts w:ascii="仿宋_GB2312" w:eastAsia="仿宋_GB2312" w:hAnsi="仿宋" w:cs="Arial" w:hint="eastAsia"/>
                <w:szCs w:val="32"/>
              </w:rPr>
              <w:t>A2</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w:t>
            </w:r>
          </w:p>
        </w:tc>
        <w:tc>
          <w:tcPr>
            <w:tcW w:w="1501"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$100mn</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$60mn</w:t>
            </w:r>
          </w:p>
        </w:tc>
      </w:tr>
      <w:tr w:rsidR="000524A2" w:rsidRPr="00C00C56" w:rsidTr="00535782">
        <w:trPr>
          <w:trHeight w:val="315"/>
          <w:jc w:val="center"/>
        </w:trPr>
        <w:tc>
          <w:tcPr>
            <w:cnfStyle w:val="001000000000" w:firstRow="0" w:lastRow="0" w:firstColumn="1" w:lastColumn="0" w:oddVBand="0" w:evenVBand="0" w:oddHBand="0" w:evenHBand="0" w:firstRowFirstColumn="0" w:firstRowLastColumn="0" w:lastRowFirstColumn="0" w:lastRowLastColumn="0"/>
            <w:tcW w:w="861" w:type="dxa"/>
          </w:tcPr>
          <w:p w:rsidR="000524A2" w:rsidRPr="000524A2" w:rsidRDefault="000524A2" w:rsidP="000524A2">
            <w:pPr>
              <w:spacing w:line="360" w:lineRule="auto"/>
              <w:jc w:val="center"/>
              <w:rPr>
                <w:rFonts w:ascii="仿宋_GB2312" w:eastAsia="仿宋_GB2312" w:hAnsi="仿宋" w:cs="Arial"/>
                <w:szCs w:val="32"/>
              </w:rPr>
            </w:pPr>
            <w:r w:rsidRPr="000524A2">
              <w:rPr>
                <w:rFonts w:ascii="仿宋_GB2312" w:eastAsia="仿宋_GB2312" w:hAnsi="仿宋" w:cs="Arial" w:hint="eastAsia"/>
                <w:szCs w:val="32"/>
              </w:rPr>
              <w:t>A3</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A-</w:t>
            </w:r>
          </w:p>
        </w:tc>
        <w:tc>
          <w:tcPr>
            <w:tcW w:w="1501"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BBB+</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$100mn</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$60mn</w:t>
            </w:r>
          </w:p>
        </w:tc>
      </w:tr>
      <w:tr w:rsidR="000524A2" w:rsidRPr="00C00C56" w:rsidTr="00535782">
        <w:trPr>
          <w:trHeight w:val="315"/>
          <w:jc w:val="center"/>
        </w:trPr>
        <w:tc>
          <w:tcPr>
            <w:cnfStyle w:val="001000000000" w:firstRow="0" w:lastRow="0" w:firstColumn="1" w:lastColumn="0" w:oddVBand="0" w:evenVBand="0" w:oddHBand="0" w:evenHBand="0" w:firstRowFirstColumn="0" w:firstRowLastColumn="0" w:lastRowFirstColumn="0" w:lastRowLastColumn="0"/>
            <w:tcW w:w="861" w:type="dxa"/>
          </w:tcPr>
          <w:p w:rsidR="000524A2" w:rsidRPr="000524A2" w:rsidRDefault="000524A2" w:rsidP="000524A2">
            <w:pPr>
              <w:spacing w:line="360" w:lineRule="auto"/>
              <w:jc w:val="center"/>
              <w:rPr>
                <w:rFonts w:ascii="仿宋_GB2312" w:eastAsia="仿宋_GB2312" w:hAnsi="仿宋" w:cs="Arial"/>
                <w:szCs w:val="32"/>
              </w:rPr>
            </w:pPr>
            <w:r w:rsidRPr="000524A2">
              <w:rPr>
                <w:rFonts w:ascii="仿宋_GB2312" w:eastAsia="仿宋_GB2312" w:hAnsi="仿宋" w:cs="Arial" w:hint="eastAsia"/>
                <w:szCs w:val="32"/>
              </w:rPr>
              <w:t>Baa1</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BBB+</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BBB+</w:t>
            </w:r>
          </w:p>
        </w:tc>
        <w:tc>
          <w:tcPr>
            <w:tcW w:w="1501"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BBB</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$80mm</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$50mn</w:t>
            </w:r>
          </w:p>
        </w:tc>
      </w:tr>
      <w:tr w:rsidR="000524A2" w:rsidRPr="00C00C56" w:rsidTr="00535782">
        <w:trPr>
          <w:trHeight w:val="315"/>
          <w:jc w:val="center"/>
        </w:trPr>
        <w:tc>
          <w:tcPr>
            <w:cnfStyle w:val="001000000000" w:firstRow="0" w:lastRow="0" w:firstColumn="1" w:lastColumn="0" w:oddVBand="0" w:evenVBand="0" w:oddHBand="0" w:evenHBand="0" w:firstRowFirstColumn="0" w:firstRowLastColumn="0" w:lastRowFirstColumn="0" w:lastRowLastColumn="0"/>
            <w:tcW w:w="861" w:type="dxa"/>
          </w:tcPr>
          <w:p w:rsidR="000524A2" w:rsidRPr="000524A2" w:rsidRDefault="000524A2" w:rsidP="000524A2">
            <w:pPr>
              <w:spacing w:line="360" w:lineRule="auto"/>
              <w:jc w:val="center"/>
              <w:rPr>
                <w:rFonts w:ascii="仿宋_GB2312" w:eastAsia="仿宋_GB2312" w:hAnsi="仿宋" w:cs="Arial"/>
                <w:szCs w:val="32"/>
              </w:rPr>
            </w:pPr>
            <w:r w:rsidRPr="000524A2">
              <w:rPr>
                <w:rFonts w:ascii="仿宋_GB2312" w:eastAsia="仿宋_GB2312" w:hAnsi="仿宋" w:cs="Arial" w:hint="eastAsia"/>
                <w:szCs w:val="32"/>
              </w:rPr>
              <w:lastRenderedPageBreak/>
              <w:t>Baa2</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BBB</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BBB</w:t>
            </w:r>
          </w:p>
        </w:tc>
        <w:tc>
          <w:tcPr>
            <w:tcW w:w="1501"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BB+</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$80mn</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$50mn</w:t>
            </w:r>
          </w:p>
        </w:tc>
      </w:tr>
      <w:tr w:rsidR="000524A2" w:rsidRPr="00C00C56" w:rsidTr="00535782">
        <w:trPr>
          <w:trHeight w:val="315"/>
          <w:jc w:val="center"/>
        </w:trPr>
        <w:tc>
          <w:tcPr>
            <w:cnfStyle w:val="001000000000" w:firstRow="0" w:lastRow="0" w:firstColumn="1" w:lastColumn="0" w:oddVBand="0" w:evenVBand="0" w:oddHBand="0" w:evenHBand="0" w:firstRowFirstColumn="0" w:firstRowLastColumn="0" w:lastRowFirstColumn="0" w:lastRowLastColumn="0"/>
            <w:tcW w:w="861" w:type="dxa"/>
          </w:tcPr>
          <w:p w:rsidR="000524A2" w:rsidRPr="000524A2" w:rsidRDefault="000524A2" w:rsidP="000524A2">
            <w:pPr>
              <w:spacing w:line="360" w:lineRule="auto"/>
              <w:jc w:val="center"/>
              <w:rPr>
                <w:rFonts w:ascii="仿宋_GB2312" w:eastAsia="仿宋_GB2312" w:hAnsi="仿宋" w:cs="Arial"/>
                <w:szCs w:val="32"/>
              </w:rPr>
            </w:pPr>
            <w:r w:rsidRPr="000524A2">
              <w:rPr>
                <w:rFonts w:ascii="仿宋_GB2312" w:eastAsia="仿宋_GB2312" w:hAnsi="仿宋" w:cs="Arial" w:hint="eastAsia"/>
                <w:szCs w:val="32"/>
              </w:rPr>
              <w:t>Baa3</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BBB-</w:t>
            </w:r>
          </w:p>
        </w:tc>
        <w:tc>
          <w:tcPr>
            <w:tcW w:w="859"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BBB-</w:t>
            </w:r>
          </w:p>
        </w:tc>
        <w:tc>
          <w:tcPr>
            <w:tcW w:w="1501"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BB</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$80mn</w:t>
            </w:r>
          </w:p>
        </w:tc>
        <w:tc>
          <w:tcPr>
            <w:tcW w:w="2144" w:type="dxa"/>
          </w:tcPr>
          <w:p w:rsidR="000524A2" w:rsidRPr="000524A2" w:rsidRDefault="000524A2" w:rsidP="000524A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仿宋" w:cs="Arial"/>
                <w:szCs w:val="32"/>
              </w:rPr>
            </w:pPr>
            <w:r w:rsidRPr="000524A2">
              <w:rPr>
                <w:rFonts w:ascii="仿宋_GB2312" w:eastAsia="仿宋_GB2312" w:hAnsi="仿宋" w:cs="Arial" w:hint="eastAsia"/>
                <w:szCs w:val="32"/>
              </w:rPr>
              <w:t>$50mn</w:t>
            </w:r>
          </w:p>
        </w:tc>
      </w:tr>
    </w:tbl>
    <w:p w:rsidR="00535782" w:rsidRPr="00C00C56" w:rsidRDefault="00535782">
      <w:pPr>
        <w:rPr>
          <w:spacing w:val="12"/>
        </w:rPr>
      </w:pPr>
    </w:p>
    <w:p w:rsidR="000524A2" w:rsidRPr="000524A2" w:rsidRDefault="000524A2" w:rsidP="000524A2">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sidRPr="000524A2">
        <w:rPr>
          <w:rFonts w:ascii="仿宋_GB2312" w:eastAsia="仿宋_GB2312" w:hAnsi="仿宋" w:cs="仿宋_GB2312" w:hint="eastAsia"/>
          <w:spacing w:val="12"/>
          <w:sz w:val="32"/>
          <w:szCs w:val="32"/>
          <w:lang w:val="zh-CN"/>
        </w:rPr>
        <w:t>（1）伦敦分行在风险偏好内，负责审核和批准自身客户的授信额度；</w:t>
      </w:r>
    </w:p>
    <w:p w:rsidR="000524A2" w:rsidRPr="000524A2" w:rsidRDefault="000524A2" w:rsidP="000524A2">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sidRPr="000524A2">
        <w:rPr>
          <w:rFonts w:ascii="仿宋_GB2312" w:eastAsia="仿宋_GB2312" w:hAnsi="仿宋" w:cs="仿宋_GB2312" w:hint="eastAsia"/>
          <w:spacing w:val="12"/>
          <w:sz w:val="32"/>
          <w:szCs w:val="32"/>
          <w:lang w:val="zh-CN"/>
        </w:rPr>
        <w:t>（2）伦敦分行无授权给内部信用评级低于BB的公司客户授信；</w:t>
      </w:r>
    </w:p>
    <w:p w:rsidR="000524A2" w:rsidRPr="000524A2" w:rsidRDefault="000524A2" w:rsidP="000524A2">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sidRPr="000524A2">
        <w:rPr>
          <w:rFonts w:ascii="仿宋_GB2312" w:eastAsia="仿宋_GB2312" w:hAnsi="仿宋" w:cs="仿宋_GB2312" w:hint="eastAsia"/>
          <w:spacing w:val="12"/>
          <w:sz w:val="32"/>
          <w:szCs w:val="32"/>
          <w:lang w:val="zh-CN"/>
        </w:rPr>
        <w:t>（3）对于有多个外部信用评级的金融机构客户，信用评级应始终遵循较低的评级；对于没有外部信用评级的金融机构，伦敦分行应遵循总行内部评级；</w:t>
      </w:r>
    </w:p>
    <w:p w:rsidR="00535782" w:rsidRDefault="000524A2" w:rsidP="000524A2">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sidRPr="000524A2">
        <w:rPr>
          <w:rFonts w:ascii="仿宋_GB2312" w:eastAsia="仿宋_GB2312" w:hAnsi="仿宋" w:cs="仿宋_GB2312" w:hint="eastAsia"/>
          <w:spacing w:val="12"/>
          <w:sz w:val="32"/>
          <w:szCs w:val="32"/>
          <w:lang w:val="zh-CN"/>
        </w:rPr>
        <w:t>（4）对于公司客户应遵循总行内部评级。</w:t>
      </w:r>
    </w:p>
    <w:p w:rsidR="00535782" w:rsidRDefault="00A84B67">
      <w:pPr>
        <w:autoSpaceDE w:val="0"/>
        <w:autoSpaceDN w:val="0"/>
        <w:adjustRightInd w:val="0"/>
        <w:snapToGrid w:val="0"/>
        <w:spacing w:line="560" w:lineRule="atLeast"/>
        <w:ind w:firstLineChars="200" w:firstLine="691"/>
        <w:rPr>
          <w:rFonts w:ascii="仿宋_GB2312" w:eastAsia="仿宋_GB2312" w:hAnsi="仿宋" w:cs="仿宋_GB2312"/>
          <w:b/>
          <w:spacing w:val="12"/>
          <w:sz w:val="32"/>
          <w:szCs w:val="32"/>
          <w:lang w:val="zh-CN"/>
        </w:rPr>
      </w:pPr>
      <w:r>
        <w:rPr>
          <w:rFonts w:ascii="仿宋_GB2312" w:eastAsia="仿宋_GB2312" w:hAnsi="仿宋" w:cs="仿宋_GB2312" w:hint="eastAsia"/>
          <w:b/>
          <w:spacing w:val="12"/>
          <w:sz w:val="32"/>
          <w:szCs w:val="32"/>
          <w:lang w:val="zh-CN"/>
        </w:rPr>
        <w:t>2.财务及费用类授权</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（1）伦敦分行行长还被授权负责其他一系列与分行日常运行相关的职责，列于下表：</w:t>
      </w:r>
    </w:p>
    <w:tbl>
      <w:tblPr>
        <w:tblW w:w="8921" w:type="dxa"/>
        <w:jc w:val="center"/>
        <w:tblLayout w:type="fixed"/>
        <w:tblLook w:val="04A0" w:firstRow="1" w:lastRow="0" w:firstColumn="1" w:lastColumn="0" w:noHBand="0" w:noVBand="1"/>
      </w:tblPr>
      <w:tblGrid>
        <w:gridCol w:w="5667"/>
        <w:gridCol w:w="3254"/>
      </w:tblGrid>
      <w:tr w:rsidR="00535782">
        <w:trPr>
          <w:trHeight w:val="283"/>
          <w:tblHeader/>
          <w:jc w:val="center"/>
        </w:trPr>
        <w:tc>
          <w:tcPr>
            <w:tcW w:w="5667" w:type="dxa"/>
            <w:tcBorders>
              <w:top w:val="single" w:sz="4" w:space="0" w:color="auto"/>
              <w:left w:val="single" w:sz="4" w:space="0" w:color="auto"/>
              <w:bottom w:val="nil"/>
              <w:right w:val="single" w:sz="4" w:space="0" w:color="auto"/>
            </w:tcBorders>
            <w:shd w:val="clear" w:color="auto" w:fill="auto"/>
            <w:vAlign w:val="center"/>
          </w:tcPr>
          <w:p w:rsidR="00535782" w:rsidRDefault="00A84B67">
            <w:pPr>
              <w:widowControl/>
              <w:jc w:val="center"/>
              <w:rPr>
                <w:rFonts w:ascii="仿宋_GB2312" w:eastAsia="仿宋_GB2312" w:hAnsi="宋体" w:cs="宋体"/>
                <w:b/>
                <w:bCs/>
                <w:kern w:val="0"/>
                <w:sz w:val="20"/>
              </w:rPr>
            </w:pPr>
            <w:r>
              <w:rPr>
                <w:rFonts w:ascii="仿宋_GB2312" w:eastAsia="仿宋_GB2312" w:hAnsi="宋体" w:cs="宋体" w:hint="eastAsia"/>
                <w:b/>
                <w:bCs/>
                <w:kern w:val="0"/>
                <w:sz w:val="20"/>
              </w:rPr>
              <w:t>项   目</w:t>
            </w:r>
          </w:p>
        </w:tc>
        <w:tc>
          <w:tcPr>
            <w:tcW w:w="3254" w:type="dxa"/>
            <w:tcBorders>
              <w:top w:val="single" w:sz="4" w:space="0" w:color="auto"/>
              <w:left w:val="nil"/>
              <w:bottom w:val="single" w:sz="4" w:space="0" w:color="auto"/>
              <w:right w:val="single" w:sz="4" w:space="0" w:color="auto"/>
            </w:tcBorders>
            <w:shd w:val="clear" w:color="auto" w:fill="auto"/>
            <w:vAlign w:val="center"/>
          </w:tcPr>
          <w:p w:rsidR="00535782" w:rsidRDefault="00A84B67">
            <w:pPr>
              <w:widowControl/>
              <w:jc w:val="center"/>
              <w:rPr>
                <w:rFonts w:ascii="仿宋_GB2312" w:eastAsia="仿宋_GB2312" w:hAnsi="宋体" w:cs="宋体"/>
                <w:b/>
                <w:bCs/>
                <w:kern w:val="0"/>
                <w:sz w:val="20"/>
              </w:rPr>
            </w:pPr>
            <w:r>
              <w:rPr>
                <w:rFonts w:ascii="仿宋_GB2312" w:eastAsia="仿宋_GB2312" w:hAnsi="宋体" w:cs="宋体" w:hint="eastAsia"/>
                <w:b/>
                <w:bCs/>
                <w:kern w:val="0"/>
                <w:sz w:val="20"/>
              </w:rPr>
              <w:t>分行行长权限</w:t>
            </w:r>
          </w:p>
          <w:p w:rsidR="00535782" w:rsidRDefault="00A84B67">
            <w:pPr>
              <w:widowControl/>
              <w:jc w:val="center"/>
              <w:rPr>
                <w:rFonts w:ascii="仿宋_GB2312" w:eastAsia="仿宋_GB2312" w:hAnsi="宋体" w:cs="宋体"/>
                <w:b/>
                <w:bCs/>
                <w:kern w:val="0"/>
                <w:sz w:val="20"/>
              </w:rPr>
            </w:pPr>
            <w:r>
              <w:rPr>
                <w:rFonts w:ascii="仿宋_GB2312" w:eastAsia="仿宋_GB2312" w:hAnsi="宋体" w:cs="宋体" w:hint="eastAsia"/>
                <w:b/>
                <w:bCs/>
                <w:kern w:val="0"/>
                <w:sz w:val="20"/>
              </w:rPr>
              <w:t>（币种：美元）</w:t>
            </w:r>
          </w:p>
        </w:tc>
      </w:tr>
      <w:tr w:rsidR="00535782">
        <w:trPr>
          <w:trHeight w:val="285"/>
          <w:jc w:val="center"/>
        </w:trPr>
        <w:tc>
          <w:tcPr>
            <w:tcW w:w="5667" w:type="dxa"/>
            <w:tcBorders>
              <w:top w:val="single" w:sz="4" w:space="0" w:color="auto"/>
              <w:left w:val="single" w:sz="4" w:space="0" w:color="auto"/>
              <w:bottom w:val="single" w:sz="4" w:space="0" w:color="auto"/>
              <w:right w:val="single" w:sz="4" w:space="0" w:color="auto"/>
            </w:tcBorders>
            <w:shd w:val="clear" w:color="auto" w:fill="auto"/>
            <w:vAlign w:val="center"/>
          </w:tcPr>
          <w:p w:rsidR="00535782" w:rsidRDefault="00A84B67">
            <w:pPr>
              <w:widowControl/>
              <w:jc w:val="left"/>
              <w:rPr>
                <w:rFonts w:ascii="仿宋_GB2312" w:eastAsia="仿宋_GB2312" w:hAnsi="宋体" w:cs="宋体"/>
                <w:b/>
                <w:bCs/>
                <w:kern w:val="0"/>
                <w:sz w:val="20"/>
              </w:rPr>
            </w:pPr>
            <w:r>
              <w:rPr>
                <w:rFonts w:ascii="仿宋_GB2312" w:eastAsia="仿宋_GB2312" w:hAnsi="宋体" w:cs="宋体" w:hint="eastAsia"/>
                <w:b/>
                <w:bCs/>
                <w:kern w:val="0"/>
                <w:sz w:val="20"/>
              </w:rPr>
              <w:t>一、单项费用支出</w:t>
            </w:r>
          </w:p>
        </w:tc>
        <w:tc>
          <w:tcPr>
            <w:tcW w:w="3254" w:type="dxa"/>
            <w:tcBorders>
              <w:top w:val="nil"/>
              <w:left w:val="nil"/>
              <w:bottom w:val="single" w:sz="4" w:space="0" w:color="auto"/>
              <w:right w:val="single" w:sz="4" w:space="0" w:color="auto"/>
            </w:tcBorders>
            <w:shd w:val="clear" w:color="auto" w:fill="auto"/>
            <w:vAlign w:val="center"/>
          </w:tcPr>
          <w:p w:rsidR="00535782" w:rsidRDefault="00535782">
            <w:pPr>
              <w:widowControl/>
              <w:jc w:val="center"/>
              <w:rPr>
                <w:rFonts w:ascii="仿宋_GB2312" w:eastAsia="仿宋_GB2312" w:hAnsi="宋体" w:cs="宋体"/>
                <w:kern w:val="0"/>
                <w:sz w:val="20"/>
              </w:rPr>
            </w:pPr>
          </w:p>
        </w:tc>
      </w:tr>
      <w:tr w:rsidR="00535782">
        <w:trPr>
          <w:trHeight w:val="285"/>
          <w:jc w:val="center"/>
        </w:trPr>
        <w:tc>
          <w:tcPr>
            <w:tcW w:w="5667" w:type="dxa"/>
            <w:tcBorders>
              <w:top w:val="nil"/>
              <w:left w:val="single" w:sz="4" w:space="0" w:color="auto"/>
              <w:bottom w:val="single" w:sz="4" w:space="0" w:color="auto"/>
              <w:right w:val="nil"/>
            </w:tcBorders>
            <w:shd w:val="clear" w:color="auto" w:fill="auto"/>
            <w:vAlign w:val="center"/>
          </w:tcPr>
          <w:p w:rsidR="00535782" w:rsidRDefault="00A84B67">
            <w:pPr>
              <w:widowControl/>
              <w:jc w:val="left"/>
              <w:rPr>
                <w:rFonts w:ascii="仿宋_GB2312" w:eastAsia="仿宋_GB2312" w:hAnsi="宋体" w:cs="宋体"/>
                <w:b/>
                <w:bCs/>
                <w:kern w:val="0"/>
                <w:sz w:val="20"/>
              </w:rPr>
            </w:pPr>
            <w:r>
              <w:rPr>
                <w:rFonts w:ascii="仿宋_GB2312" w:eastAsia="仿宋_GB2312" w:hAnsi="宋体" w:cs="宋体" w:hint="eastAsia"/>
                <w:b/>
                <w:bCs/>
                <w:color w:val="000000"/>
                <w:kern w:val="0"/>
                <w:sz w:val="20"/>
              </w:rPr>
              <w:t>（一）营业用房零星装修支出</w:t>
            </w:r>
          </w:p>
        </w:tc>
        <w:tc>
          <w:tcPr>
            <w:tcW w:w="3254" w:type="dxa"/>
            <w:tcBorders>
              <w:top w:val="nil"/>
              <w:left w:val="single" w:sz="4" w:space="0" w:color="auto"/>
              <w:bottom w:val="single" w:sz="4" w:space="0" w:color="auto"/>
              <w:right w:val="single" w:sz="4" w:space="0" w:color="auto"/>
            </w:tcBorders>
            <w:shd w:val="clear" w:color="auto" w:fill="auto"/>
            <w:vAlign w:val="center"/>
          </w:tcPr>
          <w:p w:rsidR="00535782" w:rsidRDefault="00A84B67">
            <w:pPr>
              <w:widowControl/>
              <w:jc w:val="center"/>
              <w:rPr>
                <w:rFonts w:ascii="仿宋_GB2312" w:eastAsia="仿宋_GB2312" w:hAnsi="宋体" w:cs="宋体"/>
                <w:kern w:val="0"/>
                <w:sz w:val="20"/>
              </w:rPr>
            </w:pPr>
            <w:r>
              <w:rPr>
                <w:rFonts w:ascii="仿宋_GB2312" w:eastAsia="仿宋_GB2312" w:hAnsi="宋体" w:cs="宋体" w:hint="eastAsia"/>
                <w:color w:val="000000"/>
                <w:kern w:val="0"/>
                <w:sz w:val="20"/>
              </w:rPr>
              <w:t>≤</w:t>
            </w:r>
            <w:r>
              <w:rPr>
                <w:rFonts w:ascii="仿宋" w:eastAsia="仿宋" w:hAnsi="仿宋" w:cs="宋体" w:hint="eastAsia"/>
                <w:color w:val="000000"/>
                <w:kern w:val="0"/>
                <w:sz w:val="20"/>
              </w:rPr>
              <w:t>$</w:t>
            </w:r>
            <w:r>
              <w:rPr>
                <w:rFonts w:ascii="仿宋_GB2312" w:eastAsia="仿宋_GB2312" w:hAnsi="宋体" w:cs="宋体" w:hint="eastAsia"/>
                <w:color w:val="000000"/>
                <w:kern w:val="0"/>
                <w:sz w:val="20"/>
              </w:rPr>
              <w:t>4万元</w:t>
            </w:r>
          </w:p>
        </w:tc>
      </w:tr>
      <w:tr w:rsidR="00535782">
        <w:trPr>
          <w:trHeight w:val="285"/>
          <w:jc w:val="center"/>
        </w:trPr>
        <w:tc>
          <w:tcPr>
            <w:tcW w:w="5667" w:type="dxa"/>
            <w:tcBorders>
              <w:top w:val="nil"/>
              <w:left w:val="single" w:sz="4" w:space="0" w:color="auto"/>
              <w:bottom w:val="single" w:sz="4" w:space="0" w:color="auto"/>
              <w:right w:val="nil"/>
            </w:tcBorders>
            <w:shd w:val="clear" w:color="auto" w:fill="auto"/>
            <w:vAlign w:val="center"/>
          </w:tcPr>
          <w:p w:rsidR="00535782" w:rsidRDefault="00A84B67">
            <w:pPr>
              <w:widowControl/>
              <w:jc w:val="left"/>
              <w:rPr>
                <w:rFonts w:ascii="仿宋_GB2312" w:eastAsia="仿宋_GB2312" w:hAnsi="宋体" w:cs="宋体"/>
                <w:b/>
                <w:bCs/>
                <w:kern w:val="0"/>
                <w:sz w:val="20"/>
              </w:rPr>
            </w:pPr>
            <w:r>
              <w:rPr>
                <w:rFonts w:ascii="仿宋_GB2312" w:eastAsia="仿宋_GB2312" w:hAnsi="宋体" w:cs="宋体" w:hint="eastAsia"/>
                <w:b/>
                <w:bCs/>
                <w:kern w:val="0"/>
                <w:sz w:val="20"/>
              </w:rPr>
              <w:t>（二）其他单项费用支出</w:t>
            </w:r>
          </w:p>
        </w:tc>
        <w:tc>
          <w:tcPr>
            <w:tcW w:w="3254" w:type="dxa"/>
            <w:tcBorders>
              <w:top w:val="nil"/>
              <w:left w:val="single" w:sz="4" w:space="0" w:color="auto"/>
              <w:bottom w:val="single" w:sz="4" w:space="0" w:color="auto"/>
              <w:right w:val="single" w:sz="4" w:space="0" w:color="auto"/>
            </w:tcBorders>
            <w:shd w:val="clear" w:color="auto" w:fill="auto"/>
            <w:vAlign w:val="center"/>
          </w:tcPr>
          <w:p w:rsidR="00535782" w:rsidRDefault="00A84B67">
            <w:pPr>
              <w:widowControl/>
              <w:jc w:val="center"/>
              <w:rPr>
                <w:rFonts w:ascii="仿宋_GB2312" w:eastAsia="仿宋_GB2312" w:hAnsi="宋体" w:cs="宋体"/>
                <w:kern w:val="0"/>
                <w:sz w:val="20"/>
              </w:rPr>
            </w:pPr>
            <w:r>
              <w:rPr>
                <w:rFonts w:ascii="仿宋_GB2312" w:eastAsia="仿宋_GB2312" w:hAnsi="宋体" w:cs="宋体" w:hint="eastAsia"/>
                <w:color w:val="000000"/>
                <w:kern w:val="0"/>
                <w:sz w:val="20"/>
              </w:rPr>
              <w:t>≤</w:t>
            </w:r>
            <w:r>
              <w:rPr>
                <w:rFonts w:ascii="仿宋" w:eastAsia="仿宋" w:hAnsi="仿宋" w:cs="宋体" w:hint="eastAsia"/>
                <w:color w:val="000000"/>
                <w:kern w:val="0"/>
                <w:sz w:val="20"/>
              </w:rPr>
              <w:t>$</w:t>
            </w:r>
            <w:r>
              <w:rPr>
                <w:rFonts w:ascii="仿宋_GB2312" w:eastAsia="仿宋_GB2312" w:hAnsi="宋体" w:cs="宋体" w:hint="eastAsia"/>
                <w:color w:val="000000"/>
                <w:kern w:val="0"/>
                <w:sz w:val="20"/>
              </w:rPr>
              <w:t>15万元</w:t>
            </w:r>
          </w:p>
        </w:tc>
      </w:tr>
      <w:tr w:rsidR="00535782">
        <w:trPr>
          <w:trHeight w:val="285"/>
          <w:jc w:val="center"/>
        </w:trPr>
        <w:tc>
          <w:tcPr>
            <w:tcW w:w="5667" w:type="dxa"/>
            <w:tcBorders>
              <w:top w:val="nil"/>
              <w:left w:val="single" w:sz="4" w:space="0" w:color="auto"/>
              <w:bottom w:val="single" w:sz="4" w:space="0" w:color="auto"/>
              <w:right w:val="nil"/>
            </w:tcBorders>
            <w:shd w:val="clear" w:color="auto" w:fill="auto"/>
            <w:vAlign w:val="center"/>
          </w:tcPr>
          <w:p w:rsidR="00535782" w:rsidRDefault="00A84B67">
            <w:pPr>
              <w:widowControl/>
              <w:jc w:val="left"/>
              <w:rPr>
                <w:rFonts w:ascii="仿宋_GB2312" w:eastAsia="仿宋_GB2312" w:hAnsi="宋体" w:cs="宋体"/>
                <w:b/>
                <w:bCs/>
                <w:kern w:val="0"/>
                <w:sz w:val="20"/>
              </w:rPr>
            </w:pPr>
            <w:r>
              <w:rPr>
                <w:rFonts w:ascii="仿宋_GB2312" w:eastAsia="仿宋_GB2312" w:hAnsi="宋体" w:cs="宋体" w:hint="eastAsia"/>
                <w:b/>
                <w:bCs/>
                <w:kern w:val="0"/>
                <w:sz w:val="20"/>
              </w:rPr>
              <w:t>二、资本性支出</w:t>
            </w:r>
          </w:p>
        </w:tc>
        <w:tc>
          <w:tcPr>
            <w:tcW w:w="3254" w:type="dxa"/>
            <w:tcBorders>
              <w:top w:val="nil"/>
              <w:left w:val="single" w:sz="4" w:space="0" w:color="auto"/>
              <w:bottom w:val="single" w:sz="4" w:space="0" w:color="auto"/>
              <w:right w:val="single" w:sz="4" w:space="0" w:color="auto"/>
            </w:tcBorders>
            <w:shd w:val="clear" w:color="auto" w:fill="auto"/>
            <w:vAlign w:val="center"/>
          </w:tcPr>
          <w:p w:rsidR="00535782" w:rsidRDefault="00535782">
            <w:pPr>
              <w:widowControl/>
              <w:jc w:val="center"/>
              <w:rPr>
                <w:rFonts w:ascii="仿宋_GB2312" w:eastAsia="仿宋_GB2312" w:hAnsi="宋体" w:cs="宋体"/>
                <w:kern w:val="0"/>
                <w:sz w:val="20"/>
              </w:rPr>
            </w:pPr>
          </w:p>
        </w:tc>
      </w:tr>
      <w:tr w:rsidR="00535782">
        <w:trPr>
          <w:trHeight w:val="285"/>
          <w:jc w:val="center"/>
        </w:trPr>
        <w:tc>
          <w:tcPr>
            <w:tcW w:w="5667" w:type="dxa"/>
            <w:tcBorders>
              <w:top w:val="nil"/>
              <w:left w:val="single" w:sz="4" w:space="0" w:color="auto"/>
              <w:bottom w:val="single" w:sz="4" w:space="0" w:color="auto"/>
              <w:right w:val="nil"/>
            </w:tcBorders>
            <w:shd w:val="clear" w:color="auto" w:fill="auto"/>
            <w:vAlign w:val="center"/>
          </w:tcPr>
          <w:p w:rsidR="00535782" w:rsidRDefault="00A84B67">
            <w:pPr>
              <w:widowControl/>
              <w:jc w:val="left"/>
              <w:rPr>
                <w:rFonts w:ascii="仿宋_GB2312" w:eastAsia="仿宋_GB2312" w:hAnsi="宋体" w:cs="宋体"/>
                <w:b/>
                <w:bCs/>
                <w:kern w:val="0"/>
                <w:sz w:val="20"/>
              </w:rPr>
            </w:pPr>
            <w:r>
              <w:rPr>
                <w:rFonts w:ascii="仿宋_GB2312" w:eastAsia="仿宋_GB2312" w:hAnsi="宋体" w:cs="宋体" w:hint="eastAsia"/>
                <w:b/>
                <w:bCs/>
                <w:kern w:val="0"/>
                <w:sz w:val="20"/>
              </w:rPr>
              <w:t>（一）科技投入支出</w:t>
            </w:r>
          </w:p>
        </w:tc>
        <w:tc>
          <w:tcPr>
            <w:tcW w:w="3254" w:type="dxa"/>
            <w:tcBorders>
              <w:top w:val="single" w:sz="4" w:space="0" w:color="auto"/>
              <w:left w:val="single" w:sz="4" w:space="0" w:color="auto"/>
              <w:bottom w:val="single" w:sz="4" w:space="0" w:color="auto"/>
              <w:right w:val="single" w:sz="4" w:space="0" w:color="auto"/>
            </w:tcBorders>
            <w:shd w:val="clear" w:color="auto" w:fill="auto"/>
            <w:vAlign w:val="center"/>
          </w:tcPr>
          <w:p w:rsidR="00535782" w:rsidRDefault="00A84B67">
            <w:pPr>
              <w:widowControl/>
              <w:jc w:val="center"/>
              <w:rPr>
                <w:rFonts w:ascii="仿宋_GB2312" w:eastAsia="仿宋_GB2312" w:hAnsi="宋体" w:cs="宋体"/>
                <w:kern w:val="0"/>
                <w:sz w:val="20"/>
              </w:rPr>
            </w:pPr>
            <w:r>
              <w:rPr>
                <w:rFonts w:ascii="仿宋_GB2312" w:eastAsia="仿宋_GB2312" w:hAnsi="宋体" w:cs="宋体" w:hint="eastAsia"/>
                <w:color w:val="000000"/>
                <w:kern w:val="0"/>
                <w:sz w:val="20"/>
              </w:rPr>
              <w:t>≤</w:t>
            </w:r>
            <w:r>
              <w:rPr>
                <w:rFonts w:ascii="仿宋" w:eastAsia="仿宋" w:hAnsi="仿宋" w:cs="宋体" w:hint="eastAsia"/>
                <w:color w:val="000000"/>
                <w:kern w:val="0"/>
                <w:sz w:val="20"/>
              </w:rPr>
              <w:t>$</w:t>
            </w:r>
            <w:r>
              <w:rPr>
                <w:rFonts w:ascii="仿宋_GB2312" w:eastAsia="仿宋_GB2312" w:hAnsi="宋体" w:cs="宋体" w:hint="eastAsia"/>
                <w:color w:val="000000"/>
                <w:kern w:val="0"/>
                <w:sz w:val="20"/>
              </w:rPr>
              <w:t>15万元</w:t>
            </w:r>
          </w:p>
        </w:tc>
      </w:tr>
      <w:tr w:rsidR="00535782">
        <w:trPr>
          <w:trHeight w:val="285"/>
          <w:jc w:val="center"/>
        </w:trPr>
        <w:tc>
          <w:tcPr>
            <w:tcW w:w="5667" w:type="dxa"/>
            <w:tcBorders>
              <w:top w:val="nil"/>
              <w:left w:val="single" w:sz="4" w:space="0" w:color="auto"/>
              <w:bottom w:val="single" w:sz="4" w:space="0" w:color="auto"/>
              <w:right w:val="single" w:sz="4" w:space="0" w:color="auto"/>
            </w:tcBorders>
            <w:shd w:val="clear" w:color="auto" w:fill="auto"/>
            <w:vAlign w:val="center"/>
          </w:tcPr>
          <w:p w:rsidR="00535782" w:rsidRDefault="00A84B67">
            <w:pPr>
              <w:widowControl/>
              <w:jc w:val="left"/>
              <w:rPr>
                <w:rFonts w:ascii="仿宋_GB2312" w:eastAsia="仿宋_GB2312" w:hAnsi="宋体" w:cs="宋体"/>
                <w:b/>
                <w:bCs/>
                <w:kern w:val="0"/>
                <w:sz w:val="20"/>
              </w:rPr>
            </w:pPr>
            <w:r>
              <w:rPr>
                <w:rFonts w:ascii="仿宋_GB2312" w:eastAsia="仿宋_GB2312" w:hAnsi="宋体" w:cs="宋体" w:hint="eastAsia"/>
                <w:b/>
                <w:bCs/>
                <w:kern w:val="0"/>
                <w:sz w:val="20"/>
              </w:rPr>
              <w:t>（二）一般性固定资产购置</w:t>
            </w:r>
          </w:p>
        </w:tc>
        <w:tc>
          <w:tcPr>
            <w:tcW w:w="3254" w:type="dxa"/>
            <w:tcBorders>
              <w:top w:val="nil"/>
              <w:left w:val="nil"/>
              <w:bottom w:val="single" w:sz="4" w:space="0" w:color="auto"/>
              <w:right w:val="single" w:sz="4" w:space="0" w:color="auto"/>
            </w:tcBorders>
            <w:shd w:val="clear" w:color="auto" w:fill="auto"/>
            <w:vAlign w:val="center"/>
          </w:tcPr>
          <w:p w:rsidR="00535782" w:rsidRDefault="00A84B67">
            <w:pPr>
              <w:widowControl/>
              <w:jc w:val="center"/>
              <w:rPr>
                <w:rFonts w:ascii="仿宋_GB2312" w:eastAsia="仿宋_GB2312" w:hAnsi="宋体" w:cs="宋体"/>
                <w:kern w:val="0"/>
                <w:sz w:val="20"/>
              </w:rPr>
            </w:pPr>
            <w:r>
              <w:rPr>
                <w:rFonts w:ascii="仿宋_GB2312" w:eastAsia="仿宋_GB2312" w:hAnsi="宋体" w:cs="宋体" w:hint="eastAsia"/>
                <w:color w:val="000000"/>
                <w:kern w:val="0"/>
                <w:sz w:val="20"/>
              </w:rPr>
              <w:t>≤</w:t>
            </w:r>
            <w:r>
              <w:rPr>
                <w:rFonts w:ascii="仿宋" w:eastAsia="仿宋" w:hAnsi="仿宋" w:cs="宋体" w:hint="eastAsia"/>
                <w:color w:val="000000"/>
                <w:kern w:val="0"/>
                <w:sz w:val="20"/>
              </w:rPr>
              <w:t>$</w:t>
            </w:r>
            <w:r>
              <w:rPr>
                <w:rFonts w:ascii="仿宋_GB2312" w:eastAsia="仿宋_GB2312" w:hAnsi="宋体" w:cs="宋体" w:hint="eastAsia"/>
                <w:color w:val="000000"/>
                <w:kern w:val="0"/>
                <w:sz w:val="20"/>
              </w:rPr>
              <w:t>15万元</w:t>
            </w:r>
          </w:p>
        </w:tc>
      </w:tr>
      <w:tr w:rsidR="00535782">
        <w:trPr>
          <w:trHeight w:val="285"/>
          <w:jc w:val="center"/>
        </w:trPr>
        <w:tc>
          <w:tcPr>
            <w:tcW w:w="5667" w:type="dxa"/>
            <w:tcBorders>
              <w:top w:val="nil"/>
              <w:left w:val="single" w:sz="4" w:space="0" w:color="auto"/>
              <w:bottom w:val="single" w:sz="4" w:space="0" w:color="auto"/>
              <w:right w:val="single" w:sz="4" w:space="0" w:color="auto"/>
            </w:tcBorders>
            <w:shd w:val="clear" w:color="auto" w:fill="auto"/>
            <w:vAlign w:val="center"/>
          </w:tcPr>
          <w:p w:rsidR="00535782" w:rsidRDefault="00A84B67">
            <w:pPr>
              <w:widowControl/>
              <w:jc w:val="left"/>
              <w:rPr>
                <w:rFonts w:ascii="仿宋_GB2312" w:eastAsia="仿宋_GB2312" w:hAnsi="宋体" w:cs="宋体"/>
                <w:b/>
                <w:bCs/>
                <w:kern w:val="0"/>
                <w:sz w:val="20"/>
              </w:rPr>
            </w:pPr>
            <w:r>
              <w:rPr>
                <w:rFonts w:ascii="仿宋_GB2312" w:eastAsia="仿宋_GB2312" w:hAnsi="宋体" w:cs="宋体" w:hint="eastAsia"/>
                <w:b/>
                <w:bCs/>
                <w:kern w:val="0"/>
                <w:sz w:val="20"/>
              </w:rPr>
              <w:t>（三）其他单项资本性支出</w:t>
            </w:r>
          </w:p>
        </w:tc>
        <w:tc>
          <w:tcPr>
            <w:tcW w:w="3254" w:type="dxa"/>
            <w:tcBorders>
              <w:top w:val="nil"/>
              <w:left w:val="nil"/>
              <w:bottom w:val="single" w:sz="4" w:space="0" w:color="auto"/>
              <w:right w:val="single" w:sz="4" w:space="0" w:color="auto"/>
            </w:tcBorders>
            <w:shd w:val="clear" w:color="auto" w:fill="auto"/>
            <w:vAlign w:val="center"/>
          </w:tcPr>
          <w:p w:rsidR="00535782" w:rsidRDefault="00A84B67">
            <w:pPr>
              <w:widowControl/>
              <w:jc w:val="center"/>
              <w:rPr>
                <w:rFonts w:ascii="仿宋_GB2312" w:eastAsia="仿宋_GB2312" w:hAnsi="宋体" w:cs="宋体"/>
                <w:kern w:val="0"/>
                <w:sz w:val="20"/>
              </w:rPr>
            </w:pPr>
            <w:r>
              <w:rPr>
                <w:rFonts w:ascii="仿宋_GB2312" w:eastAsia="仿宋_GB2312" w:hAnsi="宋体" w:cs="宋体" w:hint="eastAsia"/>
                <w:color w:val="000000"/>
                <w:kern w:val="0"/>
                <w:sz w:val="20"/>
              </w:rPr>
              <w:t>≤</w:t>
            </w:r>
            <w:r>
              <w:rPr>
                <w:rFonts w:ascii="仿宋" w:eastAsia="仿宋" w:hAnsi="仿宋" w:cs="宋体" w:hint="eastAsia"/>
                <w:color w:val="000000"/>
                <w:kern w:val="0"/>
                <w:sz w:val="20"/>
              </w:rPr>
              <w:t>$</w:t>
            </w:r>
            <w:r>
              <w:rPr>
                <w:rFonts w:ascii="仿宋_GB2312" w:eastAsia="仿宋_GB2312" w:hAnsi="宋体" w:cs="宋体" w:hint="eastAsia"/>
                <w:color w:val="000000"/>
                <w:kern w:val="0"/>
                <w:sz w:val="20"/>
              </w:rPr>
              <w:t>15万元</w:t>
            </w:r>
          </w:p>
        </w:tc>
      </w:tr>
      <w:tr w:rsidR="00535782">
        <w:trPr>
          <w:trHeight w:val="285"/>
          <w:jc w:val="center"/>
        </w:trPr>
        <w:tc>
          <w:tcPr>
            <w:tcW w:w="5667" w:type="dxa"/>
            <w:tcBorders>
              <w:top w:val="nil"/>
              <w:left w:val="single" w:sz="4" w:space="0" w:color="auto"/>
              <w:bottom w:val="single" w:sz="4" w:space="0" w:color="auto"/>
              <w:right w:val="nil"/>
            </w:tcBorders>
            <w:shd w:val="clear" w:color="auto" w:fill="auto"/>
            <w:vAlign w:val="center"/>
          </w:tcPr>
          <w:p w:rsidR="00535782" w:rsidRDefault="00A84B67">
            <w:pPr>
              <w:widowControl/>
              <w:jc w:val="left"/>
              <w:rPr>
                <w:rFonts w:ascii="仿宋_GB2312" w:eastAsia="仿宋_GB2312" w:hAnsi="宋体" w:cs="宋体"/>
                <w:b/>
                <w:bCs/>
                <w:kern w:val="0"/>
                <w:sz w:val="20"/>
              </w:rPr>
            </w:pPr>
            <w:r>
              <w:rPr>
                <w:rFonts w:ascii="仿宋_GB2312" w:eastAsia="仿宋_GB2312" w:hAnsi="宋体" w:cs="宋体" w:hint="eastAsia"/>
                <w:b/>
                <w:bCs/>
                <w:kern w:val="0"/>
                <w:sz w:val="20"/>
              </w:rPr>
              <w:t>三、营业外收支</w:t>
            </w:r>
          </w:p>
        </w:tc>
        <w:tc>
          <w:tcPr>
            <w:tcW w:w="3254" w:type="dxa"/>
            <w:tcBorders>
              <w:top w:val="nil"/>
              <w:left w:val="single" w:sz="4" w:space="0" w:color="auto"/>
              <w:bottom w:val="single" w:sz="4" w:space="0" w:color="auto"/>
              <w:right w:val="single" w:sz="4" w:space="0" w:color="auto"/>
            </w:tcBorders>
            <w:shd w:val="clear" w:color="auto" w:fill="auto"/>
            <w:vAlign w:val="center"/>
          </w:tcPr>
          <w:p w:rsidR="00535782" w:rsidRDefault="00535782">
            <w:pPr>
              <w:widowControl/>
              <w:jc w:val="left"/>
              <w:rPr>
                <w:rFonts w:ascii="仿宋_GB2312" w:eastAsia="仿宋_GB2312" w:hAnsi="宋体" w:cs="宋体"/>
                <w:kern w:val="0"/>
                <w:sz w:val="20"/>
              </w:rPr>
            </w:pPr>
          </w:p>
        </w:tc>
      </w:tr>
      <w:tr w:rsidR="00535782">
        <w:trPr>
          <w:trHeight w:val="420"/>
          <w:jc w:val="center"/>
        </w:trPr>
        <w:tc>
          <w:tcPr>
            <w:tcW w:w="5667" w:type="dxa"/>
            <w:tcBorders>
              <w:top w:val="nil"/>
              <w:left w:val="single" w:sz="4" w:space="0" w:color="auto"/>
              <w:bottom w:val="single" w:sz="4" w:space="0" w:color="auto"/>
              <w:right w:val="single" w:sz="4" w:space="0" w:color="auto"/>
            </w:tcBorders>
            <w:shd w:val="clear" w:color="auto" w:fill="auto"/>
            <w:vAlign w:val="center"/>
          </w:tcPr>
          <w:p w:rsidR="00535782" w:rsidRDefault="00A84B67">
            <w:pPr>
              <w:widowControl/>
              <w:jc w:val="left"/>
              <w:rPr>
                <w:rFonts w:ascii="仿宋_GB2312" w:eastAsia="仿宋_GB2312" w:hAnsi="宋体" w:cs="宋体"/>
                <w:b/>
                <w:bCs/>
                <w:kern w:val="0"/>
                <w:sz w:val="20"/>
              </w:rPr>
            </w:pPr>
            <w:r>
              <w:rPr>
                <w:rFonts w:ascii="仿宋_GB2312" w:eastAsia="仿宋_GB2312" w:hAnsi="宋体" w:cs="宋体" w:hint="eastAsia"/>
                <w:b/>
                <w:bCs/>
                <w:kern w:val="0"/>
                <w:sz w:val="20"/>
              </w:rPr>
              <w:t>（一）处置固定资产的营业外收支</w:t>
            </w:r>
          </w:p>
        </w:tc>
        <w:tc>
          <w:tcPr>
            <w:tcW w:w="3254" w:type="dxa"/>
            <w:tcBorders>
              <w:top w:val="nil"/>
              <w:left w:val="nil"/>
              <w:bottom w:val="single" w:sz="4" w:space="0" w:color="auto"/>
              <w:right w:val="single" w:sz="4" w:space="0" w:color="auto"/>
            </w:tcBorders>
            <w:shd w:val="clear" w:color="auto" w:fill="auto"/>
            <w:vAlign w:val="center"/>
          </w:tcPr>
          <w:p w:rsidR="00535782" w:rsidRDefault="00A84B67">
            <w:pPr>
              <w:widowControl/>
              <w:jc w:val="center"/>
              <w:rPr>
                <w:rFonts w:ascii="仿宋_GB2312" w:eastAsia="仿宋_GB2312" w:hAnsi="宋体" w:cs="宋体"/>
                <w:kern w:val="0"/>
                <w:sz w:val="20"/>
              </w:rPr>
            </w:pPr>
            <w:r>
              <w:rPr>
                <w:rFonts w:ascii="仿宋_GB2312" w:eastAsia="仿宋_GB2312" w:hAnsi="宋体" w:cs="宋体" w:hint="eastAsia"/>
                <w:kern w:val="0"/>
                <w:sz w:val="20"/>
              </w:rPr>
              <w:t>提足折旧、单项资产原值≤</w:t>
            </w:r>
            <w:r>
              <w:rPr>
                <w:rFonts w:ascii="仿宋" w:eastAsia="仿宋" w:hAnsi="仿宋" w:cs="宋体" w:hint="eastAsia"/>
                <w:color w:val="000000"/>
                <w:kern w:val="0"/>
                <w:sz w:val="20"/>
              </w:rPr>
              <w:t>$10</w:t>
            </w:r>
            <w:r>
              <w:rPr>
                <w:rFonts w:ascii="仿宋_GB2312" w:eastAsia="仿宋_GB2312" w:hAnsi="宋体" w:cs="宋体" w:hint="eastAsia"/>
                <w:kern w:val="0"/>
                <w:sz w:val="20"/>
              </w:rPr>
              <w:t>万元、维护成本过高</w:t>
            </w:r>
          </w:p>
        </w:tc>
      </w:tr>
      <w:tr w:rsidR="00535782">
        <w:trPr>
          <w:trHeight w:val="285"/>
          <w:jc w:val="center"/>
        </w:trPr>
        <w:tc>
          <w:tcPr>
            <w:tcW w:w="5667" w:type="dxa"/>
            <w:tcBorders>
              <w:top w:val="nil"/>
              <w:left w:val="single" w:sz="4" w:space="0" w:color="auto"/>
              <w:bottom w:val="single" w:sz="4" w:space="0" w:color="auto"/>
              <w:right w:val="single" w:sz="4" w:space="0" w:color="auto"/>
            </w:tcBorders>
            <w:shd w:val="clear" w:color="auto" w:fill="auto"/>
            <w:vAlign w:val="center"/>
          </w:tcPr>
          <w:p w:rsidR="00535782" w:rsidRDefault="00A84B67">
            <w:pPr>
              <w:widowControl/>
              <w:jc w:val="left"/>
              <w:rPr>
                <w:rFonts w:ascii="仿宋_GB2312" w:eastAsia="仿宋_GB2312" w:hAnsi="宋体" w:cs="宋体"/>
                <w:b/>
                <w:bCs/>
                <w:kern w:val="0"/>
                <w:sz w:val="20"/>
              </w:rPr>
            </w:pPr>
            <w:r>
              <w:rPr>
                <w:rFonts w:ascii="仿宋_GB2312" w:eastAsia="仿宋_GB2312" w:hAnsi="宋体" w:cs="宋体" w:hint="eastAsia"/>
                <w:b/>
                <w:bCs/>
                <w:kern w:val="0"/>
                <w:sz w:val="20"/>
              </w:rPr>
              <w:t>（二）非处置固定资产的营业外收支</w:t>
            </w:r>
          </w:p>
        </w:tc>
        <w:tc>
          <w:tcPr>
            <w:tcW w:w="3254" w:type="dxa"/>
            <w:tcBorders>
              <w:top w:val="nil"/>
              <w:left w:val="nil"/>
              <w:bottom w:val="single" w:sz="4" w:space="0" w:color="auto"/>
              <w:right w:val="single" w:sz="4" w:space="0" w:color="auto"/>
            </w:tcBorders>
            <w:shd w:val="clear" w:color="auto" w:fill="auto"/>
            <w:vAlign w:val="center"/>
          </w:tcPr>
          <w:p w:rsidR="00535782" w:rsidRDefault="00535782">
            <w:pPr>
              <w:widowControl/>
              <w:jc w:val="left"/>
              <w:rPr>
                <w:rFonts w:ascii="仿宋_GB2312" w:eastAsia="仿宋_GB2312" w:hAnsi="宋体" w:cs="宋体"/>
                <w:kern w:val="0"/>
                <w:sz w:val="20"/>
              </w:rPr>
            </w:pPr>
          </w:p>
        </w:tc>
      </w:tr>
      <w:tr w:rsidR="00535782">
        <w:trPr>
          <w:trHeight w:val="420"/>
          <w:jc w:val="center"/>
        </w:trPr>
        <w:tc>
          <w:tcPr>
            <w:tcW w:w="5667" w:type="dxa"/>
            <w:tcBorders>
              <w:top w:val="nil"/>
              <w:left w:val="single" w:sz="4" w:space="0" w:color="auto"/>
              <w:bottom w:val="single" w:sz="4" w:space="0" w:color="auto"/>
              <w:right w:val="single" w:sz="4" w:space="0" w:color="auto"/>
            </w:tcBorders>
            <w:shd w:val="clear" w:color="auto" w:fill="auto"/>
            <w:vAlign w:val="center"/>
          </w:tcPr>
          <w:p w:rsidR="00535782" w:rsidRDefault="00A84B67">
            <w:pPr>
              <w:widowControl/>
              <w:jc w:val="left"/>
              <w:rPr>
                <w:rFonts w:ascii="仿宋_GB2312" w:eastAsia="仿宋_GB2312" w:hAnsi="宋体" w:cs="宋体"/>
                <w:kern w:val="0"/>
                <w:sz w:val="20"/>
              </w:rPr>
            </w:pPr>
            <w:r>
              <w:rPr>
                <w:rFonts w:ascii="仿宋_GB2312" w:eastAsia="仿宋_GB2312" w:hAnsi="宋体" w:cs="宋体" w:hint="eastAsia"/>
                <w:kern w:val="0"/>
                <w:sz w:val="20"/>
              </w:rPr>
              <w:lastRenderedPageBreak/>
              <w:t xml:space="preserve">   1.营业外收入</w:t>
            </w:r>
          </w:p>
        </w:tc>
        <w:tc>
          <w:tcPr>
            <w:tcW w:w="3254" w:type="dxa"/>
            <w:tcBorders>
              <w:top w:val="nil"/>
              <w:left w:val="nil"/>
              <w:bottom w:val="single" w:sz="4" w:space="0" w:color="auto"/>
              <w:right w:val="single" w:sz="4" w:space="0" w:color="auto"/>
            </w:tcBorders>
            <w:shd w:val="clear" w:color="auto" w:fill="auto"/>
            <w:vAlign w:val="center"/>
          </w:tcPr>
          <w:p w:rsidR="00535782" w:rsidRDefault="00A84B67">
            <w:pPr>
              <w:widowControl/>
              <w:jc w:val="center"/>
              <w:rPr>
                <w:rFonts w:ascii="仿宋_GB2312" w:eastAsia="仿宋_GB2312" w:hAnsi="宋体" w:cs="宋体"/>
                <w:kern w:val="0"/>
                <w:sz w:val="20"/>
              </w:rPr>
            </w:pPr>
            <w:r>
              <w:rPr>
                <w:rFonts w:ascii="仿宋_GB2312" w:eastAsia="仿宋_GB2312" w:hAnsi="宋体" w:cs="宋体" w:hint="eastAsia"/>
                <w:kern w:val="0"/>
                <w:sz w:val="20"/>
              </w:rPr>
              <w:t>逐项（长款、错款等按相关制度规定处理）</w:t>
            </w:r>
          </w:p>
        </w:tc>
      </w:tr>
      <w:tr w:rsidR="00535782">
        <w:trPr>
          <w:trHeight w:val="285"/>
          <w:jc w:val="center"/>
        </w:trPr>
        <w:tc>
          <w:tcPr>
            <w:tcW w:w="5667" w:type="dxa"/>
            <w:tcBorders>
              <w:top w:val="nil"/>
              <w:left w:val="single" w:sz="4" w:space="0" w:color="auto"/>
              <w:bottom w:val="single" w:sz="4" w:space="0" w:color="auto"/>
              <w:right w:val="single" w:sz="4" w:space="0" w:color="auto"/>
            </w:tcBorders>
            <w:shd w:val="clear" w:color="auto" w:fill="auto"/>
            <w:vAlign w:val="center"/>
          </w:tcPr>
          <w:p w:rsidR="00535782" w:rsidRDefault="00A84B67">
            <w:pPr>
              <w:widowControl/>
              <w:jc w:val="left"/>
              <w:rPr>
                <w:rFonts w:ascii="仿宋_GB2312" w:eastAsia="仿宋_GB2312" w:hAnsi="宋体" w:cs="宋体"/>
                <w:kern w:val="0"/>
                <w:sz w:val="20"/>
              </w:rPr>
            </w:pPr>
            <w:r>
              <w:rPr>
                <w:rFonts w:ascii="仿宋_GB2312" w:eastAsia="仿宋_GB2312" w:hAnsi="宋体" w:cs="宋体" w:hint="eastAsia"/>
                <w:kern w:val="0"/>
                <w:sz w:val="20"/>
              </w:rPr>
              <w:t xml:space="preserve">   2.短款支出</w:t>
            </w:r>
          </w:p>
        </w:tc>
        <w:tc>
          <w:tcPr>
            <w:tcW w:w="3254" w:type="dxa"/>
            <w:tcBorders>
              <w:top w:val="nil"/>
              <w:left w:val="nil"/>
              <w:bottom w:val="single" w:sz="4" w:space="0" w:color="auto"/>
              <w:right w:val="single" w:sz="4" w:space="0" w:color="auto"/>
            </w:tcBorders>
            <w:shd w:val="clear" w:color="auto" w:fill="auto"/>
            <w:vAlign w:val="center"/>
          </w:tcPr>
          <w:p w:rsidR="00535782" w:rsidRDefault="00A84B67">
            <w:pPr>
              <w:widowControl/>
              <w:jc w:val="left"/>
              <w:rPr>
                <w:rFonts w:ascii="仿宋_GB2312" w:eastAsia="仿宋_GB2312" w:hAnsi="宋体" w:cs="宋体"/>
                <w:kern w:val="0"/>
                <w:sz w:val="20"/>
              </w:rPr>
            </w:pPr>
            <w:r>
              <w:rPr>
                <w:rFonts w:ascii="仿宋_GB2312" w:eastAsia="仿宋_GB2312" w:hAnsi="宋体" w:cs="宋体" w:hint="eastAsia"/>
                <w:kern w:val="0"/>
                <w:sz w:val="20"/>
              </w:rPr>
              <w:t>短款、错款等按相关制度规定处理</w:t>
            </w:r>
          </w:p>
        </w:tc>
      </w:tr>
    </w:tbl>
    <w:p w:rsidR="00535782" w:rsidRDefault="00A84B67">
      <w:pPr>
        <w:spacing w:line="560" w:lineRule="atLeast"/>
        <w:ind w:firstLineChars="200" w:firstLine="562"/>
        <w:rPr>
          <w:rFonts w:ascii="仿宋_GB2312" w:eastAsia="仿宋_GB2312" w:hAnsi="宋体"/>
          <w:b/>
          <w:sz w:val="28"/>
          <w:szCs w:val="28"/>
        </w:rPr>
      </w:pPr>
      <w:r>
        <w:rPr>
          <w:rFonts w:ascii="仿宋_GB2312" w:eastAsia="仿宋_GB2312" w:hAnsi="宋体" w:hint="eastAsia"/>
          <w:b/>
          <w:sz w:val="28"/>
          <w:szCs w:val="28"/>
        </w:rPr>
        <w:t>说明:</w:t>
      </w:r>
    </w:p>
    <w:p w:rsidR="00535782" w:rsidRDefault="00A84B67">
      <w:pPr>
        <w:spacing w:line="400" w:lineRule="exact"/>
        <w:ind w:firstLineChars="202" w:firstLine="485"/>
        <w:rPr>
          <w:rFonts w:ascii="仿宋_GB2312" w:eastAsia="仿宋_GB2312" w:hAnsi="仿宋"/>
          <w:sz w:val="24"/>
          <w:szCs w:val="24"/>
        </w:rPr>
      </w:pPr>
      <w:r>
        <w:rPr>
          <w:rFonts w:ascii="仿宋_GB2312" w:eastAsia="仿宋_GB2312" w:hAnsi="仿宋" w:hint="eastAsia"/>
          <w:sz w:val="24"/>
          <w:szCs w:val="24"/>
        </w:rPr>
        <w:t>1.单项费用支出是指在具体审批时属于一组相关财务行为(包含单个财务行为)，在审批上不宜分割而需一并</w:t>
      </w:r>
      <w:proofErr w:type="gramStart"/>
      <w:r>
        <w:rPr>
          <w:rFonts w:ascii="仿宋_GB2312" w:eastAsia="仿宋_GB2312" w:hAnsi="仿宋" w:hint="eastAsia"/>
          <w:sz w:val="24"/>
          <w:szCs w:val="24"/>
        </w:rPr>
        <w:t>考量</w:t>
      </w:r>
      <w:proofErr w:type="gramEnd"/>
      <w:r>
        <w:rPr>
          <w:rFonts w:ascii="仿宋_GB2312" w:eastAsia="仿宋_GB2312" w:hAnsi="仿宋" w:hint="eastAsia"/>
          <w:sz w:val="24"/>
          <w:szCs w:val="24"/>
        </w:rPr>
        <w:t>的财务事项；</w:t>
      </w:r>
    </w:p>
    <w:p w:rsidR="00535782" w:rsidRPr="00C00C56" w:rsidRDefault="00A84B67" w:rsidP="00C00C56">
      <w:pPr>
        <w:spacing w:line="400" w:lineRule="exact"/>
        <w:ind w:firstLineChars="202" w:firstLine="485"/>
        <w:rPr>
          <w:rFonts w:ascii="仿宋_GB2312" w:eastAsia="仿宋_GB2312" w:hAnsi="仿宋"/>
          <w:sz w:val="24"/>
          <w:szCs w:val="24"/>
        </w:rPr>
      </w:pPr>
      <w:r>
        <w:rPr>
          <w:rFonts w:ascii="仿宋_GB2312" w:eastAsia="仿宋_GB2312" w:hAnsi="仿宋" w:hint="eastAsia"/>
          <w:sz w:val="24"/>
          <w:szCs w:val="24"/>
        </w:rPr>
        <w:t>对于离行式单体自助设备场地租赁事项，每批次在租赁期内任何一个年度累计付</w:t>
      </w:r>
      <w:r w:rsidRPr="00C00C56">
        <w:rPr>
          <w:rFonts w:ascii="仿宋_GB2312" w:eastAsia="仿宋_GB2312" w:hAnsi="仿宋" w:hint="eastAsia"/>
          <w:sz w:val="24"/>
          <w:szCs w:val="24"/>
        </w:rPr>
        <w:t>款总金额，按单项费用支出审批权限执行；</w:t>
      </w:r>
    </w:p>
    <w:p w:rsidR="00535782" w:rsidRPr="00C00C56" w:rsidRDefault="00A84B67" w:rsidP="00C00C56">
      <w:pPr>
        <w:spacing w:line="400" w:lineRule="exact"/>
        <w:ind w:firstLineChars="202" w:firstLine="485"/>
        <w:rPr>
          <w:rFonts w:ascii="仿宋_GB2312" w:eastAsia="仿宋_GB2312" w:hAnsi="仿宋"/>
          <w:sz w:val="24"/>
          <w:szCs w:val="24"/>
        </w:rPr>
      </w:pPr>
      <w:r w:rsidRPr="00C00C56">
        <w:rPr>
          <w:rFonts w:ascii="仿宋_GB2312" w:eastAsia="仿宋_GB2312" w:hAnsi="仿宋" w:hint="eastAsia"/>
          <w:sz w:val="24"/>
          <w:szCs w:val="24"/>
        </w:rPr>
        <w:t>对于标准内的差旅费、职工教育经费差旅支出，单笔700美元以下的业务招待费、印刷费、资料费、交通费、办公费、修理费、低值易耗品、业务宣传费、押品评估费、</w:t>
      </w:r>
      <w:proofErr w:type="gramStart"/>
      <w:r w:rsidRPr="00C00C56">
        <w:rPr>
          <w:rFonts w:ascii="仿宋_GB2312" w:eastAsia="仿宋_GB2312" w:hAnsi="仿宋" w:hint="eastAsia"/>
          <w:sz w:val="24"/>
          <w:szCs w:val="24"/>
        </w:rPr>
        <w:t>业务邮电</w:t>
      </w:r>
      <w:proofErr w:type="gramEnd"/>
      <w:r w:rsidRPr="00C00C56">
        <w:rPr>
          <w:rFonts w:ascii="仿宋_GB2312" w:eastAsia="仿宋_GB2312" w:hAnsi="仿宋" w:hint="eastAsia"/>
          <w:sz w:val="24"/>
          <w:szCs w:val="24"/>
        </w:rPr>
        <w:t>费、会议费（标准内）、电子设备运转费、绿化费以及分行审批权限内的税金、政府行政收费、水电费、采暖费、贷款业务抵押登记费，可在请示有权人同意后先行支付，再按照行内财务审批程序予以报销；</w:t>
      </w:r>
    </w:p>
    <w:p w:rsidR="00535782" w:rsidRDefault="00A84B67">
      <w:pPr>
        <w:spacing w:line="400" w:lineRule="exact"/>
        <w:ind w:firstLineChars="202" w:firstLine="485"/>
        <w:rPr>
          <w:rFonts w:ascii="仿宋_GB2312" w:eastAsia="仿宋_GB2312" w:hAnsi="仿宋"/>
          <w:sz w:val="24"/>
          <w:szCs w:val="24"/>
        </w:rPr>
      </w:pPr>
      <w:r>
        <w:rPr>
          <w:rFonts w:ascii="仿宋_GB2312" w:eastAsia="仿宋_GB2312" w:hAnsi="仿宋" w:hint="eastAsia"/>
          <w:sz w:val="24"/>
          <w:szCs w:val="24"/>
        </w:rPr>
        <w:t>不受分行单项费用支出权限限制的事项包括：</w:t>
      </w:r>
    </w:p>
    <w:p w:rsidR="00535782" w:rsidRDefault="00A84B67">
      <w:pPr>
        <w:spacing w:line="400" w:lineRule="exact"/>
        <w:ind w:firstLineChars="202" w:firstLine="485"/>
        <w:rPr>
          <w:rFonts w:ascii="仿宋_GB2312" w:eastAsia="仿宋_GB2312" w:hAnsi="仿宋"/>
          <w:sz w:val="24"/>
          <w:szCs w:val="24"/>
        </w:rPr>
      </w:pPr>
      <w:r>
        <w:rPr>
          <w:rFonts w:ascii="仿宋_GB2312" w:eastAsia="仿宋_GB2312" w:hAnsi="仿宋" w:hint="eastAsia"/>
          <w:sz w:val="24"/>
          <w:szCs w:val="24"/>
        </w:rPr>
        <w:t>（1）薪酬支出。对总行核定的工资额度，以及财务制度规定标准内的职工福利支出、职工教育经费、五险</w:t>
      </w:r>
      <w:proofErr w:type="gramStart"/>
      <w:r>
        <w:rPr>
          <w:rFonts w:ascii="仿宋_GB2312" w:eastAsia="仿宋_GB2312" w:hAnsi="仿宋" w:hint="eastAsia"/>
          <w:sz w:val="24"/>
          <w:szCs w:val="24"/>
        </w:rPr>
        <w:t>一</w:t>
      </w:r>
      <w:proofErr w:type="gramEnd"/>
      <w:r>
        <w:rPr>
          <w:rFonts w:ascii="仿宋_GB2312" w:eastAsia="仿宋_GB2312" w:hAnsi="仿宋" w:hint="eastAsia"/>
          <w:sz w:val="24"/>
          <w:szCs w:val="24"/>
        </w:rPr>
        <w:t>金、补充保险、住房补贴等支出，分行可按规定程序经有权人审批后列支。</w:t>
      </w:r>
    </w:p>
    <w:p w:rsidR="00535782" w:rsidRDefault="00A84B67">
      <w:pPr>
        <w:spacing w:line="400" w:lineRule="exact"/>
        <w:ind w:firstLineChars="202" w:firstLine="485"/>
        <w:rPr>
          <w:rFonts w:ascii="仿宋_GB2312" w:eastAsia="仿宋_GB2312" w:hAnsi="仿宋"/>
          <w:sz w:val="24"/>
          <w:szCs w:val="24"/>
        </w:rPr>
      </w:pPr>
      <w:r>
        <w:rPr>
          <w:rFonts w:ascii="仿宋_GB2312" w:eastAsia="仿宋_GB2312" w:hAnsi="仿宋" w:hint="eastAsia"/>
          <w:sz w:val="24"/>
          <w:szCs w:val="24"/>
        </w:rPr>
        <w:t>（2）水电费、营业用房采暖费、钞币运送费、安全防卫费、</w:t>
      </w:r>
      <w:proofErr w:type="gramStart"/>
      <w:r>
        <w:rPr>
          <w:rFonts w:ascii="仿宋_GB2312" w:eastAsia="仿宋_GB2312" w:hAnsi="仿宋" w:hint="eastAsia"/>
          <w:sz w:val="24"/>
          <w:szCs w:val="24"/>
        </w:rPr>
        <w:t>业务邮电</w:t>
      </w:r>
      <w:proofErr w:type="gramEnd"/>
      <w:r>
        <w:rPr>
          <w:rFonts w:ascii="仿宋_GB2312" w:eastAsia="仿宋_GB2312" w:hAnsi="仿宋" w:hint="eastAsia"/>
          <w:sz w:val="24"/>
          <w:szCs w:val="24"/>
        </w:rPr>
        <w:t>费、公证费、装修工程预结算审计服务费、专用线路租赁费、自助设备维保费支出、借记卡制卡费、票据传递费、押品评估费、饮用水支出。分行在签署正常合同或协议的条件下，按规定程序经有权人审批后列支。</w:t>
      </w:r>
    </w:p>
    <w:p w:rsidR="00535782" w:rsidRDefault="00A84B67">
      <w:pPr>
        <w:spacing w:line="400" w:lineRule="exact"/>
        <w:ind w:firstLineChars="202" w:firstLine="485"/>
        <w:rPr>
          <w:rFonts w:ascii="仿宋_GB2312" w:eastAsia="仿宋_GB2312" w:hAnsi="仿宋"/>
          <w:sz w:val="24"/>
          <w:szCs w:val="24"/>
        </w:rPr>
      </w:pPr>
      <w:r>
        <w:rPr>
          <w:rFonts w:ascii="仿宋_GB2312" w:eastAsia="仿宋_GB2312" w:hAnsi="仿宋" w:hint="eastAsia"/>
          <w:sz w:val="24"/>
          <w:szCs w:val="24"/>
        </w:rPr>
        <w:t>（3）政府部门、司法机关的行政收费。根据</w:t>
      </w:r>
      <w:r>
        <w:rPr>
          <w:rFonts w:ascii="仿宋_GB2312" w:eastAsia="仿宋_GB2312" w:hAnsi="仿宋"/>
          <w:sz w:val="24"/>
          <w:szCs w:val="24"/>
        </w:rPr>
        <w:t>有关规定，向</w:t>
      </w:r>
      <w:r>
        <w:rPr>
          <w:rFonts w:ascii="仿宋_GB2312" w:eastAsia="仿宋_GB2312" w:hAnsi="仿宋" w:hint="eastAsia"/>
          <w:sz w:val="24"/>
          <w:szCs w:val="24"/>
        </w:rPr>
        <w:t>政府部门及司法机关缴纳</w:t>
      </w:r>
      <w:r>
        <w:rPr>
          <w:rFonts w:ascii="仿宋_GB2312" w:eastAsia="仿宋_GB2312" w:hAnsi="仿宋"/>
          <w:sz w:val="24"/>
          <w:szCs w:val="24"/>
        </w:rPr>
        <w:t>的各项</w:t>
      </w:r>
      <w:r>
        <w:rPr>
          <w:rFonts w:ascii="仿宋_GB2312" w:eastAsia="仿宋_GB2312" w:hAnsi="仿宋" w:hint="eastAsia"/>
          <w:sz w:val="24"/>
          <w:szCs w:val="24"/>
        </w:rPr>
        <w:t>税费</w:t>
      </w:r>
      <w:r>
        <w:rPr>
          <w:rFonts w:ascii="仿宋_GB2312" w:eastAsia="仿宋_GB2312" w:hAnsi="仿宋"/>
          <w:sz w:val="24"/>
          <w:szCs w:val="24"/>
        </w:rPr>
        <w:t>、</w:t>
      </w:r>
      <w:r>
        <w:rPr>
          <w:rFonts w:ascii="仿宋_GB2312" w:eastAsia="仿宋_GB2312" w:hAnsi="仿宋" w:hint="eastAsia"/>
          <w:sz w:val="24"/>
          <w:szCs w:val="24"/>
        </w:rPr>
        <w:t>抵质押登记费、征信服务费、存款保险费、诉讼费、案件受理费等</w:t>
      </w:r>
      <w:r>
        <w:rPr>
          <w:rFonts w:ascii="仿宋_GB2312" w:eastAsia="仿宋_GB2312" w:hAnsi="仿宋"/>
          <w:sz w:val="24"/>
          <w:szCs w:val="24"/>
        </w:rPr>
        <w:t>，</w:t>
      </w:r>
      <w:r>
        <w:rPr>
          <w:rFonts w:ascii="仿宋_GB2312" w:eastAsia="仿宋_GB2312" w:hAnsi="仿宋" w:hint="eastAsia"/>
          <w:sz w:val="24"/>
          <w:szCs w:val="24"/>
        </w:rPr>
        <w:t>分行可按规定程序经有权人审批后列支。</w:t>
      </w:r>
    </w:p>
    <w:p w:rsidR="00535782" w:rsidRDefault="00A84B67">
      <w:pPr>
        <w:spacing w:line="400" w:lineRule="exact"/>
        <w:ind w:firstLineChars="202" w:firstLine="485"/>
        <w:rPr>
          <w:rFonts w:ascii="仿宋_GB2312" w:eastAsia="仿宋_GB2312" w:hAnsi="仿宋"/>
          <w:sz w:val="24"/>
          <w:szCs w:val="24"/>
        </w:rPr>
      </w:pPr>
      <w:r>
        <w:rPr>
          <w:rFonts w:ascii="仿宋_GB2312" w:eastAsia="仿宋_GB2312" w:hAnsi="仿宋" w:hint="eastAsia"/>
          <w:sz w:val="24"/>
          <w:szCs w:val="24"/>
        </w:rPr>
        <w:t>2.除零星装修（不超过4万美元）以外，</w:t>
      </w:r>
      <w:r>
        <w:rPr>
          <w:rFonts w:ascii="仿宋_GB2312" w:eastAsia="仿宋_GB2312" w:hAnsi="仿宋"/>
          <w:sz w:val="24"/>
          <w:szCs w:val="24"/>
        </w:rPr>
        <w:t>营业用房购置、租赁（含续租）、装修均需上报总行审批。</w:t>
      </w:r>
    </w:p>
    <w:p w:rsidR="00535782" w:rsidRDefault="00A84B67">
      <w:pPr>
        <w:spacing w:line="400" w:lineRule="exact"/>
        <w:ind w:firstLineChars="202" w:firstLine="485"/>
        <w:rPr>
          <w:rFonts w:ascii="仿宋_GB2312" w:eastAsia="仿宋_GB2312" w:hAnsi="仿宋"/>
          <w:sz w:val="24"/>
          <w:szCs w:val="24"/>
        </w:rPr>
      </w:pPr>
      <w:r>
        <w:rPr>
          <w:rFonts w:ascii="仿宋_GB2312" w:eastAsia="仿宋_GB2312" w:hAnsi="仿宋" w:hint="eastAsia"/>
          <w:sz w:val="24"/>
          <w:szCs w:val="24"/>
        </w:rPr>
        <w:t>3. 对于其他单项资本性支出，应将同一项目累计付款总额作为申报金额报请有权人审批。</w:t>
      </w:r>
    </w:p>
    <w:p w:rsidR="00535782" w:rsidRDefault="00A84B67">
      <w:pPr>
        <w:spacing w:line="400" w:lineRule="exact"/>
        <w:ind w:firstLineChars="200" w:firstLine="480"/>
        <w:rPr>
          <w:rFonts w:ascii="仿宋_GB2312" w:eastAsia="仿宋_GB2312" w:hAnsi="仿宋"/>
          <w:sz w:val="24"/>
          <w:szCs w:val="24"/>
        </w:rPr>
      </w:pPr>
      <w:r>
        <w:rPr>
          <w:rFonts w:ascii="仿宋_GB2312" w:eastAsia="仿宋_GB2312" w:hAnsi="仿宋" w:hint="eastAsia"/>
          <w:sz w:val="24"/>
          <w:szCs w:val="24"/>
        </w:rPr>
        <w:t>4.分行可自行审批清理同时满足以下3个条件的单个固定资产，并将清理净损益列支营业外收支：（1）已提足折旧;（2）因老旧、维护成本高等原因无法继续使用;（3）</w:t>
      </w:r>
      <w:r>
        <w:rPr>
          <w:rFonts w:ascii="仿宋_GB2312" w:eastAsia="仿宋_GB2312" w:hAnsi="仿宋" w:hint="eastAsia"/>
          <w:sz w:val="24"/>
          <w:szCs w:val="24"/>
        </w:rPr>
        <w:lastRenderedPageBreak/>
        <w:t>原值小于等于10万美元。对于自有房产满足总行规定的重新装修条件或经总行批准后重新装修的，原装修改造支出形成的固定资产清理授权分行自行审批。其他资产处置事项仍需根据相关规定要求逐项上报总行审批。</w:t>
      </w:r>
    </w:p>
    <w:p w:rsidR="00535782" w:rsidRDefault="00A84B67">
      <w:pPr>
        <w:spacing w:line="400" w:lineRule="exact"/>
        <w:ind w:firstLineChars="202" w:firstLine="485"/>
        <w:rPr>
          <w:rFonts w:ascii="仿宋_GB2312" w:eastAsia="仿宋_GB2312" w:hAnsi="仿宋"/>
          <w:sz w:val="24"/>
          <w:szCs w:val="24"/>
        </w:rPr>
      </w:pPr>
      <w:r>
        <w:rPr>
          <w:rFonts w:ascii="仿宋_GB2312" w:eastAsia="仿宋_GB2312" w:hAnsi="仿宋" w:hint="eastAsia"/>
          <w:sz w:val="24"/>
          <w:szCs w:val="24"/>
        </w:rPr>
        <w:t>5.长款、短款、错款根据《</w:t>
      </w:r>
      <w:r>
        <w:rPr>
          <w:rFonts w:ascii="仿宋_GB2312" w:eastAsia="仿宋_GB2312" w:hAnsi="微软雅黑" w:hint="eastAsia"/>
          <w:bCs/>
          <w:color w:val="333333"/>
          <w:sz w:val="24"/>
          <w:szCs w:val="24"/>
        </w:rPr>
        <w:t>中信银行现金出纳业务制度（2.0版，2015年）</w:t>
      </w:r>
      <w:r>
        <w:rPr>
          <w:rFonts w:ascii="仿宋_GB2312" w:eastAsia="仿宋_GB2312" w:hAnsi="仿宋" w:hint="eastAsia"/>
          <w:sz w:val="24"/>
          <w:szCs w:val="24"/>
        </w:rPr>
        <w:t>》的有关规定审批处理。</w:t>
      </w:r>
    </w:p>
    <w:p w:rsidR="00535782" w:rsidRDefault="00A84B67">
      <w:pPr>
        <w:spacing w:line="400" w:lineRule="exact"/>
        <w:ind w:firstLineChars="202" w:firstLine="485"/>
        <w:rPr>
          <w:rFonts w:ascii="仿宋_GB2312" w:eastAsia="仿宋_GB2312" w:hAnsi="仿宋"/>
          <w:sz w:val="24"/>
          <w:szCs w:val="24"/>
        </w:rPr>
      </w:pPr>
      <w:r>
        <w:rPr>
          <w:rFonts w:ascii="仿宋_GB2312" w:eastAsia="仿宋_GB2312" w:hAnsi="仿宋" w:hint="eastAsia"/>
          <w:sz w:val="24"/>
          <w:szCs w:val="24"/>
        </w:rPr>
        <w:t>6. 基于行政财务开支事项形成、在应收暂付或应付暂收科目核算、按照相关规定需及时清理的各类账务，根据</w:t>
      </w:r>
      <w:proofErr w:type="gramStart"/>
      <w:r>
        <w:rPr>
          <w:rFonts w:ascii="仿宋_GB2312" w:eastAsia="仿宋_GB2312" w:hAnsi="仿宋" w:hint="eastAsia"/>
          <w:sz w:val="24"/>
          <w:szCs w:val="24"/>
        </w:rPr>
        <w:t>《</w:t>
      </w:r>
      <w:proofErr w:type="gramEnd"/>
      <w:r>
        <w:rPr>
          <w:rFonts w:ascii="仿宋_GB2312" w:eastAsia="仿宋_GB2312" w:hAnsi="仿宋" w:hint="eastAsia"/>
          <w:sz w:val="24"/>
          <w:szCs w:val="24"/>
        </w:rPr>
        <w:t>中信银行行政财务挂账管理办法（1.0版，2019年）的有关规定审批处理。</w:t>
      </w:r>
    </w:p>
    <w:p w:rsidR="00535782" w:rsidRDefault="00A84B67">
      <w:pPr>
        <w:spacing w:line="400" w:lineRule="exact"/>
        <w:ind w:firstLineChars="202" w:firstLine="485"/>
        <w:rPr>
          <w:rFonts w:ascii="仿宋_GB2312" w:eastAsia="仿宋_GB2312" w:hAnsi="仿宋"/>
          <w:sz w:val="24"/>
          <w:szCs w:val="24"/>
        </w:rPr>
      </w:pPr>
      <w:r>
        <w:rPr>
          <w:rFonts w:ascii="仿宋_GB2312" w:eastAsia="仿宋_GB2312" w:hAnsi="仿宋" w:hint="eastAsia"/>
          <w:sz w:val="24"/>
          <w:szCs w:val="24"/>
        </w:rPr>
        <w:t>7.对分行发生违规行为的事项，总行将及时调减直至取消此类事项的财务授权。</w:t>
      </w:r>
    </w:p>
    <w:p w:rsidR="00535782" w:rsidRDefault="00A84B67">
      <w:pPr>
        <w:spacing w:line="400" w:lineRule="exact"/>
        <w:ind w:firstLineChars="200" w:firstLine="480"/>
        <w:rPr>
          <w:rFonts w:ascii="仿宋_GB2312" w:eastAsia="仿宋_GB2312" w:hAnsi="仿宋"/>
          <w:sz w:val="24"/>
          <w:szCs w:val="24"/>
        </w:rPr>
      </w:pPr>
      <w:r>
        <w:rPr>
          <w:rFonts w:ascii="仿宋_GB2312" w:eastAsia="仿宋_GB2312" w:hAnsi="仿宋" w:hint="eastAsia"/>
          <w:sz w:val="24"/>
          <w:szCs w:val="24"/>
        </w:rPr>
        <w:t>8.本表未授权财务事项应事前报总行审批。</w:t>
      </w:r>
    </w:p>
    <w:p w:rsidR="00535782" w:rsidRDefault="00A84B67">
      <w:pPr>
        <w:spacing w:line="400" w:lineRule="exact"/>
        <w:ind w:firstLineChars="200" w:firstLine="480"/>
        <w:rPr>
          <w:rFonts w:ascii="仿宋_GB2312" w:eastAsia="仿宋_GB2312" w:hAnsi="宋体"/>
          <w:color w:val="000000"/>
          <w:sz w:val="24"/>
          <w:szCs w:val="24"/>
        </w:rPr>
      </w:pPr>
      <w:r>
        <w:rPr>
          <w:rFonts w:ascii="仿宋_GB2312" w:eastAsia="仿宋_GB2312" w:hAnsi="仿宋" w:hint="eastAsia"/>
          <w:sz w:val="24"/>
          <w:szCs w:val="24"/>
        </w:rPr>
        <w:t>9.</w:t>
      </w:r>
      <w:r>
        <w:rPr>
          <w:rFonts w:ascii="仿宋_GB2312" w:eastAsia="仿宋_GB2312" w:hAnsi="宋体" w:hint="eastAsia"/>
          <w:color w:val="000000"/>
          <w:sz w:val="24"/>
          <w:szCs w:val="24"/>
        </w:rPr>
        <w:t>总行下发的各项财务审批权限、开支标准均为含税金额。</w:t>
      </w:r>
    </w:p>
    <w:p w:rsidR="00535782" w:rsidRDefault="00A84B67">
      <w:pPr>
        <w:spacing w:line="400" w:lineRule="exact"/>
        <w:ind w:firstLineChars="200" w:firstLine="480"/>
        <w:rPr>
          <w:rFonts w:ascii="仿宋_GB2312" w:eastAsia="仿宋_GB2312" w:hAnsi="仿宋"/>
          <w:sz w:val="24"/>
          <w:szCs w:val="24"/>
        </w:rPr>
      </w:pPr>
      <w:r>
        <w:rPr>
          <w:rFonts w:ascii="仿宋_GB2312" w:eastAsia="仿宋_GB2312" w:hAnsi="宋体" w:hint="eastAsia"/>
          <w:color w:val="000000"/>
          <w:sz w:val="24"/>
          <w:szCs w:val="24"/>
        </w:rPr>
        <w:t>10.上述授权范围内的营业性支出，可根据当月实际支付需求进行相应货币互换。</w:t>
      </w:r>
    </w:p>
    <w:p w:rsidR="00535782" w:rsidRPr="00CD2932" w:rsidRDefault="00A84B67">
      <w:pPr>
        <w:adjustRightInd w:val="0"/>
        <w:snapToGrid w:val="0"/>
        <w:spacing w:line="560" w:lineRule="atLeast"/>
        <w:ind w:firstLineChars="200" w:firstLine="688"/>
        <w:rPr>
          <w:rFonts w:ascii="仿宋_GB2312" w:eastAsia="仿宋_GB2312" w:hAnsi="黑体" w:cs="仿宋"/>
          <w:snapToGrid w:val="0"/>
          <w:spacing w:val="12"/>
          <w:kern w:val="0"/>
          <w:sz w:val="32"/>
          <w:szCs w:val="32"/>
        </w:rPr>
      </w:pPr>
      <w:r w:rsidRPr="00CD2932">
        <w:rPr>
          <w:rFonts w:ascii="仿宋_GB2312" w:eastAsia="仿宋_GB2312" w:hAnsi="黑体" w:cs="仿宋" w:hint="eastAsia"/>
          <w:snapToGrid w:val="0"/>
          <w:spacing w:val="12"/>
          <w:kern w:val="0"/>
          <w:sz w:val="32"/>
          <w:szCs w:val="32"/>
        </w:rPr>
        <w:t>（2）转授权与再转授权</w:t>
      </w:r>
    </w:p>
    <w:p w:rsidR="00535782" w:rsidRPr="00CD2932" w:rsidRDefault="00A84B67">
      <w:pPr>
        <w:adjustRightInd w:val="0"/>
        <w:snapToGrid w:val="0"/>
        <w:spacing w:line="560" w:lineRule="atLeast"/>
        <w:ind w:firstLineChars="200" w:firstLine="688"/>
        <w:rPr>
          <w:rFonts w:ascii="仿宋_GB2312" w:eastAsia="仿宋_GB2312" w:hAnsi="黑体" w:cs="仿宋"/>
          <w:snapToGrid w:val="0"/>
          <w:spacing w:val="12"/>
          <w:kern w:val="0"/>
          <w:sz w:val="32"/>
          <w:szCs w:val="32"/>
        </w:rPr>
      </w:pPr>
      <w:r w:rsidRPr="00CD2932">
        <w:rPr>
          <w:rFonts w:ascii="仿宋_GB2312" w:eastAsia="仿宋_GB2312" w:hAnsi="黑体" w:cs="仿宋" w:hint="eastAsia"/>
          <w:snapToGrid w:val="0"/>
          <w:spacing w:val="12"/>
          <w:kern w:val="0"/>
          <w:sz w:val="32"/>
          <w:szCs w:val="32"/>
        </w:rPr>
        <w:t>①横向转授权</w:t>
      </w:r>
    </w:p>
    <w:p w:rsidR="00535782" w:rsidRPr="00CD2932" w:rsidRDefault="00A84B67">
      <w:pPr>
        <w:adjustRightInd w:val="0"/>
        <w:snapToGrid w:val="0"/>
        <w:spacing w:line="560" w:lineRule="atLeast"/>
        <w:ind w:firstLineChars="200" w:firstLine="688"/>
        <w:rPr>
          <w:rFonts w:ascii="仿宋_GB2312" w:eastAsia="仿宋_GB2312" w:hAnsi="黑体" w:cs="仿宋"/>
          <w:snapToGrid w:val="0"/>
          <w:spacing w:val="12"/>
          <w:kern w:val="0"/>
          <w:sz w:val="32"/>
          <w:szCs w:val="32"/>
        </w:rPr>
      </w:pPr>
      <w:r w:rsidRPr="00CD2932">
        <w:rPr>
          <w:rFonts w:ascii="仿宋_GB2312" w:eastAsia="仿宋_GB2312" w:hAnsi="黑体" w:cs="仿宋" w:hint="eastAsia"/>
          <w:snapToGrid w:val="0"/>
          <w:spacing w:val="12"/>
          <w:kern w:val="0"/>
          <w:sz w:val="32"/>
          <w:szCs w:val="32"/>
        </w:rPr>
        <w:t>转授权财务事项和范围必须符合以下规定：</w:t>
      </w:r>
    </w:p>
    <w:p w:rsidR="00535782" w:rsidRPr="00CD2932" w:rsidRDefault="00A84B67">
      <w:pPr>
        <w:adjustRightInd w:val="0"/>
        <w:snapToGrid w:val="0"/>
        <w:spacing w:line="560" w:lineRule="atLeast"/>
        <w:ind w:firstLineChars="200" w:firstLine="688"/>
        <w:rPr>
          <w:rFonts w:ascii="仿宋_GB2312" w:eastAsia="仿宋_GB2312" w:hAnsi="黑体" w:cs="仿宋"/>
          <w:snapToGrid w:val="0"/>
          <w:spacing w:val="12"/>
          <w:kern w:val="0"/>
          <w:sz w:val="32"/>
          <w:szCs w:val="32"/>
        </w:rPr>
      </w:pPr>
      <w:r w:rsidRPr="00CD2932">
        <w:rPr>
          <w:rFonts w:ascii="仿宋_GB2312" w:eastAsia="仿宋_GB2312" w:hAnsi="黑体" w:cs="仿宋" w:hint="eastAsia"/>
          <w:snapToGrid w:val="0"/>
          <w:spacing w:val="12"/>
          <w:kern w:val="0"/>
          <w:sz w:val="32"/>
          <w:szCs w:val="32"/>
        </w:rPr>
        <w:t>Ⅰ.薪酬支出（不含“职工教育经费及职工福利费开支”）,超标准的会议、差旅、招待支出或总行另行特别规定的财务事项不可转授权。</w:t>
      </w:r>
    </w:p>
    <w:p w:rsidR="00535782" w:rsidRPr="00CD2932" w:rsidRDefault="00A84B67">
      <w:pPr>
        <w:adjustRightInd w:val="0"/>
        <w:snapToGrid w:val="0"/>
        <w:spacing w:line="560" w:lineRule="atLeast"/>
        <w:ind w:firstLineChars="200" w:firstLine="688"/>
        <w:rPr>
          <w:rFonts w:ascii="仿宋_GB2312" w:eastAsia="仿宋_GB2312" w:hAnsi="黑体" w:cs="仿宋"/>
          <w:snapToGrid w:val="0"/>
          <w:spacing w:val="12"/>
          <w:kern w:val="0"/>
          <w:sz w:val="32"/>
          <w:szCs w:val="32"/>
        </w:rPr>
      </w:pPr>
      <w:r w:rsidRPr="00CD2932">
        <w:rPr>
          <w:rFonts w:ascii="仿宋_GB2312" w:eastAsia="仿宋_GB2312" w:hAnsi="黑体" w:cs="仿宋" w:hint="eastAsia"/>
          <w:snapToGrid w:val="0"/>
          <w:spacing w:val="12"/>
          <w:kern w:val="0"/>
          <w:sz w:val="32"/>
          <w:szCs w:val="32"/>
        </w:rPr>
        <w:t>Ⅱ.可转授权人员范围仅限于主管财务的行领导和财务会计部负责人。</w:t>
      </w:r>
    </w:p>
    <w:p w:rsidR="00535782" w:rsidRPr="00CD2932" w:rsidRDefault="00A84B67">
      <w:pPr>
        <w:adjustRightInd w:val="0"/>
        <w:snapToGrid w:val="0"/>
        <w:spacing w:line="560" w:lineRule="atLeast"/>
        <w:ind w:firstLineChars="200" w:firstLine="688"/>
        <w:rPr>
          <w:rFonts w:ascii="仿宋_GB2312" w:eastAsia="仿宋_GB2312" w:hAnsi="黑体" w:cs="仿宋"/>
          <w:snapToGrid w:val="0"/>
          <w:spacing w:val="12"/>
          <w:kern w:val="0"/>
          <w:sz w:val="32"/>
          <w:szCs w:val="32"/>
        </w:rPr>
      </w:pPr>
      <w:r w:rsidRPr="00CD2932">
        <w:rPr>
          <w:rFonts w:ascii="仿宋_GB2312" w:eastAsia="仿宋_GB2312" w:hAnsi="黑体" w:cs="仿宋" w:hint="eastAsia"/>
          <w:snapToGrid w:val="0"/>
          <w:spacing w:val="12"/>
          <w:kern w:val="0"/>
          <w:sz w:val="32"/>
          <w:szCs w:val="32"/>
        </w:rPr>
        <w:t>Ⅲ.转授权额度规定：对主管财务行领导的转授权额度最高不得超过一级分行行长授权额度的30%；对财务会计部负责人转授权额度最高不得超过主管财务行领导权限的20%。职工福利费开支仅可转授权至一级分行主管财务的行领导。</w:t>
      </w:r>
    </w:p>
    <w:p w:rsidR="00535782" w:rsidRPr="00CD2932" w:rsidRDefault="00A84B67">
      <w:pPr>
        <w:adjustRightInd w:val="0"/>
        <w:snapToGrid w:val="0"/>
        <w:spacing w:line="560" w:lineRule="atLeast"/>
        <w:ind w:firstLineChars="200" w:firstLine="688"/>
        <w:rPr>
          <w:rFonts w:ascii="仿宋_GB2312" w:eastAsia="仿宋_GB2312" w:hAnsi="黑体" w:cs="仿宋"/>
          <w:snapToGrid w:val="0"/>
          <w:spacing w:val="12"/>
          <w:kern w:val="0"/>
          <w:sz w:val="32"/>
          <w:szCs w:val="32"/>
        </w:rPr>
      </w:pPr>
      <w:r w:rsidRPr="00CD2932">
        <w:rPr>
          <w:rFonts w:ascii="仿宋_GB2312" w:eastAsia="仿宋_GB2312" w:hAnsi="黑体" w:cs="仿宋" w:hint="eastAsia"/>
          <w:snapToGrid w:val="0"/>
          <w:spacing w:val="12"/>
          <w:kern w:val="0"/>
          <w:sz w:val="32"/>
          <w:szCs w:val="32"/>
        </w:rPr>
        <w:t>②纵向转授权</w:t>
      </w:r>
    </w:p>
    <w:p w:rsidR="00535782" w:rsidRDefault="00A84B67">
      <w:pPr>
        <w:adjustRightInd w:val="0"/>
        <w:snapToGrid w:val="0"/>
        <w:spacing w:line="560" w:lineRule="atLeast"/>
        <w:ind w:firstLineChars="200" w:firstLine="688"/>
        <w:rPr>
          <w:rFonts w:ascii="仿宋_GB2312" w:eastAsia="仿宋_GB2312" w:hAnsi="黑体" w:cs="仿宋"/>
          <w:snapToGrid w:val="0"/>
          <w:spacing w:val="12"/>
          <w:kern w:val="0"/>
          <w:sz w:val="32"/>
          <w:szCs w:val="32"/>
        </w:rPr>
      </w:pPr>
      <w:r>
        <w:rPr>
          <w:rFonts w:ascii="仿宋_GB2312" w:eastAsia="仿宋_GB2312" w:hAnsi="黑体" w:cs="仿宋" w:hint="eastAsia"/>
          <w:snapToGrid w:val="0"/>
          <w:spacing w:val="12"/>
          <w:kern w:val="0"/>
          <w:sz w:val="32"/>
          <w:szCs w:val="32"/>
        </w:rPr>
        <w:t>原则上，一级分行仅可对二级分行及直管的异地支行进</w:t>
      </w:r>
      <w:r>
        <w:rPr>
          <w:rFonts w:ascii="仿宋_GB2312" w:eastAsia="仿宋_GB2312" w:hAnsi="黑体" w:cs="仿宋" w:hint="eastAsia"/>
          <w:snapToGrid w:val="0"/>
          <w:spacing w:val="12"/>
          <w:kern w:val="0"/>
          <w:sz w:val="32"/>
          <w:szCs w:val="32"/>
        </w:rPr>
        <w:lastRenderedPageBreak/>
        <w:t>行转授权，但授权额度不得超过本行授权额度的20%。超标准的会议、差旅、培训、招待支出或总行另行特别规定的财务事项不可转授权。特殊情况</w:t>
      </w:r>
      <w:r>
        <w:rPr>
          <w:rFonts w:ascii="仿宋_GB2312" w:eastAsia="仿宋_GB2312" w:hAnsi="黑体" w:cs="仿宋"/>
          <w:snapToGrid w:val="0"/>
          <w:spacing w:val="12"/>
          <w:kern w:val="0"/>
          <w:sz w:val="32"/>
          <w:szCs w:val="32"/>
        </w:rPr>
        <w:t>确有需要的，</w:t>
      </w:r>
      <w:r>
        <w:rPr>
          <w:rFonts w:ascii="仿宋_GB2312" w:eastAsia="仿宋_GB2312" w:hAnsi="黑体" w:cs="仿宋" w:hint="eastAsia"/>
          <w:snapToGrid w:val="0"/>
          <w:spacing w:val="12"/>
          <w:kern w:val="0"/>
          <w:sz w:val="32"/>
          <w:szCs w:val="32"/>
        </w:rPr>
        <w:t>应</w:t>
      </w:r>
      <w:r>
        <w:rPr>
          <w:rFonts w:ascii="仿宋_GB2312" w:eastAsia="仿宋_GB2312" w:hAnsi="黑体" w:cs="仿宋"/>
          <w:snapToGrid w:val="0"/>
          <w:spacing w:val="12"/>
          <w:kern w:val="0"/>
          <w:sz w:val="32"/>
          <w:szCs w:val="32"/>
        </w:rPr>
        <w:t>上报总行审批</w:t>
      </w:r>
      <w:r>
        <w:rPr>
          <w:rFonts w:ascii="仿宋_GB2312" w:eastAsia="仿宋_GB2312" w:hAnsi="黑体" w:cs="仿宋" w:hint="eastAsia"/>
          <w:snapToGrid w:val="0"/>
          <w:spacing w:val="12"/>
          <w:kern w:val="0"/>
          <w:sz w:val="32"/>
          <w:szCs w:val="32"/>
        </w:rPr>
        <w:t>。支行行长相关报销审批权限请以综合财务管理系统审批流程为准（详见附件）。</w:t>
      </w:r>
    </w:p>
    <w:p w:rsidR="00535782" w:rsidRPr="00CD2932" w:rsidRDefault="00A84B67">
      <w:pPr>
        <w:adjustRightInd w:val="0"/>
        <w:snapToGrid w:val="0"/>
        <w:spacing w:line="560" w:lineRule="atLeast"/>
        <w:ind w:firstLineChars="200" w:firstLine="688"/>
        <w:rPr>
          <w:rFonts w:ascii="仿宋_GB2312" w:eastAsia="仿宋_GB2312" w:hAnsi="黑体" w:cs="仿宋"/>
          <w:snapToGrid w:val="0"/>
          <w:spacing w:val="12"/>
          <w:kern w:val="0"/>
          <w:sz w:val="32"/>
          <w:szCs w:val="32"/>
        </w:rPr>
      </w:pPr>
      <w:r w:rsidRPr="00CD2932">
        <w:rPr>
          <w:rFonts w:ascii="仿宋_GB2312" w:eastAsia="仿宋_GB2312" w:hAnsi="黑体" w:cs="仿宋" w:hint="eastAsia"/>
          <w:snapToGrid w:val="0"/>
          <w:spacing w:val="12"/>
          <w:kern w:val="0"/>
          <w:sz w:val="32"/>
          <w:szCs w:val="32"/>
        </w:rPr>
        <w:t>③横向再转授权</w:t>
      </w:r>
    </w:p>
    <w:p w:rsidR="00535782" w:rsidRDefault="00A84B67">
      <w:pPr>
        <w:adjustRightInd w:val="0"/>
        <w:snapToGrid w:val="0"/>
        <w:spacing w:line="560" w:lineRule="atLeast"/>
        <w:ind w:firstLineChars="200" w:firstLine="688"/>
        <w:rPr>
          <w:rFonts w:ascii="仿宋_GB2312" w:eastAsia="仿宋_GB2312" w:hAnsi="黑体" w:cs="仿宋"/>
          <w:snapToGrid w:val="0"/>
          <w:spacing w:val="12"/>
          <w:kern w:val="0"/>
          <w:sz w:val="32"/>
          <w:szCs w:val="32"/>
        </w:rPr>
      </w:pPr>
      <w:r>
        <w:rPr>
          <w:rFonts w:ascii="仿宋_GB2312" w:eastAsia="仿宋_GB2312" w:hAnsi="黑体" w:cs="仿宋" w:hint="eastAsia"/>
          <w:snapToGrid w:val="0"/>
          <w:spacing w:val="12"/>
          <w:kern w:val="0"/>
          <w:sz w:val="32"/>
          <w:szCs w:val="32"/>
        </w:rPr>
        <w:t>二级分行可将一级分行已纵向转授权的各项权限进行横向再转授，具体规定同横向转授权规定。</w:t>
      </w:r>
    </w:p>
    <w:p w:rsidR="00535782" w:rsidRDefault="00A84B67">
      <w:pPr>
        <w:autoSpaceDE w:val="0"/>
        <w:autoSpaceDN w:val="0"/>
        <w:adjustRightInd w:val="0"/>
        <w:snapToGrid w:val="0"/>
        <w:spacing w:line="560" w:lineRule="atLeast"/>
        <w:ind w:firstLineChars="200" w:firstLine="691"/>
        <w:rPr>
          <w:rFonts w:ascii="仿宋_GB2312" w:eastAsia="仿宋_GB2312" w:hAnsi="仿宋" w:cs="仿宋_GB2312"/>
          <w:b/>
          <w:spacing w:val="12"/>
          <w:sz w:val="32"/>
          <w:szCs w:val="32"/>
          <w:lang w:val="zh-CN"/>
        </w:rPr>
      </w:pPr>
      <w:r>
        <w:rPr>
          <w:rFonts w:ascii="仿宋_GB2312" w:eastAsia="仿宋_GB2312" w:hAnsi="仿宋" w:cs="仿宋_GB2312" w:hint="eastAsia"/>
          <w:b/>
          <w:spacing w:val="12"/>
          <w:sz w:val="32"/>
          <w:szCs w:val="32"/>
          <w:lang w:val="zh-CN"/>
        </w:rPr>
        <w:t>3.人力资源管理审批授权</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伦敦分行应建立人力资源体系及政策，涵盖岗位职责、组织构架、招聘政策、员工绩效管理和评估、薪酬和福利框架以及违规违纪行为管理等内容。所有人力资源相关安排都应符合英国当地法规。</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proofErr w:type="gramStart"/>
      <w:r>
        <w:rPr>
          <w:rFonts w:ascii="仿宋_GB2312" w:eastAsia="仿宋_GB2312" w:hAnsi="仿宋" w:cs="仿宋_GB2312" w:hint="eastAsia"/>
          <w:spacing w:val="12"/>
          <w:sz w:val="32"/>
          <w:szCs w:val="32"/>
          <w:lang w:val="zh-CN"/>
        </w:rPr>
        <w:t>关于员</w:t>
      </w:r>
      <w:proofErr w:type="gramEnd"/>
      <w:r>
        <w:rPr>
          <w:rFonts w:ascii="仿宋_GB2312" w:eastAsia="仿宋_GB2312" w:hAnsi="仿宋" w:cs="仿宋_GB2312" w:hint="eastAsia"/>
          <w:spacing w:val="12"/>
          <w:sz w:val="32"/>
          <w:szCs w:val="32"/>
          <w:lang w:val="zh-CN"/>
        </w:rPr>
        <w:t>工薪酬和福利，分行行长有权按照英国当地管理架构：</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（1）制定部门负责人及以下的外派员工的奖金，并报总行人力资源部审核后执行；</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（2）制定当地员工的薪酬和福利/福利标准（包括工资和奖金等）。</w:t>
      </w:r>
    </w:p>
    <w:p w:rsidR="00535782" w:rsidRPr="00CD2932" w:rsidRDefault="00A84B67">
      <w:pPr>
        <w:autoSpaceDE w:val="0"/>
        <w:autoSpaceDN w:val="0"/>
        <w:adjustRightInd w:val="0"/>
        <w:snapToGrid w:val="0"/>
        <w:spacing w:line="560" w:lineRule="atLeast"/>
        <w:ind w:firstLineChars="200" w:firstLine="691"/>
        <w:rPr>
          <w:rFonts w:ascii="仿宋_GB2312" w:eastAsia="仿宋_GB2312" w:hAnsi="仿宋" w:cs="仿宋_GB2312"/>
          <w:b/>
          <w:spacing w:val="12"/>
          <w:sz w:val="32"/>
          <w:szCs w:val="32"/>
          <w:lang w:val="zh-CN"/>
        </w:rPr>
      </w:pPr>
      <w:r w:rsidRPr="00CD2932">
        <w:rPr>
          <w:rFonts w:ascii="仿宋_GB2312" w:eastAsia="仿宋_GB2312" w:hAnsi="仿宋" w:cs="仿宋_GB2312" w:hint="eastAsia"/>
          <w:b/>
          <w:spacing w:val="12"/>
          <w:sz w:val="32"/>
          <w:szCs w:val="32"/>
          <w:lang w:val="zh-CN"/>
        </w:rPr>
        <w:t>4.反洗钱授权</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伦敦分行行长被授权：</w:t>
      </w:r>
    </w:p>
    <w:tbl>
      <w:tblPr>
        <w:tblW w:w="10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46"/>
        <w:gridCol w:w="1417"/>
        <w:gridCol w:w="7230"/>
        <w:gridCol w:w="845"/>
      </w:tblGrid>
      <w:tr w:rsidR="00535782">
        <w:trPr>
          <w:trHeight w:val="621"/>
          <w:tblHeader/>
          <w:jc w:val="center"/>
        </w:trPr>
        <w:tc>
          <w:tcPr>
            <w:tcW w:w="846" w:type="dxa"/>
            <w:tcMar>
              <w:top w:w="0" w:type="dxa"/>
              <w:left w:w="108" w:type="dxa"/>
              <w:bottom w:w="0" w:type="dxa"/>
              <w:right w:w="108" w:type="dxa"/>
            </w:tcMar>
          </w:tcPr>
          <w:p w:rsidR="00535782" w:rsidRDefault="00A84B67">
            <w:pPr>
              <w:pStyle w:val="p0"/>
              <w:jc w:val="center"/>
              <w:rPr>
                <w:rFonts w:ascii="仿宋_GB2312" w:eastAsia="仿宋_GB2312" w:hAnsi="仿宋"/>
                <w:kern w:val="2"/>
                <w:sz w:val="28"/>
                <w:szCs w:val="28"/>
              </w:rPr>
            </w:pPr>
            <w:r>
              <w:rPr>
                <w:rFonts w:ascii="仿宋_GB2312" w:eastAsia="仿宋_GB2312" w:hAnsi="仿宋" w:hint="eastAsia"/>
                <w:kern w:val="2"/>
                <w:sz w:val="28"/>
                <w:szCs w:val="28"/>
              </w:rPr>
              <w:lastRenderedPageBreak/>
              <w:t>序号</w:t>
            </w:r>
          </w:p>
        </w:tc>
        <w:tc>
          <w:tcPr>
            <w:tcW w:w="1417" w:type="dxa"/>
            <w:tcMar>
              <w:top w:w="0" w:type="dxa"/>
              <w:left w:w="108" w:type="dxa"/>
              <w:bottom w:w="0" w:type="dxa"/>
              <w:right w:w="108" w:type="dxa"/>
            </w:tcMar>
          </w:tcPr>
          <w:p w:rsidR="00535782" w:rsidRDefault="00A84B67">
            <w:pPr>
              <w:pStyle w:val="p0"/>
              <w:jc w:val="center"/>
              <w:rPr>
                <w:rFonts w:ascii="仿宋_GB2312" w:eastAsia="仿宋_GB2312" w:hAnsi="仿宋"/>
                <w:kern w:val="2"/>
                <w:sz w:val="28"/>
                <w:szCs w:val="28"/>
              </w:rPr>
            </w:pPr>
            <w:r>
              <w:rPr>
                <w:rFonts w:ascii="仿宋_GB2312" w:eastAsia="仿宋_GB2312" w:hAnsi="仿宋" w:hint="eastAsia"/>
                <w:kern w:val="2"/>
                <w:sz w:val="28"/>
                <w:szCs w:val="28"/>
              </w:rPr>
              <w:t>权限种类</w:t>
            </w:r>
          </w:p>
        </w:tc>
        <w:tc>
          <w:tcPr>
            <w:tcW w:w="7230" w:type="dxa"/>
            <w:tcMar>
              <w:top w:w="0" w:type="dxa"/>
              <w:left w:w="108" w:type="dxa"/>
              <w:bottom w:w="0" w:type="dxa"/>
              <w:right w:w="108" w:type="dxa"/>
            </w:tcMar>
          </w:tcPr>
          <w:p w:rsidR="00535782" w:rsidRDefault="00A84B67">
            <w:pPr>
              <w:pStyle w:val="p0"/>
              <w:jc w:val="center"/>
              <w:rPr>
                <w:rFonts w:ascii="仿宋_GB2312" w:eastAsia="仿宋_GB2312" w:hAnsi="仿宋"/>
                <w:kern w:val="2"/>
                <w:sz w:val="28"/>
                <w:szCs w:val="28"/>
              </w:rPr>
            </w:pPr>
            <w:r>
              <w:rPr>
                <w:rFonts w:ascii="仿宋_GB2312" w:eastAsia="仿宋_GB2312" w:hAnsi="仿宋" w:hint="eastAsia"/>
                <w:kern w:val="2"/>
                <w:sz w:val="28"/>
                <w:szCs w:val="28"/>
              </w:rPr>
              <w:t>权限</w:t>
            </w:r>
          </w:p>
        </w:tc>
        <w:tc>
          <w:tcPr>
            <w:tcW w:w="845" w:type="dxa"/>
            <w:tcMar>
              <w:top w:w="0" w:type="dxa"/>
              <w:left w:w="108" w:type="dxa"/>
              <w:bottom w:w="0" w:type="dxa"/>
              <w:right w:w="108" w:type="dxa"/>
            </w:tcMar>
          </w:tcPr>
          <w:p w:rsidR="00535782" w:rsidRDefault="00A84B67">
            <w:pPr>
              <w:pStyle w:val="p0"/>
              <w:jc w:val="center"/>
              <w:rPr>
                <w:rFonts w:ascii="仿宋_GB2312" w:eastAsia="仿宋_GB2312" w:hAnsi="仿宋"/>
                <w:kern w:val="2"/>
                <w:sz w:val="28"/>
                <w:szCs w:val="28"/>
              </w:rPr>
            </w:pPr>
            <w:r>
              <w:rPr>
                <w:rFonts w:ascii="仿宋_GB2312" w:eastAsia="仿宋_GB2312" w:hAnsi="仿宋" w:hint="eastAsia"/>
                <w:kern w:val="2"/>
                <w:sz w:val="28"/>
                <w:szCs w:val="28"/>
              </w:rPr>
              <w:t>备注</w:t>
            </w:r>
          </w:p>
        </w:tc>
      </w:tr>
      <w:tr w:rsidR="00535782">
        <w:trPr>
          <w:trHeight w:val="712"/>
          <w:jc w:val="center"/>
        </w:trPr>
        <w:tc>
          <w:tcPr>
            <w:tcW w:w="846" w:type="dxa"/>
            <w:vMerge w:val="restart"/>
            <w:tcMar>
              <w:top w:w="0" w:type="dxa"/>
              <w:left w:w="108" w:type="dxa"/>
              <w:bottom w:w="0" w:type="dxa"/>
              <w:right w:w="108" w:type="dxa"/>
            </w:tcMar>
          </w:tcPr>
          <w:p w:rsidR="00535782" w:rsidRDefault="00A84B67">
            <w:pPr>
              <w:pStyle w:val="p0"/>
              <w:jc w:val="center"/>
              <w:rPr>
                <w:rFonts w:ascii="仿宋_GB2312" w:eastAsia="仿宋_GB2312" w:hAnsi="仿宋"/>
                <w:kern w:val="2"/>
                <w:sz w:val="28"/>
                <w:szCs w:val="28"/>
              </w:rPr>
            </w:pPr>
            <w:r>
              <w:rPr>
                <w:rFonts w:ascii="仿宋_GB2312" w:eastAsia="仿宋_GB2312" w:hAnsi="仿宋" w:hint="eastAsia"/>
                <w:kern w:val="2"/>
                <w:sz w:val="28"/>
                <w:szCs w:val="28"/>
              </w:rPr>
              <w:t>1</w:t>
            </w:r>
          </w:p>
        </w:tc>
        <w:tc>
          <w:tcPr>
            <w:tcW w:w="1417" w:type="dxa"/>
            <w:vMerge w:val="restart"/>
            <w:tcMar>
              <w:top w:w="0" w:type="dxa"/>
              <w:left w:w="108" w:type="dxa"/>
              <w:bottom w:w="0" w:type="dxa"/>
              <w:right w:w="108" w:type="dxa"/>
            </w:tcMar>
          </w:tcPr>
          <w:p w:rsidR="00535782" w:rsidRDefault="00A84B67">
            <w:pPr>
              <w:pStyle w:val="p0"/>
              <w:jc w:val="center"/>
              <w:rPr>
                <w:rFonts w:ascii="仿宋_GB2312" w:eastAsia="仿宋_GB2312" w:hAnsi="仿宋"/>
                <w:kern w:val="2"/>
                <w:sz w:val="28"/>
                <w:szCs w:val="28"/>
              </w:rPr>
            </w:pPr>
            <w:r>
              <w:rPr>
                <w:rFonts w:ascii="仿宋_GB2312" w:eastAsia="仿宋_GB2312" w:hAnsi="仿宋" w:hint="eastAsia"/>
                <w:kern w:val="2"/>
                <w:sz w:val="28"/>
                <w:szCs w:val="28"/>
              </w:rPr>
              <w:t>反洗钱授权</w:t>
            </w:r>
          </w:p>
        </w:tc>
        <w:tc>
          <w:tcPr>
            <w:tcW w:w="7230" w:type="dxa"/>
            <w:tcMar>
              <w:top w:w="0" w:type="dxa"/>
              <w:left w:w="108" w:type="dxa"/>
              <w:bottom w:w="0" w:type="dxa"/>
              <w:right w:w="108" w:type="dxa"/>
            </w:tcMar>
          </w:tcPr>
          <w:p w:rsidR="00535782" w:rsidRDefault="00A84B67">
            <w:pPr>
              <w:spacing w:line="560" w:lineRule="atLeast"/>
              <w:rPr>
                <w:rFonts w:ascii="仿宋_GB2312" w:eastAsia="仿宋_GB2312" w:hAnsi="仿宋"/>
                <w:sz w:val="28"/>
                <w:szCs w:val="28"/>
              </w:rPr>
            </w:pPr>
            <w:r>
              <w:rPr>
                <w:rFonts w:ascii="仿宋_GB2312" w:eastAsia="仿宋_GB2312" w:hAnsi="仿宋" w:hint="eastAsia"/>
                <w:sz w:val="28"/>
                <w:szCs w:val="28"/>
              </w:rPr>
              <w:t>1.1负责分行洗钱风险管理工作，直接向总行报告洗钱风险管理情况；</w:t>
            </w:r>
          </w:p>
        </w:tc>
        <w:tc>
          <w:tcPr>
            <w:tcW w:w="845" w:type="dxa"/>
            <w:tcMar>
              <w:top w:w="0" w:type="dxa"/>
              <w:left w:w="108" w:type="dxa"/>
              <w:bottom w:w="0" w:type="dxa"/>
              <w:right w:w="108" w:type="dxa"/>
            </w:tcMar>
          </w:tcPr>
          <w:p w:rsidR="00535782" w:rsidRDefault="00535782">
            <w:pPr>
              <w:pStyle w:val="p0"/>
              <w:jc w:val="left"/>
              <w:rPr>
                <w:rFonts w:ascii="仿宋_GB2312" w:eastAsia="仿宋_GB2312" w:hAnsi="仿宋"/>
                <w:spacing w:val="-2"/>
                <w:kern w:val="2"/>
              </w:rPr>
            </w:pPr>
          </w:p>
        </w:tc>
      </w:tr>
      <w:tr w:rsidR="00535782">
        <w:trPr>
          <w:trHeight w:val="712"/>
          <w:jc w:val="center"/>
        </w:trPr>
        <w:tc>
          <w:tcPr>
            <w:tcW w:w="846" w:type="dxa"/>
            <w:vMerge/>
            <w:vAlign w:val="center"/>
          </w:tcPr>
          <w:p w:rsidR="00535782" w:rsidRDefault="00535782">
            <w:pPr>
              <w:jc w:val="left"/>
              <w:rPr>
                <w:rFonts w:ascii="仿宋_GB2312" w:eastAsia="仿宋_GB2312" w:hAnsi="仿宋"/>
                <w:sz w:val="28"/>
                <w:szCs w:val="28"/>
              </w:rPr>
            </w:pPr>
          </w:p>
        </w:tc>
        <w:tc>
          <w:tcPr>
            <w:tcW w:w="1417" w:type="dxa"/>
            <w:vMerge/>
            <w:vAlign w:val="center"/>
          </w:tcPr>
          <w:p w:rsidR="00535782" w:rsidRDefault="00535782">
            <w:pPr>
              <w:jc w:val="left"/>
              <w:rPr>
                <w:rFonts w:ascii="仿宋_GB2312" w:eastAsia="仿宋_GB2312" w:hAnsi="仿宋"/>
                <w:sz w:val="28"/>
                <w:szCs w:val="28"/>
              </w:rPr>
            </w:pPr>
          </w:p>
        </w:tc>
        <w:tc>
          <w:tcPr>
            <w:tcW w:w="7230" w:type="dxa"/>
            <w:tcMar>
              <w:top w:w="0" w:type="dxa"/>
              <w:left w:w="108" w:type="dxa"/>
              <w:bottom w:w="0" w:type="dxa"/>
              <w:right w:w="108" w:type="dxa"/>
            </w:tcMar>
          </w:tcPr>
          <w:p w:rsidR="00535782" w:rsidRDefault="00A84B67">
            <w:pPr>
              <w:spacing w:line="560" w:lineRule="atLeast"/>
              <w:rPr>
                <w:rFonts w:ascii="仿宋_GB2312" w:eastAsia="仿宋_GB2312" w:hAnsi="仿宋"/>
                <w:sz w:val="28"/>
                <w:szCs w:val="28"/>
              </w:rPr>
            </w:pPr>
            <w:r>
              <w:rPr>
                <w:rFonts w:ascii="仿宋_GB2312" w:eastAsia="仿宋_GB2312" w:hAnsi="仿宋" w:hint="eastAsia"/>
                <w:sz w:val="28"/>
                <w:szCs w:val="28"/>
              </w:rPr>
              <w:t>1.2审批分行反洗钱监控名单所列主体的交易，涉制裁业务和应对策略，与经营资金（价值）转移服务或支付业务的境外非金融机构开展合作或向其提供服务，与外国政要等特定自然人或者与以特定自然人作为受益所有人的非自然人客户建立或维持现有业务关系的申请；</w:t>
            </w:r>
          </w:p>
        </w:tc>
        <w:tc>
          <w:tcPr>
            <w:tcW w:w="845" w:type="dxa"/>
            <w:tcMar>
              <w:top w:w="0" w:type="dxa"/>
              <w:left w:w="108" w:type="dxa"/>
              <w:bottom w:w="0" w:type="dxa"/>
              <w:right w:w="108" w:type="dxa"/>
            </w:tcMar>
          </w:tcPr>
          <w:p w:rsidR="00535782" w:rsidRDefault="00535782">
            <w:pPr>
              <w:pStyle w:val="p0"/>
              <w:jc w:val="left"/>
              <w:rPr>
                <w:rFonts w:ascii="仿宋_GB2312" w:eastAsia="仿宋_GB2312" w:hAnsi="仿宋"/>
                <w:spacing w:val="-2"/>
                <w:kern w:val="2"/>
              </w:rPr>
            </w:pPr>
          </w:p>
        </w:tc>
      </w:tr>
      <w:tr w:rsidR="00535782">
        <w:trPr>
          <w:trHeight w:val="712"/>
          <w:jc w:val="center"/>
        </w:trPr>
        <w:tc>
          <w:tcPr>
            <w:tcW w:w="846" w:type="dxa"/>
            <w:vMerge/>
            <w:vAlign w:val="center"/>
          </w:tcPr>
          <w:p w:rsidR="00535782" w:rsidRDefault="00535782">
            <w:pPr>
              <w:jc w:val="left"/>
              <w:rPr>
                <w:rFonts w:ascii="仿宋_GB2312" w:eastAsia="仿宋_GB2312" w:hAnsi="仿宋"/>
                <w:sz w:val="28"/>
                <w:szCs w:val="28"/>
              </w:rPr>
            </w:pPr>
          </w:p>
        </w:tc>
        <w:tc>
          <w:tcPr>
            <w:tcW w:w="1417" w:type="dxa"/>
            <w:vMerge/>
            <w:vAlign w:val="center"/>
          </w:tcPr>
          <w:p w:rsidR="00535782" w:rsidRDefault="00535782">
            <w:pPr>
              <w:jc w:val="left"/>
              <w:rPr>
                <w:rFonts w:ascii="仿宋_GB2312" w:eastAsia="仿宋_GB2312" w:hAnsi="仿宋"/>
                <w:sz w:val="28"/>
                <w:szCs w:val="28"/>
              </w:rPr>
            </w:pPr>
          </w:p>
        </w:tc>
        <w:tc>
          <w:tcPr>
            <w:tcW w:w="7230" w:type="dxa"/>
            <w:tcMar>
              <w:top w:w="0" w:type="dxa"/>
              <w:left w:w="108" w:type="dxa"/>
              <w:bottom w:w="0" w:type="dxa"/>
              <w:right w:w="108" w:type="dxa"/>
            </w:tcMar>
          </w:tcPr>
          <w:p w:rsidR="00535782" w:rsidRDefault="00A84B67">
            <w:pPr>
              <w:spacing w:line="560" w:lineRule="atLeast"/>
              <w:rPr>
                <w:rFonts w:ascii="仿宋_GB2312" w:eastAsia="仿宋_GB2312" w:hAnsi="仿宋"/>
                <w:sz w:val="28"/>
                <w:szCs w:val="28"/>
              </w:rPr>
            </w:pPr>
            <w:r>
              <w:rPr>
                <w:rFonts w:ascii="仿宋_GB2312" w:eastAsia="仿宋_GB2312" w:hAnsi="仿宋" w:hint="eastAsia"/>
                <w:sz w:val="28"/>
                <w:szCs w:val="28"/>
              </w:rPr>
              <w:t>1.3处理分行违反洗钱风险管理策略和程序的情况；</w:t>
            </w:r>
          </w:p>
        </w:tc>
        <w:tc>
          <w:tcPr>
            <w:tcW w:w="845" w:type="dxa"/>
            <w:tcMar>
              <w:top w:w="0" w:type="dxa"/>
              <w:left w:w="108" w:type="dxa"/>
              <w:bottom w:w="0" w:type="dxa"/>
              <w:right w:w="108" w:type="dxa"/>
            </w:tcMar>
          </w:tcPr>
          <w:p w:rsidR="00535782" w:rsidRDefault="00535782">
            <w:pPr>
              <w:pStyle w:val="p0"/>
              <w:jc w:val="left"/>
              <w:rPr>
                <w:rFonts w:ascii="仿宋_GB2312" w:eastAsia="仿宋_GB2312" w:hAnsi="仿宋"/>
                <w:spacing w:val="-2"/>
                <w:kern w:val="2"/>
              </w:rPr>
            </w:pPr>
          </w:p>
        </w:tc>
      </w:tr>
      <w:tr w:rsidR="00535782">
        <w:trPr>
          <w:trHeight w:val="712"/>
          <w:jc w:val="center"/>
        </w:trPr>
        <w:tc>
          <w:tcPr>
            <w:tcW w:w="846" w:type="dxa"/>
            <w:vMerge/>
            <w:vAlign w:val="center"/>
          </w:tcPr>
          <w:p w:rsidR="00535782" w:rsidRDefault="00535782">
            <w:pPr>
              <w:jc w:val="left"/>
              <w:rPr>
                <w:rFonts w:ascii="仿宋_GB2312" w:eastAsia="仿宋_GB2312" w:hAnsi="仿宋"/>
                <w:sz w:val="28"/>
                <w:szCs w:val="28"/>
              </w:rPr>
            </w:pPr>
          </w:p>
        </w:tc>
        <w:tc>
          <w:tcPr>
            <w:tcW w:w="1417" w:type="dxa"/>
            <w:vMerge/>
            <w:vAlign w:val="center"/>
          </w:tcPr>
          <w:p w:rsidR="00535782" w:rsidRDefault="00535782">
            <w:pPr>
              <w:jc w:val="left"/>
              <w:rPr>
                <w:rFonts w:ascii="仿宋_GB2312" w:eastAsia="仿宋_GB2312" w:hAnsi="仿宋"/>
                <w:sz w:val="28"/>
                <w:szCs w:val="28"/>
              </w:rPr>
            </w:pPr>
          </w:p>
        </w:tc>
        <w:tc>
          <w:tcPr>
            <w:tcW w:w="7230" w:type="dxa"/>
            <w:tcMar>
              <w:top w:w="0" w:type="dxa"/>
              <w:left w:w="108" w:type="dxa"/>
              <w:bottom w:w="0" w:type="dxa"/>
              <w:right w:w="108" w:type="dxa"/>
            </w:tcMar>
          </w:tcPr>
          <w:p w:rsidR="00535782" w:rsidRDefault="00A84B67">
            <w:pPr>
              <w:spacing w:line="560" w:lineRule="atLeast"/>
              <w:rPr>
                <w:rFonts w:ascii="仿宋_GB2312" w:eastAsia="仿宋_GB2312" w:hAnsi="仿宋"/>
                <w:sz w:val="28"/>
                <w:szCs w:val="28"/>
              </w:rPr>
            </w:pPr>
            <w:r>
              <w:rPr>
                <w:rFonts w:ascii="仿宋_GB2312" w:eastAsia="仿宋_GB2312" w:hAnsi="仿宋" w:hint="eastAsia"/>
                <w:sz w:val="28"/>
                <w:szCs w:val="28"/>
              </w:rPr>
              <w:t>1.4审批分行重大洗钱风险事件应急预案及处置措施；</w:t>
            </w:r>
          </w:p>
        </w:tc>
        <w:tc>
          <w:tcPr>
            <w:tcW w:w="845" w:type="dxa"/>
            <w:tcMar>
              <w:top w:w="0" w:type="dxa"/>
              <w:left w:w="108" w:type="dxa"/>
              <w:bottom w:w="0" w:type="dxa"/>
              <w:right w:w="108" w:type="dxa"/>
            </w:tcMar>
          </w:tcPr>
          <w:p w:rsidR="00535782" w:rsidRDefault="00535782">
            <w:pPr>
              <w:pStyle w:val="p0"/>
              <w:jc w:val="left"/>
              <w:rPr>
                <w:rFonts w:ascii="仿宋_GB2312" w:eastAsia="仿宋_GB2312" w:hAnsi="仿宋"/>
                <w:spacing w:val="-2"/>
                <w:kern w:val="2"/>
              </w:rPr>
            </w:pPr>
          </w:p>
        </w:tc>
      </w:tr>
      <w:tr w:rsidR="00535782">
        <w:trPr>
          <w:trHeight w:val="712"/>
          <w:jc w:val="center"/>
        </w:trPr>
        <w:tc>
          <w:tcPr>
            <w:tcW w:w="846" w:type="dxa"/>
            <w:vMerge/>
            <w:vAlign w:val="center"/>
          </w:tcPr>
          <w:p w:rsidR="00535782" w:rsidRDefault="00535782">
            <w:pPr>
              <w:jc w:val="left"/>
              <w:rPr>
                <w:rFonts w:ascii="仿宋_GB2312" w:eastAsia="仿宋_GB2312" w:hAnsi="仿宋"/>
                <w:sz w:val="28"/>
                <w:szCs w:val="28"/>
              </w:rPr>
            </w:pPr>
          </w:p>
        </w:tc>
        <w:tc>
          <w:tcPr>
            <w:tcW w:w="1417" w:type="dxa"/>
            <w:vMerge/>
            <w:vAlign w:val="center"/>
          </w:tcPr>
          <w:p w:rsidR="00535782" w:rsidRDefault="00535782">
            <w:pPr>
              <w:jc w:val="left"/>
              <w:rPr>
                <w:rFonts w:ascii="仿宋_GB2312" w:eastAsia="仿宋_GB2312" w:hAnsi="仿宋"/>
                <w:sz w:val="28"/>
                <w:szCs w:val="28"/>
              </w:rPr>
            </w:pPr>
          </w:p>
        </w:tc>
        <w:tc>
          <w:tcPr>
            <w:tcW w:w="7230" w:type="dxa"/>
            <w:tcMar>
              <w:top w:w="0" w:type="dxa"/>
              <w:left w:w="108" w:type="dxa"/>
              <w:bottom w:w="0" w:type="dxa"/>
              <w:right w:w="108" w:type="dxa"/>
            </w:tcMar>
          </w:tcPr>
          <w:p w:rsidR="00535782" w:rsidRDefault="00A84B67">
            <w:pPr>
              <w:spacing w:line="560" w:lineRule="atLeast"/>
              <w:rPr>
                <w:rFonts w:ascii="仿宋_GB2312" w:eastAsia="仿宋_GB2312" w:hAnsi="仿宋"/>
                <w:sz w:val="28"/>
                <w:szCs w:val="28"/>
              </w:rPr>
            </w:pPr>
            <w:r>
              <w:rPr>
                <w:rFonts w:ascii="仿宋_GB2312" w:eastAsia="仿宋_GB2312" w:hAnsi="仿宋" w:hint="eastAsia"/>
                <w:sz w:val="28"/>
                <w:szCs w:val="28"/>
              </w:rPr>
              <w:t>1.5审批分行选用洗钱风险管理人员任职资格；</w:t>
            </w:r>
          </w:p>
        </w:tc>
        <w:tc>
          <w:tcPr>
            <w:tcW w:w="845" w:type="dxa"/>
            <w:tcMar>
              <w:top w:w="0" w:type="dxa"/>
              <w:left w:w="108" w:type="dxa"/>
              <w:bottom w:w="0" w:type="dxa"/>
              <w:right w:w="108" w:type="dxa"/>
            </w:tcMar>
          </w:tcPr>
          <w:p w:rsidR="00535782" w:rsidRDefault="00535782">
            <w:pPr>
              <w:pStyle w:val="p0"/>
              <w:jc w:val="left"/>
              <w:rPr>
                <w:rFonts w:ascii="仿宋_GB2312" w:eastAsia="仿宋_GB2312" w:hAnsi="仿宋"/>
                <w:spacing w:val="-2"/>
                <w:kern w:val="2"/>
              </w:rPr>
            </w:pPr>
          </w:p>
        </w:tc>
      </w:tr>
      <w:tr w:rsidR="00535782">
        <w:trPr>
          <w:trHeight w:val="712"/>
          <w:jc w:val="center"/>
        </w:trPr>
        <w:tc>
          <w:tcPr>
            <w:tcW w:w="846" w:type="dxa"/>
            <w:vMerge/>
            <w:vAlign w:val="center"/>
          </w:tcPr>
          <w:p w:rsidR="00535782" w:rsidRDefault="00535782">
            <w:pPr>
              <w:jc w:val="left"/>
              <w:rPr>
                <w:rFonts w:ascii="仿宋_GB2312" w:eastAsia="仿宋_GB2312" w:hAnsi="仿宋"/>
                <w:sz w:val="28"/>
                <w:szCs w:val="28"/>
              </w:rPr>
            </w:pPr>
          </w:p>
        </w:tc>
        <w:tc>
          <w:tcPr>
            <w:tcW w:w="1417" w:type="dxa"/>
            <w:vMerge/>
            <w:vAlign w:val="center"/>
          </w:tcPr>
          <w:p w:rsidR="00535782" w:rsidRDefault="00535782">
            <w:pPr>
              <w:jc w:val="left"/>
              <w:rPr>
                <w:rFonts w:ascii="仿宋_GB2312" w:eastAsia="仿宋_GB2312" w:hAnsi="仿宋"/>
                <w:sz w:val="28"/>
                <w:szCs w:val="28"/>
              </w:rPr>
            </w:pPr>
          </w:p>
        </w:tc>
        <w:tc>
          <w:tcPr>
            <w:tcW w:w="7230" w:type="dxa"/>
            <w:tcMar>
              <w:top w:w="0" w:type="dxa"/>
              <w:left w:w="108" w:type="dxa"/>
              <w:bottom w:w="0" w:type="dxa"/>
              <w:right w:w="108" w:type="dxa"/>
            </w:tcMar>
          </w:tcPr>
          <w:p w:rsidR="00535782" w:rsidRDefault="00A84B67">
            <w:pPr>
              <w:spacing w:line="560" w:lineRule="atLeast"/>
              <w:rPr>
                <w:rFonts w:ascii="仿宋_GB2312" w:eastAsia="仿宋_GB2312" w:hAnsi="仿宋"/>
                <w:sz w:val="28"/>
                <w:szCs w:val="28"/>
              </w:rPr>
            </w:pPr>
            <w:r>
              <w:rPr>
                <w:rFonts w:ascii="仿宋_GB2312" w:eastAsia="仿宋_GB2312" w:hAnsi="仿宋" w:hint="eastAsia"/>
                <w:sz w:val="28"/>
                <w:szCs w:val="28"/>
              </w:rPr>
              <w:t>1.6审批分行反洗</w:t>
            </w:r>
            <w:proofErr w:type="gramStart"/>
            <w:r>
              <w:rPr>
                <w:rFonts w:ascii="仿宋_GB2312" w:eastAsia="仿宋_GB2312" w:hAnsi="仿宋" w:hint="eastAsia"/>
                <w:sz w:val="28"/>
                <w:szCs w:val="28"/>
              </w:rPr>
              <w:t>钱信息</w:t>
            </w:r>
            <w:proofErr w:type="gramEnd"/>
            <w:r>
              <w:rPr>
                <w:rFonts w:ascii="仿宋_GB2312" w:eastAsia="仿宋_GB2312" w:hAnsi="仿宋" w:hint="eastAsia"/>
                <w:sz w:val="28"/>
                <w:szCs w:val="28"/>
              </w:rPr>
              <w:t>安全保护策略和措施；</w:t>
            </w:r>
          </w:p>
        </w:tc>
        <w:tc>
          <w:tcPr>
            <w:tcW w:w="845" w:type="dxa"/>
            <w:tcMar>
              <w:top w:w="0" w:type="dxa"/>
              <w:left w:w="108" w:type="dxa"/>
              <w:bottom w:w="0" w:type="dxa"/>
              <w:right w:w="108" w:type="dxa"/>
            </w:tcMar>
          </w:tcPr>
          <w:p w:rsidR="00535782" w:rsidRDefault="00535782">
            <w:pPr>
              <w:pStyle w:val="p0"/>
              <w:jc w:val="left"/>
              <w:rPr>
                <w:rFonts w:ascii="仿宋_GB2312" w:eastAsia="仿宋_GB2312" w:hAnsi="仿宋"/>
                <w:spacing w:val="-2"/>
                <w:kern w:val="2"/>
              </w:rPr>
            </w:pPr>
          </w:p>
        </w:tc>
      </w:tr>
      <w:tr w:rsidR="00535782">
        <w:trPr>
          <w:trHeight w:val="712"/>
          <w:jc w:val="center"/>
        </w:trPr>
        <w:tc>
          <w:tcPr>
            <w:tcW w:w="846" w:type="dxa"/>
            <w:vMerge/>
            <w:vAlign w:val="center"/>
          </w:tcPr>
          <w:p w:rsidR="00535782" w:rsidRDefault="00535782">
            <w:pPr>
              <w:jc w:val="left"/>
              <w:rPr>
                <w:rFonts w:ascii="仿宋_GB2312" w:eastAsia="仿宋_GB2312" w:hAnsi="仿宋"/>
                <w:sz w:val="28"/>
                <w:szCs w:val="28"/>
              </w:rPr>
            </w:pPr>
          </w:p>
        </w:tc>
        <w:tc>
          <w:tcPr>
            <w:tcW w:w="1417" w:type="dxa"/>
            <w:vMerge/>
            <w:vAlign w:val="center"/>
          </w:tcPr>
          <w:p w:rsidR="00535782" w:rsidRDefault="00535782">
            <w:pPr>
              <w:jc w:val="left"/>
              <w:rPr>
                <w:rFonts w:ascii="仿宋_GB2312" w:eastAsia="仿宋_GB2312" w:hAnsi="仿宋"/>
                <w:sz w:val="28"/>
                <w:szCs w:val="28"/>
              </w:rPr>
            </w:pPr>
          </w:p>
        </w:tc>
        <w:tc>
          <w:tcPr>
            <w:tcW w:w="7230" w:type="dxa"/>
            <w:tcMar>
              <w:top w:w="0" w:type="dxa"/>
              <w:left w:w="108" w:type="dxa"/>
              <w:bottom w:w="0" w:type="dxa"/>
              <w:right w:w="108" w:type="dxa"/>
            </w:tcMar>
          </w:tcPr>
          <w:p w:rsidR="00535782" w:rsidRDefault="00A84B67">
            <w:pPr>
              <w:spacing w:line="560" w:lineRule="atLeast"/>
              <w:rPr>
                <w:rFonts w:ascii="仿宋_GB2312" w:eastAsia="仿宋_GB2312" w:hAnsi="仿宋"/>
                <w:sz w:val="28"/>
                <w:szCs w:val="28"/>
              </w:rPr>
            </w:pPr>
            <w:r>
              <w:rPr>
                <w:rFonts w:ascii="仿宋_GB2312" w:eastAsia="仿宋_GB2312" w:hAnsi="仿宋" w:hint="eastAsia"/>
                <w:sz w:val="28"/>
                <w:szCs w:val="28"/>
              </w:rPr>
              <w:t>1.7审批分行涉及高风险客户、业务、渠道、地域等方面的反洗钱事项：1.与洗钱高风险领域客户建立、维持业务关系或办理业务的申请；2.与股权（控制权）结构复杂、受益所有人来自高风险国家（地区）、受益所有人信息不完整或无法完成核实的客户建立或维持业务关系的申请；3.对可疑交易报告涉及客户、账户（或资金）及业务采取后续控制措施；</w:t>
            </w:r>
          </w:p>
        </w:tc>
        <w:tc>
          <w:tcPr>
            <w:tcW w:w="845" w:type="dxa"/>
            <w:tcMar>
              <w:top w:w="0" w:type="dxa"/>
              <w:left w:w="108" w:type="dxa"/>
              <w:bottom w:w="0" w:type="dxa"/>
              <w:right w:w="108" w:type="dxa"/>
            </w:tcMar>
          </w:tcPr>
          <w:p w:rsidR="00535782" w:rsidRDefault="00535782">
            <w:pPr>
              <w:pStyle w:val="p0"/>
              <w:jc w:val="left"/>
              <w:rPr>
                <w:rFonts w:ascii="仿宋_GB2312" w:eastAsia="仿宋_GB2312" w:hAnsi="仿宋"/>
                <w:spacing w:val="-2"/>
                <w:kern w:val="2"/>
              </w:rPr>
            </w:pPr>
          </w:p>
        </w:tc>
      </w:tr>
      <w:tr w:rsidR="00535782">
        <w:trPr>
          <w:trHeight w:val="580"/>
          <w:jc w:val="center"/>
        </w:trPr>
        <w:tc>
          <w:tcPr>
            <w:tcW w:w="846" w:type="dxa"/>
            <w:vMerge/>
            <w:vAlign w:val="center"/>
          </w:tcPr>
          <w:p w:rsidR="00535782" w:rsidRDefault="00535782">
            <w:pPr>
              <w:jc w:val="left"/>
              <w:rPr>
                <w:rFonts w:ascii="仿宋_GB2312" w:eastAsia="仿宋_GB2312" w:hAnsi="仿宋"/>
                <w:sz w:val="28"/>
                <w:szCs w:val="28"/>
              </w:rPr>
            </w:pPr>
          </w:p>
        </w:tc>
        <w:tc>
          <w:tcPr>
            <w:tcW w:w="1417" w:type="dxa"/>
            <w:vMerge/>
            <w:vAlign w:val="center"/>
          </w:tcPr>
          <w:p w:rsidR="00535782" w:rsidRDefault="00535782">
            <w:pPr>
              <w:jc w:val="left"/>
              <w:rPr>
                <w:rFonts w:ascii="仿宋_GB2312" w:eastAsia="仿宋_GB2312" w:hAnsi="仿宋"/>
                <w:sz w:val="28"/>
                <w:szCs w:val="28"/>
              </w:rPr>
            </w:pPr>
          </w:p>
        </w:tc>
        <w:tc>
          <w:tcPr>
            <w:tcW w:w="7230" w:type="dxa"/>
            <w:tcMar>
              <w:top w:w="0" w:type="dxa"/>
              <w:left w:w="108" w:type="dxa"/>
              <w:bottom w:w="0" w:type="dxa"/>
              <w:right w:w="108" w:type="dxa"/>
            </w:tcMar>
          </w:tcPr>
          <w:p w:rsidR="00535782" w:rsidRDefault="00A84B67">
            <w:pPr>
              <w:spacing w:line="560" w:lineRule="atLeast"/>
              <w:rPr>
                <w:rFonts w:ascii="仿宋_GB2312" w:eastAsia="仿宋_GB2312" w:hAnsi="仿宋"/>
                <w:sz w:val="28"/>
                <w:szCs w:val="28"/>
              </w:rPr>
            </w:pPr>
            <w:r>
              <w:rPr>
                <w:rFonts w:ascii="仿宋_GB2312" w:eastAsia="仿宋_GB2312" w:hAnsi="仿宋" w:hint="eastAsia"/>
                <w:sz w:val="28"/>
                <w:szCs w:val="28"/>
              </w:rPr>
              <w:t>1.8审批监管规定的其他反洗钱事项。</w:t>
            </w:r>
          </w:p>
        </w:tc>
        <w:tc>
          <w:tcPr>
            <w:tcW w:w="845" w:type="dxa"/>
            <w:tcMar>
              <w:top w:w="0" w:type="dxa"/>
              <w:left w:w="108" w:type="dxa"/>
              <w:bottom w:w="0" w:type="dxa"/>
              <w:right w:w="108" w:type="dxa"/>
            </w:tcMar>
          </w:tcPr>
          <w:p w:rsidR="00535782" w:rsidRDefault="00535782">
            <w:pPr>
              <w:pStyle w:val="p0"/>
              <w:jc w:val="left"/>
              <w:rPr>
                <w:rFonts w:ascii="仿宋_GB2312" w:eastAsia="仿宋_GB2312" w:hAnsi="仿宋"/>
                <w:spacing w:val="-2"/>
                <w:kern w:val="2"/>
              </w:rPr>
            </w:pPr>
          </w:p>
        </w:tc>
      </w:tr>
    </w:tbl>
    <w:p w:rsidR="00535782" w:rsidRDefault="00A84B67">
      <w:pPr>
        <w:autoSpaceDE w:val="0"/>
        <w:autoSpaceDN w:val="0"/>
        <w:adjustRightInd w:val="0"/>
        <w:snapToGrid w:val="0"/>
        <w:spacing w:line="560" w:lineRule="atLeast"/>
        <w:ind w:firstLineChars="200" w:firstLine="688"/>
        <w:rPr>
          <w:rFonts w:ascii="仿宋" w:eastAsia="仿宋" w:hAnsi="仿宋" w:cs="仿宋_GB2312"/>
          <w:b/>
          <w:spacing w:val="12"/>
          <w:sz w:val="32"/>
          <w:szCs w:val="32"/>
        </w:rPr>
      </w:pPr>
      <w:r>
        <w:rPr>
          <w:rFonts w:ascii="仿宋_GB2312" w:eastAsia="仿宋_GB2312" w:hAnsi="仿宋" w:hint="eastAsia"/>
          <w:spacing w:val="12"/>
          <w:sz w:val="32"/>
          <w:szCs w:val="32"/>
        </w:rPr>
        <w:t>伦敦分行行长可根据行领导分工，将第1.2、1.3、1.4、1.5、1.6、1.7、1.8项权限转授权予反洗钱官及分管行领导。</w:t>
      </w:r>
    </w:p>
    <w:p w:rsidR="00535782" w:rsidRDefault="00A84B67">
      <w:pPr>
        <w:autoSpaceDE w:val="0"/>
        <w:autoSpaceDN w:val="0"/>
        <w:adjustRightInd w:val="0"/>
        <w:snapToGrid w:val="0"/>
        <w:spacing w:line="560" w:lineRule="atLeast"/>
        <w:ind w:firstLineChars="200" w:firstLine="691"/>
        <w:rPr>
          <w:rFonts w:ascii="仿宋_GB2312" w:eastAsia="仿宋_GB2312" w:hAnsi="仿宋" w:cs="仿宋_GB2312"/>
          <w:b/>
          <w:spacing w:val="12"/>
          <w:sz w:val="32"/>
          <w:szCs w:val="32"/>
          <w:lang w:val="en-GB"/>
        </w:rPr>
      </w:pPr>
      <w:r>
        <w:rPr>
          <w:rFonts w:ascii="仿宋_GB2312" w:eastAsia="仿宋_GB2312" w:hAnsi="仿宋" w:cs="仿宋_GB2312" w:hint="eastAsia"/>
          <w:b/>
          <w:spacing w:val="12"/>
          <w:sz w:val="32"/>
          <w:szCs w:val="32"/>
          <w:lang w:val="zh-CN"/>
        </w:rPr>
        <w:t>5.金融市场业务及风险限额</w:t>
      </w:r>
    </w:p>
    <w:p w:rsidR="00535782" w:rsidRDefault="00A84B67">
      <w:pPr>
        <w:pStyle w:val="42"/>
        <w:autoSpaceDE w:val="0"/>
        <w:autoSpaceDN w:val="0"/>
        <w:adjustRightInd w:val="0"/>
        <w:snapToGrid w:val="0"/>
        <w:spacing w:line="560" w:lineRule="atLeast"/>
        <w:ind w:left="142" w:firstLine="567"/>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根据《中信银行金融市场业务准入及市场风险限额管理办法》的有关规定，伦敦分行金融市场业务准入及风险限额纳入金融市场业务条线管理和分配。</w:t>
      </w:r>
    </w:p>
    <w:p w:rsidR="00535782" w:rsidRDefault="00A84B67">
      <w:pPr>
        <w:pStyle w:val="42"/>
        <w:autoSpaceDE w:val="0"/>
        <w:autoSpaceDN w:val="0"/>
        <w:adjustRightInd w:val="0"/>
        <w:snapToGrid w:val="0"/>
        <w:spacing w:line="560" w:lineRule="atLeast"/>
        <w:ind w:left="142" w:firstLine="567"/>
        <w:rPr>
          <w:rFonts w:ascii="仿宋_GB2312" w:eastAsia="仿宋_GB2312" w:hAnsi="仿宋" w:cs="仿宋_GB2312"/>
          <w:b/>
          <w:spacing w:val="12"/>
          <w:sz w:val="32"/>
          <w:szCs w:val="32"/>
          <w:lang w:val="zh-CN"/>
        </w:rPr>
      </w:pPr>
      <w:r>
        <w:rPr>
          <w:rFonts w:ascii="仿宋_GB2312" w:eastAsia="仿宋_GB2312" w:hAnsi="仿宋" w:cs="仿宋_GB2312" w:hint="eastAsia"/>
          <w:b/>
          <w:spacing w:val="12"/>
          <w:sz w:val="32"/>
          <w:szCs w:val="32"/>
          <w:lang w:val="zh-CN"/>
        </w:rPr>
        <w:t>6.境外债券发行</w:t>
      </w:r>
    </w:p>
    <w:p w:rsidR="00535782" w:rsidRDefault="00A84B67">
      <w:pPr>
        <w:pStyle w:val="42"/>
        <w:autoSpaceDE w:val="0"/>
        <w:autoSpaceDN w:val="0"/>
        <w:adjustRightInd w:val="0"/>
        <w:snapToGrid w:val="0"/>
        <w:spacing w:line="560" w:lineRule="atLeast"/>
        <w:ind w:left="142" w:firstLine="567"/>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按照总行境外发债总体安排，授权伦敦分行在中信银行总行建立中期票据计划（MTN）后，以分行名义提取中期票据计划额度并发行境外债券，单事单批，具体按照《中信银行股份有限公司债券融资管理办法》执行。就债券的提取和发行等相关事宜，授权伦敦分行行长或由其转授权给伦敦分行其他高级管理人员签署全部的文件、文书、指示和协议，以及完成各项中介费用支付、付息和兑付等。</w:t>
      </w:r>
    </w:p>
    <w:p w:rsidR="00535782" w:rsidRPr="00614609" w:rsidRDefault="00A84B67">
      <w:pPr>
        <w:autoSpaceDE w:val="0"/>
        <w:autoSpaceDN w:val="0"/>
        <w:adjustRightInd w:val="0"/>
        <w:snapToGrid w:val="0"/>
        <w:spacing w:line="560" w:lineRule="atLeast"/>
        <w:ind w:firstLineChars="200" w:firstLine="688"/>
        <w:rPr>
          <w:rFonts w:ascii="楷体_GB2312" w:eastAsia="楷体_GB2312" w:hAnsi="楷体" w:cs="仿宋_GB2312"/>
          <w:spacing w:val="12"/>
          <w:sz w:val="32"/>
          <w:szCs w:val="32"/>
          <w:lang w:val="zh-CN"/>
        </w:rPr>
      </w:pPr>
      <w:r w:rsidRPr="00614609">
        <w:rPr>
          <w:rFonts w:ascii="楷体_GB2312" w:eastAsia="楷体_GB2312" w:hAnsi="楷体" w:cs="仿宋_GB2312" w:hint="eastAsia"/>
          <w:spacing w:val="12"/>
          <w:sz w:val="32"/>
          <w:szCs w:val="32"/>
          <w:lang w:val="zh-CN"/>
        </w:rPr>
        <w:t>（三）总行声明</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总行确认以下内容:</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1.此授权书也可视为伦敦分行对特定风险偏好的一种声明，以便分行内部实行。</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2.伦敦分行行长须遵循以下规定：</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（1）必须始终遵守英国当地各项法律法规；</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lastRenderedPageBreak/>
        <w:t>（2）必须始终遵守中国银监会所有适用于伦敦分行的监管要求；</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（3）如果上述要求出现冲突，必须通知总行并优先遵照英国当地的法律和监管要求执行。</w:t>
      </w:r>
    </w:p>
    <w:p w:rsidR="00535782" w:rsidRDefault="00A84B67">
      <w:pPr>
        <w:autoSpaceDE w:val="0"/>
        <w:autoSpaceDN w:val="0"/>
        <w:adjustRightInd w:val="0"/>
        <w:snapToGrid w:val="0"/>
        <w:spacing w:line="560" w:lineRule="atLeast"/>
        <w:ind w:firstLineChars="200" w:firstLine="688"/>
        <w:rPr>
          <w:rFonts w:ascii="黑体" w:eastAsia="黑体" w:hAnsi="黑体" w:cs="仿宋_GB2312"/>
          <w:spacing w:val="12"/>
          <w:sz w:val="32"/>
          <w:szCs w:val="32"/>
          <w:lang w:val="zh-CN"/>
        </w:rPr>
      </w:pPr>
      <w:r>
        <w:rPr>
          <w:rFonts w:ascii="黑体" w:eastAsia="黑体" w:hAnsi="黑体" w:cs="仿宋_GB2312" w:hint="eastAsia"/>
          <w:spacing w:val="12"/>
          <w:sz w:val="32"/>
          <w:szCs w:val="32"/>
          <w:lang w:val="zh-CN"/>
        </w:rPr>
        <w:t>二、权限限制</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被授权人在行使被授予的权限时，应遵守法律法规、监管规定及中信银行的各项规章，在授权范围内审慎、合理地进行经营管理活动。严禁越权从事各项经营管理活动。</w:t>
      </w:r>
    </w:p>
    <w:p w:rsidR="00535782" w:rsidRDefault="00A84B67">
      <w:pPr>
        <w:autoSpaceDE w:val="0"/>
        <w:autoSpaceDN w:val="0"/>
        <w:adjustRightInd w:val="0"/>
        <w:snapToGrid w:val="0"/>
        <w:spacing w:line="560" w:lineRule="atLeast"/>
        <w:ind w:firstLineChars="200" w:firstLine="688"/>
        <w:rPr>
          <w:rFonts w:ascii="黑体" w:eastAsia="黑体" w:hAnsi="黑体" w:cs="仿宋_GB2312"/>
          <w:spacing w:val="12"/>
          <w:sz w:val="32"/>
          <w:szCs w:val="32"/>
          <w:lang w:val="zh-CN"/>
        </w:rPr>
      </w:pPr>
      <w:r>
        <w:rPr>
          <w:rFonts w:ascii="黑体" w:eastAsia="黑体" w:hAnsi="黑体" w:cs="仿宋_GB2312" w:hint="eastAsia"/>
          <w:spacing w:val="12"/>
          <w:sz w:val="32"/>
          <w:szCs w:val="32"/>
          <w:lang w:val="zh-CN"/>
        </w:rPr>
        <w:t>三、越权处罚</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任何越权或变相越权，均属于严重违规违纪行为。应按照有关规定调减或撤销对其授权，并根据国家有关法律法规及《中信银行员工违规行为处理办法》等有关规章制度，追究其责任。</w:t>
      </w:r>
    </w:p>
    <w:p w:rsidR="00535782" w:rsidRDefault="00A84B67">
      <w:pPr>
        <w:autoSpaceDE w:val="0"/>
        <w:autoSpaceDN w:val="0"/>
        <w:adjustRightInd w:val="0"/>
        <w:snapToGrid w:val="0"/>
        <w:spacing w:line="560" w:lineRule="atLeast"/>
        <w:ind w:firstLineChars="200" w:firstLine="688"/>
        <w:rPr>
          <w:rFonts w:ascii="黑体" w:eastAsia="黑体" w:hAnsi="黑体" w:cs="仿宋_GB2312"/>
          <w:spacing w:val="12"/>
          <w:sz w:val="32"/>
          <w:szCs w:val="32"/>
          <w:lang w:val="zh-CN"/>
        </w:rPr>
      </w:pPr>
      <w:r>
        <w:rPr>
          <w:rFonts w:ascii="黑体" w:eastAsia="黑体" w:hAnsi="黑体" w:cs="仿宋_GB2312" w:hint="eastAsia"/>
          <w:spacing w:val="12"/>
          <w:sz w:val="32"/>
          <w:szCs w:val="32"/>
          <w:lang w:val="zh-CN"/>
        </w:rPr>
        <w:t>四、授权书有效期</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本授权书自授权人签发之日起30个工作日后生效，有效期一年。到期若未遇调整，本授权书自动延期。在有效期间内，授权人有权根据经营管理需要，对授权进行动态调整。</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自本授权书生效之日起原授权书及相关授权变更通知书均失效。</w:t>
      </w:r>
    </w:p>
    <w:p w:rsidR="00535782" w:rsidRDefault="00A84B67">
      <w:pPr>
        <w:autoSpaceDE w:val="0"/>
        <w:autoSpaceDN w:val="0"/>
        <w:adjustRightInd w:val="0"/>
        <w:snapToGrid w:val="0"/>
        <w:spacing w:line="560" w:lineRule="atLeast"/>
        <w:ind w:firstLineChars="200" w:firstLine="688"/>
        <w:rPr>
          <w:rFonts w:ascii="黑体" w:eastAsia="黑体" w:hAnsi="黑体" w:cs="仿宋_GB2312"/>
          <w:spacing w:val="12"/>
          <w:sz w:val="32"/>
          <w:szCs w:val="32"/>
          <w:lang w:val="zh-CN"/>
        </w:rPr>
      </w:pPr>
      <w:r>
        <w:rPr>
          <w:rFonts w:ascii="黑体" w:eastAsia="黑体" w:hAnsi="黑体" w:cs="仿宋_GB2312" w:hint="eastAsia"/>
          <w:spacing w:val="12"/>
          <w:sz w:val="32"/>
          <w:szCs w:val="32"/>
          <w:lang w:val="zh-CN"/>
        </w:rPr>
        <w:t>五、转授权工作要求</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（一）被授权人可在其授权范围内根据经营管理需要和总行相关规定进行转授权，转授权应以书面形式做出。</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lastRenderedPageBreak/>
        <w:t>（二）被授权人出差、学习、休假等</w:t>
      </w:r>
      <w:proofErr w:type="gramStart"/>
      <w:r>
        <w:rPr>
          <w:rFonts w:ascii="仿宋_GB2312" w:eastAsia="仿宋_GB2312" w:hAnsi="仿宋" w:cs="仿宋_GB2312" w:hint="eastAsia"/>
          <w:spacing w:val="12"/>
          <w:sz w:val="32"/>
          <w:szCs w:val="32"/>
          <w:lang w:val="zh-CN"/>
        </w:rPr>
        <w:t>不</w:t>
      </w:r>
      <w:proofErr w:type="gramEnd"/>
      <w:r>
        <w:rPr>
          <w:rFonts w:ascii="仿宋_GB2312" w:eastAsia="仿宋_GB2312" w:hAnsi="仿宋" w:cs="仿宋_GB2312" w:hint="eastAsia"/>
          <w:spacing w:val="12"/>
          <w:sz w:val="32"/>
          <w:szCs w:val="32"/>
          <w:lang w:val="zh-CN"/>
        </w:rPr>
        <w:t>在岗期间，由临时代岗人员代为行使其权限。被授权人可以按班子成员排位顺序进行临时转授权，但应签发临时转授权书，将转授权事项限制在特定范围内，且必须严格限定临时转授权期限。</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（三）被授权人进行转授权应报总行授权工作归口部门备案。</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（四）被授权人应根据业务和风险控制要求，对转授权执行情况进行监督检查，动态调整转授权内容，确保各项经营管理活动依法合</w:t>
      </w:r>
      <w:proofErr w:type="gramStart"/>
      <w:r>
        <w:rPr>
          <w:rFonts w:ascii="仿宋_GB2312" w:eastAsia="仿宋_GB2312" w:hAnsi="仿宋" w:cs="仿宋_GB2312" w:hint="eastAsia"/>
          <w:spacing w:val="12"/>
          <w:sz w:val="32"/>
          <w:szCs w:val="32"/>
          <w:lang w:val="zh-CN"/>
        </w:rPr>
        <w:t>规</w:t>
      </w:r>
      <w:proofErr w:type="gramEnd"/>
      <w:r>
        <w:rPr>
          <w:rFonts w:ascii="仿宋_GB2312" w:eastAsia="仿宋_GB2312" w:hAnsi="仿宋" w:cs="仿宋_GB2312" w:hint="eastAsia"/>
          <w:spacing w:val="12"/>
          <w:sz w:val="32"/>
          <w:szCs w:val="32"/>
          <w:lang w:val="zh-CN"/>
        </w:rPr>
        <w:t>、稳健运行。</w:t>
      </w:r>
    </w:p>
    <w:p w:rsidR="00535782" w:rsidRDefault="00A84B67">
      <w:pPr>
        <w:autoSpaceDE w:val="0"/>
        <w:autoSpaceDN w:val="0"/>
        <w:adjustRightInd w:val="0"/>
        <w:snapToGrid w:val="0"/>
        <w:spacing w:line="560" w:lineRule="atLeast"/>
        <w:ind w:firstLineChars="200" w:firstLine="688"/>
        <w:rPr>
          <w:rFonts w:ascii="黑体" w:eastAsia="黑体" w:hAnsi="黑体" w:cs="仿宋_GB2312"/>
          <w:spacing w:val="12"/>
          <w:sz w:val="32"/>
          <w:szCs w:val="32"/>
          <w:lang w:val="zh-CN"/>
        </w:rPr>
      </w:pPr>
      <w:r>
        <w:rPr>
          <w:rFonts w:ascii="黑体" w:eastAsia="黑体" w:hAnsi="黑体" w:cs="仿宋_GB2312" w:hint="eastAsia"/>
          <w:spacing w:val="12"/>
          <w:sz w:val="32"/>
          <w:szCs w:val="32"/>
          <w:lang w:val="zh-CN"/>
        </w:rPr>
        <w:t>六、授权书未尽事项</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对本授权书未纳入的其他授权事项，被授权人应依照法定的或营业执照规定的经营范围及总行有关规章制度行使权限。</w:t>
      </w:r>
    </w:p>
    <w:p w:rsidR="00535782" w:rsidRDefault="00A84B67">
      <w:pPr>
        <w:autoSpaceDE w:val="0"/>
        <w:autoSpaceDN w:val="0"/>
        <w:adjustRightInd w:val="0"/>
        <w:snapToGrid w:val="0"/>
        <w:spacing w:line="560" w:lineRule="atLeast"/>
        <w:ind w:firstLineChars="200" w:firstLine="688"/>
        <w:rPr>
          <w:rFonts w:ascii="仿宋_GB2312" w:eastAsia="仿宋_GB2312" w:hAnsi="仿宋" w:cs="仿宋_GB2312"/>
          <w:spacing w:val="12"/>
          <w:sz w:val="32"/>
          <w:szCs w:val="32"/>
          <w:lang w:val="zh-CN"/>
        </w:rPr>
      </w:pPr>
      <w:r>
        <w:rPr>
          <w:rFonts w:ascii="仿宋_GB2312" w:eastAsia="仿宋_GB2312" w:hAnsi="仿宋" w:cs="仿宋_GB2312" w:hint="eastAsia"/>
          <w:spacing w:val="12"/>
          <w:sz w:val="32"/>
          <w:szCs w:val="32"/>
          <w:lang w:val="zh-CN"/>
        </w:rPr>
        <w:t>现行规章制度中有关授权的规定与本授权书不一致的，以本授权书为准。</w:t>
      </w:r>
    </w:p>
    <w:p w:rsidR="00535782" w:rsidRDefault="00535782">
      <w:pPr>
        <w:adjustRightInd w:val="0"/>
        <w:snapToGrid w:val="0"/>
        <w:spacing w:line="560" w:lineRule="atLeast"/>
        <w:ind w:firstLineChars="200" w:firstLine="688"/>
        <w:rPr>
          <w:rFonts w:ascii="仿宋" w:eastAsia="仿宋" w:hAnsi="仿宋"/>
          <w:spacing w:val="12"/>
          <w:sz w:val="32"/>
          <w:szCs w:val="32"/>
        </w:rPr>
      </w:pPr>
    </w:p>
    <w:p w:rsidR="00535782" w:rsidRDefault="00535782">
      <w:pPr>
        <w:adjustRightInd w:val="0"/>
        <w:snapToGrid w:val="0"/>
        <w:spacing w:line="560" w:lineRule="atLeast"/>
        <w:ind w:firstLineChars="200" w:firstLine="688"/>
        <w:rPr>
          <w:rFonts w:ascii="仿宋" w:eastAsia="仿宋" w:hAnsi="仿宋"/>
          <w:spacing w:val="12"/>
          <w:sz w:val="32"/>
          <w:szCs w:val="32"/>
        </w:rPr>
      </w:pPr>
    </w:p>
    <w:p w:rsidR="00535782" w:rsidRDefault="00535782">
      <w:pPr>
        <w:adjustRightInd w:val="0"/>
        <w:snapToGrid w:val="0"/>
        <w:spacing w:line="560" w:lineRule="atLeast"/>
        <w:ind w:firstLineChars="200" w:firstLine="688"/>
        <w:rPr>
          <w:rFonts w:ascii="仿宋" w:eastAsia="仿宋" w:hAnsi="仿宋"/>
          <w:spacing w:val="12"/>
          <w:sz w:val="32"/>
          <w:szCs w:val="32"/>
        </w:rPr>
      </w:pPr>
    </w:p>
    <w:p w:rsidR="00535782" w:rsidRDefault="00535782">
      <w:pPr>
        <w:adjustRightInd w:val="0"/>
        <w:snapToGrid w:val="0"/>
        <w:spacing w:line="560" w:lineRule="atLeast"/>
        <w:ind w:firstLineChars="200" w:firstLine="688"/>
        <w:rPr>
          <w:rFonts w:ascii="仿宋" w:eastAsia="仿宋" w:hAnsi="仿宋"/>
          <w:spacing w:val="12"/>
          <w:sz w:val="32"/>
          <w:szCs w:val="32"/>
        </w:rPr>
      </w:pPr>
    </w:p>
    <w:p w:rsidR="00535782" w:rsidRDefault="00535782">
      <w:pPr>
        <w:adjustRightInd w:val="0"/>
        <w:snapToGrid w:val="0"/>
        <w:spacing w:line="560" w:lineRule="atLeast"/>
        <w:ind w:firstLineChars="200" w:firstLine="688"/>
        <w:rPr>
          <w:rFonts w:ascii="仿宋" w:eastAsia="仿宋" w:hAnsi="仿宋"/>
          <w:spacing w:val="12"/>
          <w:sz w:val="32"/>
          <w:szCs w:val="32"/>
        </w:rPr>
      </w:pPr>
    </w:p>
    <w:p w:rsidR="00E978DD" w:rsidRDefault="00E978DD">
      <w:pPr>
        <w:adjustRightInd w:val="0"/>
        <w:snapToGrid w:val="0"/>
        <w:spacing w:line="560" w:lineRule="atLeast"/>
        <w:jc w:val="center"/>
        <w:rPr>
          <w:rFonts w:ascii="仿宋" w:eastAsia="仿宋" w:hAnsi="仿宋"/>
          <w:spacing w:val="12"/>
          <w:sz w:val="32"/>
          <w:szCs w:val="32"/>
        </w:rPr>
      </w:pPr>
    </w:p>
    <w:p w:rsidR="00E978DD" w:rsidRDefault="00E978DD">
      <w:pPr>
        <w:adjustRightInd w:val="0"/>
        <w:snapToGrid w:val="0"/>
        <w:spacing w:line="560" w:lineRule="atLeast"/>
        <w:jc w:val="center"/>
        <w:rPr>
          <w:rFonts w:ascii="仿宋" w:eastAsia="仿宋" w:hAnsi="仿宋"/>
          <w:spacing w:val="12"/>
          <w:sz w:val="32"/>
          <w:szCs w:val="32"/>
        </w:rPr>
      </w:pPr>
    </w:p>
    <w:p w:rsidR="00CD2932" w:rsidRDefault="00CD2932">
      <w:pPr>
        <w:adjustRightInd w:val="0"/>
        <w:snapToGrid w:val="0"/>
        <w:spacing w:line="560" w:lineRule="atLeast"/>
        <w:jc w:val="center"/>
        <w:rPr>
          <w:rFonts w:ascii="仿宋" w:eastAsia="仿宋" w:hAnsi="仿宋"/>
          <w:spacing w:val="12"/>
          <w:sz w:val="32"/>
          <w:szCs w:val="32"/>
        </w:rPr>
      </w:pPr>
    </w:p>
    <w:p w:rsidR="00CD2932" w:rsidRDefault="00CD2932">
      <w:pPr>
        <w:adjustRightInd w:val="0"/>
        <w:snapToGrid w:val="0"/>
        <w:spacing w:line="560" w:lineRule="atLeast"/>
        <w:jc w:val="center"/>
        <w:rPr>
          <w:rFonts w:ascii="仿宋" w:eastAsia="仿宋" w:hAnsi="仿宋"/>
          <w:spacing w:val="12"/>
          <w:sz w:val="32"/>
          <w:szCs w:val="32"/>
        </w:rPr>
      </w:pPr>
    </w:p>
    <w:p w:rsidR="00CD2932" w:rsidRDefault="00CD2932">
      <w:pPr>
        <w:adjustRightInd w:val="0"/>
        <w:snapToGrid w:val="0"/>
        <w:spacing w:line="560" w:lineRule="atLeast"/>
        <w:jc w:val="center"/>
        <w:rPr>
          <w:rFonts w:ascii="仿宋" w:eastAsia="仿宋" w:hAnsi="仿宋"/>
          <w:spacing w:val="12"/>
          <w:sz w:val="32"/>
          <w:szCs w:val="32"/>
        </w:rPr>
      </w:pPr>
    </w:p>
    <w:p w:rsidR="00535782" w:rsidRDefault="00A84B67">
      <w:pPr>
        <w:adjustRightInd w:val="0"/>
        <w:snapToGrid w:val="0"/>
        <w:spacing w:line="560" w:lineRule="atLeast"/>
        <w:jc w:val="center"/>
        <w:rPr>
          <w:rFonts w:ascii="仿宋" w:eastAsia="仿宋" w:hAnsi="仿宋"/>
          <w:spacing w:val="12"/>
          <w:sz w:val="32"/>
          <w:szCs w:val="32"/>
        </w:rPr>
      </w:pPr>
      <w:r>
        <w:rPr>
          <w:rFonts w:ascii="仿宋" w:eastAsia="仿宋" w:hAnsi="仿宋" w:hint="eastAsia"/>
          <w:spacing w:val="12"/>
          <w:sz w:val="32"/>
          <w:szCs w:val="32"/>
        </w:rPr>
        <w:t>授权人（签章）：</w:t>
      </w:r>
    </w:p>
    <w:p w:rsidR="00535782" w:rsidRDefault="00535782">
      <w:pPr>
        <w:adjustRightInd w:val="0"/>
        <w:snapToGrid w:val="0"/>
        <w:spacing w:line="560" w:lineRule="atLeast"/>
        <w:jc w:val="center"/>
        <w:rPr>
          <w:rFonts w:ascii="仿宋" w:eastAsia="仿宋" w:hAnsi="仿宋"/>
          <w:spacing w:val="12"/>
          <w:sz w:val="32"/>
          <w:szCs w:val="32"/>
        </w:rPr>
      </w:pPr>
    </w:p>
    <w:p w:rsidR="00535782" w:rsidRDefault="00A84B67">
      <w:pPr>
        <w:autoSpaceDE w:val="0"/>
        <w:autoSpaceDN w:val="0"/>
        <w:adjustRightInd w:val="0"/>
        <w:snapToGrid w:val="0"/>
        <w:spacing w:line="560" w:lineRule="atLeast"/>
        <w:ind w:firstLineChars="200" w:firstLine="688"/>
        <w:jc w:val="center"/>
        <w:rPr>
          <w:rFonts w:ascii="仿宋" w:eastAsia="仿宋" w:hAnsi="仿宋"/>
          <w:spacing w:val="12"/>
          <w:sz w:val="32"/>
          <w:szCs w:val="32"/>
        </w:rPr>
      </w:pPr>
      <w:r>
        <w:rPr>
          <w:rFonts w:ascii="仿宋" w:eastAsia="仿宋" w:hAnsi="仿宋" w:hint="eastAsia"/>
          <w:spacing w:val="12"/>
          <w:sz w:val="32"/>
          <w:szCs w:val="32"/>
        </w:rPr>
        <w:t xml:space="preserve">               202</w:t>
      </w:r>
      <w:r>
        <w:rPr>
          <w:rFonts w:ascii="仿宋" w:eastAsia="仿宋" w:hAnsi="仿宋"/>
          <w:spacing w:val="12"/>
          <w:sz w:val="32"/>
          <w:szCs w:val="32"/>
        </w:rPr>
        <w:t>1</w:t>
      </w:r>
      <w:r>
        <w:rPr>
          <w:rFonts w:ascii="仿宋" w:eastAsia="仿宋" w:hAnsi="仿宋" w:cs="仿宋_GB2312" w:hint="eastAsia"/>
          <w:spacing w:val="12"/>
          <w:sz w:val="32"/>
          <w:szCs w:val="32"/>
          <w:lang w:val="zh-CN"/>
        </w:rPr>
        <w:t xml:space="preserve">年 </w:t>
      </w:r>
      <w:r>
        <w:rPr>
          <w:rFonts w:ascii="仿宋" w:eastAsia="仿宋" w:hAnsi="仿宋" w:cs="仿宋_GB2312"/>
          <w:spacing w:val="12"/>
          <w:sz w:val="32"/>
          <w:szCs w:val="32"/>
          <w:lang w:val="zh-CN"/>
        </w:rPr>
        <w:t xml:space="preserve">1 </w:t>
      </w:r>
      <w:r>
        <w:rPr>
          <w:rFonts w:ascii="仿宋" w:eastAsia="仿宋" w:hAnsi="仿宋" w:cs="仿宋_GB2312" w:hint="eastAsia"/>
          <w:spacing w:val="12"/>
          <w:sz w:val="32"/>
          <w:szCs w:val="32"/>
          <w:lang w:val="zh-CN"/>
        </w:rPr>
        <w:t xml:space="preserve">月 </w:t>
      </w:r>
      <w:r>
        <w:rPr>
          <w:rFonts w:ascii="仿宋" w:eastAsia="仿宋" w:hAnsi="仿宋" w:cs="仿宋_GB2312"/>
          <w:spacing w:val="12"/>
          <w:sz w:val="32"/>
          <w:szCs w:val="32"/>
        </w:rPr>
        <w:t>28</w:t>
      </w:r>
      <w:r>
        <w:rPr>
          <w:rFonts w:ascii="仿宋" w:eastAsia="仿宋" w:hAnsi="仿宋" w:cs="仿宋_GB2312" w:hint="eastAsia"/>
          <w:spacing w:val="12"/>
          <w:sz w:val="32"/>
          <w:szCs w:val="32"/>
        </w:rPr>
        <w:t xml:space="preserve"> </w:t>
      </w:r>
      <w:r>
        <w:rPr>
          <w:rFonts w:ascii="仿宋" w:eastAsia="仿宋" w:hAnsi="仿宋" w:cs="仿宋_GB2312" w:hint="eastAsia"/>
          <w:spacing w:val="12"/>
          <w:sz w:val="32"/>
          <w:szCs w:val="32"/>
          <w:lang w:val="zh-CN"/>
        </w:rPr>
        <w:t>日</w:t>
      </w:r>
    </w:p>
    <w:p w:rsidR="00535782" w:rsidRDefault="00535782">
      <w:pPr>
        <w:autoSpaceDE w:val="0"/>
        <w:autoSpaceDN w:val="0"/>
        <w:adjustRightInd w:val="0"/>
        <w:snapToGrid w:val="0"/>
        <w:spacing w:line="560" w:lineRule="atLeast"/>
        <w:ind w:firstLineChars="200" w:firstLine="688"/>
        <w:jc w:val="center"/>
        <w:rPr>
          <w:rFonts w:ascii="仿宋" w:eastAsia="仿宋" w:hAnsi="仿宋"/>
          <w:spacing w:val="12"/>
          <w:sz w:val="32"/>
          <w:szCs w:val="32"/>
        </w:rPr>
      </w:pPr>
    </w:p>
    <w:p w:rsidR="00535782" w:rsidRDefault="00535782">
      <w:pPr>
        <w:autoSpaceDE w:val="0"/>
        <w:autoSpaceDN w:val="0"/>
        <w:adjustRightInd w:val="0"/>
        <w:snapToGrid w:val="0"/>
        <w:spacing w:line="560" w:lineRule="atLeast"/>
        <w:ind w:firstLineChars="200" w:firstLine="688"/>
        <w:jc w:val="center"/>
        <w:rPr>
          <w:rFonts w:ascii="仿宋" w:eastAsia="仿宋" w:hAnsi="仿宋"/>
          <w:spacing w:val="12"/>
          <w:sz w:val="32"/>
          <w:szCs w:val="32"/>
        </w:rPr>
      </w:pPr>
    </w:p>
    <w:p w:rsidR="00535782" w:rsidRDefault="00A84B67">
      <w:pPr>
        <w:adjustRightInd w:val="0"/>
        <w:snapToGrid w:val="0"/>
        <w:spacing w:line="560" w:lineRule="atLeast"/>
        <w:jc w:val="center"/>
        <w:rPr>
          <w:rFonts w:ascii="仿宋" w:eastAsia="仿宋" w:hAnsi="仿宋"/>
          <w:spacing w:val="12"/>
          <w:sz w:val="32"/>
          <w:szCs w:val="32"/>
        </w:rPr>
      </w:pPr>
      <w:r>
        <w:rPr>
          <w:rFonts w:ascii="仿宋" w:eastAsia="仿宋" w:hAnsi="仿宋" w:hint="eastAsia"/>
          <w:spacing w:val="12"/>
          <w:sz w:val="32"/>
          <w:szCs w:val="32"/>
        </w:rPr>
        <w:t>被授权人（公章）：</w:t>
      </w:r>
    </w:p>
    <w:p w:rsidR="00535782" w:rsidRDefault="00535782">
      <w:pPr>
        <w:adjustRightInd w:val="0"/>
        <w:snapToGrid w:val="0"/>
        <w:spacing w:line="560" w:lineRule="atLeast"/>
        <w:jc w:val="center"/>
        <w:rPr>
          <w:rFonts w:ascii="仿宋" w:eastAsia="仿宋" w:hAnsi="仿宋"/>
          <w:spacing w:val="12"/>
          <w:sz w:val="32"/>
          <w:szCs w:val="32"/>
        </w:rPr>
      </w:pPr>
    </w:p>
    <w:p w:rsidR="00535782" w:rsidRDefault="00A84B67">
      <w:pPr>
        <w:adjustRightInd w:val="0"/>
        <w:snapToGrid w:val="0"/>
        <w:spacing w:line="560" w:lineRule="atLeast"/>
        <w:jc w:val="center"/>
        <w:rPr>
          <w:rFonts w:ascii="仿宋" w:eastAsia="仿宋" w:hAnsi="仿宋"/>
          <w:spacing w:val="12"/>
          <w:sz w:val="32"/>
          <w:szCs w:val="32"/>
        </w:rPr>
      </w:pPr>
      <w:r>
        <w:rPr>
          <w:rFonts w:ascii="仿宋" w:eastAsia="仿宋" w:hAnsi="仿宋" w:hint="eastAsia"/>
          <w:spacing w:val="12"/>
          <w:sz w:val="32"/>
          <w:szCs w:val="32"/>
        </w:rPr>
        <w:t>负责人（签章）：</w:t>
      </w:r>
    </w:p>
    <w:p w:rsidR="00535782" w:rsidRDefault="00535782">
      <w:pPr>
        <w:adjustRightInd w:val="0"/>
        <w:snapToGrid w:val="0"/>
        <w:spacing w:line="560" w:lineRule="atLeast"/>
        <w:jc w:val="center"/>
        <w:rPr>
          <w:rFonts w:ascii="仿宋" w:eastAsia="仿宋" w:hAnsi="仿宋"/>
          <w:spacing w:val="12"/>
          <w:sz w:val="32"/>
          <w:szCs w:val="32"/>
        </w:rPr>
      </w:pPr>
    </w:p>
    <w:p w:rsidR="00530E7E" w:rsidRDefault="00A84B67">
      <w:pPr>
        <w:autoSpaceDE w:val="0"/>
        <w:autoSpaceDN w:val="0"/>
        <w:adjustRightInd w:val="0"/>
        <w:snapToGrid w:val="0"/>
        <w:spacing w:line="560" w:lineRule="atLeast"/>
        <w:ind w:firstLineChars="200" w:firstLine="688"/>
        <w:jc w:val="center"/>
        <w:rPr>
          <w:rFonts w:ascii="仿宋" w:eastAsia="仿宋" w:hAnsi="仿宋"/>
          <w:spacing w:val="12"/>
          <w:sz w:val="32"/>
          <w:szCs w:val="32"/>
        </w:rPr>
      </w:pPr>
      <w:r>
        <w:rPr>
          <w:rFonts w:ascii="仿宋" w:eastAsia="仿宋" w:hAnsi="仿宋" w:hint="eastAsia"/>
          <w:spacing w:val="12"/>
          <w:sz w:val="32"/>
          <w:szCs w:val="32"/>
        </w:rPr>
        <w:t xml:space="preserve">                   年 </w:t>
      </w:r>
      <w:r>
        <w:rPr>
          <w:rFonts w:ascii="仿宋" w:eastAsia="仿宋" w:hAnsi="仿宋"/>
          <w:spacing w:val="12"/>
          <w:sz w:val="32"/>
          <w:szCs w:val="32"/>
        </w:rPr>
        <w:t xml:space="preserve">  </w:t>
      </w:r>
      <w:r>
        <w:rPr>
          <w:rFonts w:ascii="仿宋" w:eastAsia="仿宋" w:hAnsi="仿宋" w:hint="eastAsia"/>
          <w:spacing w:val="12"/>
          <w:sz w:val="32"/>
          <w:szCs w:val="32"/>
        </w:rPr>
        <w:t>月  日</w:t>
      </w:r>
    </w:p>
    <w:p w:rsidR="00530E7E" w:rsidRDefault="00530E7E">
      <w:pPr>
        <w:widowControl/>
        <w:jc w:val="left"/>
        <w:rPr>
          <w:rFonts w:ascii="仿宋" w:eastAsia="仿宋" w:hAnsi="仿宋"/>
          <w:spacing w:val="12"/>
          <w:sz w:val="32"/>
          <w:szCs w:val="32"/>
        </w:rPr>
      </w:pPr>
      <w:r>
        <w:rPr>
          <w:rFonts w:ascii="仿宋" w:eastAsia="仿宋" w:hAnsi="仿宋"/>
          <w:spacing w:val="12"/>
          <w:sz w:val="32"/>
          <w:szCs w:val="32"/>
        </w:rPr>
        <w:br w:type="page"/>
      </w:r>
    </w:p>
    <w:p w:rsidR="00530E7E" w:rsidRPr="00E3655F" w:rsidRDefault="00530E7E" w:rsidP="00530E7E">
      <w:pPr>
        <w:jc w:val="center"/>
        <w:rPr>
          <w:rFonts w:ascii="方正小标宋简体" w:eastAsia="方正小标宋简体"/>
          <w:sz w:val="44"/>
          <w:szCs w:val="44"/>
        </w:rPr>
      </w:pPr>
      <w:r w:rsidRPr="00E3655F">
        <w:rPr>
          <w:rFonts w:ascii="方正小标宋简体" w:eastAsia="方正小标宋简体" w:hint="eastAsia"/>
          <w:sz w:val="44"/>
          <w:szCs w:val="44"/>
        </w:rPr>
        <w:lastRenderedPageBreak/>
        <w:t>授权变更登记表</w:t>
      </w:r>
    </w:p>
    <w:tbl>
      <w:tblPr>
        <w:tblW w:w="9634" w:type="dxa"/>
        <w:jc w:val="center"/>
        <w:tblLayout w:type="fixed"/>
        <w:tblLook w:val="04A0" w:firstRow="1" w:lastRow="0" w:firstColumn="1" w:lastColumn="0" w:noHBand="0" w:noVBand="1"/>
      </w:tblPr>
      <w:tblGrid>
        <w:gridCol w:w="960"/>
        <w:gridCol w:w="4138"/>
        <w:gridCol w:w="1134"/>
        <w:gridCol w:w="1134"/>
        <w:gridCol w:w="1134"/>
        <w:gridCol w:w="1134"/>
      </w:tblGrid>
      <w:tr w:rsidR="00530E7E" w:rsidRPr="00E3655F" w:rsidTr="00A47AE2">
        <w:trPr>
          <w:trHeight w:val="60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b/>
                <w:bCs/>
                <w:color w:val="000000"/>
                <w:kern w:val="0"/>
                <w:sz w:val="22"/>
                <w:szCs w:val="22"/>
              </w:rPr>
            </w:pPr>
            <w:r w:rsidRPr="00E3655F">
              <w:rPr>
                <w:rFonts w:ascii="仿宋_GB2312" w:eastAsia="仿宋_GB2312" w:hAnsi="仿宋_GB2312" w:cs="仿宋_GB2312" w:hint="eastAsia"/>
                <w:b/>
                <w:bCs/>
                <w:color w:val="000000"/>
                <w:kern w:val="0"/>
                <w:sz w:val="22"/>
                <w:szCs w:val="22"/>
              </w:rPr>
              <w:t>序号</w:t>
            </w:r>
          </w:p>
        </w:tc>
        <w:tc>
          <w:tcPr>
            <w:tcW w:w="4138" w:type="dxa"/>
            <w:tcBorders>
              <w:top w:val="single" w:sz="4" w:space="0" w:color="auto"/>
              <w:left w:val="nil"/>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b/>
                <w:bCs/>
                <w:color w:val="000000"/>
                <w:kern w:val="0"/>
                <w:sz w:val="22"/>
                <w:szCs w:val="22"/>
              </w:rPr>
            </w:pPr>
            <w:r w:rsidRPr="00E3655F">
              <w:rPr>
                <w:rFonts w:ascii="仿宋_GB2312" w:eastAsia="仿宋_GB2312" w:hAnsi="仿宋_GB2312" w:cs="仿宋_GB2312" w:hint="eastAsia"/>
                <w:b/>
                <w:bCs/>
                <w:color w:val="000000"/>
                <w:kern w:val="0"/>
                <w:sz w:val="22"/>
                <w:szCs w:val="22"/>
              </w:rPr>
              <w:t>授权变更通知书名称</w:t>
            </w:r>
          </w:p>
        </w:tc>
        <w:tc>
          <w:tcPr>
            <w:tcW w:w="1134" w:type="dxa"/>
            <w:tcBorders>
              <w:top w:val="single" w:sz="4" w:space="0" w:color="auto"/>
              <w:left w:val="nil"/>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b/>
                <w:bCs/>
                <w:color w:val="000000"/>
                <w:kern w:val="0"/>
                <w:sz w:val="22"/>
                <w:szCs w:val="22"/>
              </w:rPr>
            </w:pPr>
            <w:r w:rsidRPr="00E3655F">
              <w:rPr>
                <w:rFonts w:ascii="仿宋_GB2312" w:eastAsia="仿宋_GB2312" w:hAnsi="仿宋_GB2312" w:cs="仿宋_GB2312" w:hint="eastAsia"/>
                <w:b/>
                <w:bCs/>
                <w:color w:val="000000"/>
                <w:kern w:val="0"/>
                <w:sz w:val="22"/>
                <w:szCs w:val="22"/>
              </w:rPr>
              <w:t>文号</w:t>
            </w:r>
          </w:p>
        </w:tc>
        <w:tc>
          <w:tcPr>
            <w:tcW w:w="1134" w:type="dxa"/>
            <w:tcBorders>
              <w:top w:val="single" w:sz="4" w:space="0" w:color="auto"/>
              <w:left w:val="nil"/>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b/>
                <w:bCs/>
                <w:color w:val="000000"/>
                <w:kern w:val="0"/>
                <w:sz w:val="22"/>
                <w:szCs w:val="22"/>
              </w:rPr>
            </w:pPr>
            <w:r w:rsidRPr="00E3655F">
              <w:rPr>
                <w:rFonts w:ascii="仿宋_GB2312" w:eastAsia="仿宋_GB2312" w:hAnsi="仿宋_GB2312" w:cs="仿宋_GB2312" w:hint="eastAsia"/>
                <w:b/>
                <w:bCs/>
                <w:color w:val="000000"/>
                <w:kern w:val="0"/>
                <w:sz w:val="22"/>
                <w:szCs w:val="22"/>
              </w:rPr>
              <w:t>发文日期</w:t>
            </w:r>
          </w:p>
        </w:tc>
        <w:tc>
          <w:tcPr>
            <w:tcW w:w="1134" w:type="dxa"/>
            <w:tcBorders>
              <w:top w:val="single" w:sz="4" w:space="0" w:color="auto"/>
              <w:left w:val="nil"/>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b/>
                <w:bCs/>
                <w:color w:val="000000"/>
                <w:kern w:val="0"/>
                <w:sz w:val="22"/>
                <w:szCs w:val="22"/>
              </w:rPr>
            </w:pPr>
            <w:r w:rsidRPr="00E3655F">
              <w:rPr>
                <w:rFonts w:ascii="仿宋_GB2312" w:eastAsia="仿宋_GB2312" w:hAnsi="仿宋_GB2312" w:cs="仿宋_GB2312" w:hint="eastAsia"/>
                <w:b/>
                <w:bCs/>
                <w:color w:val="000000"/>
                <w:kern w:val="0"/>
                <w:sz w:val="22"/>
                <w:szCs w:val="22"/>
              </w:rPr>
              <w:t>生效日期</w:t>
            </w:r>
          </w:p>
        </w:tc>
        <w:tc>
          <w:tcPr>
            <w:tcW w:w="1134" w:type="dxa"/>
            <w:tcBorders>
              <w:top w:val="single" w:sz="4" w:space="0" w:color="auto"/>
              <w:left w:val="nil"/>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b/>
                <w:bCs/>
                <w:color w:val="000000"/>
                <w:kern w:val="0"/>
                <w:sz w:val="22"/>
                <w:szCs w:val="22"/>
              </w:rPr>
            </w:pPr>
            <w:r w:rsidRPr="00E3655F">
              <w:rPr>
                <w:rFonts w:ascii="仿宋_GB2312" w:eastAsia="仿宋_GB2312" w:hAnsi="仿宋_GB2312" w:cs="仿宋_GB2312" w:hint="eastAsia"/>
                <w:b/>
                <w:bCs/>
                <w:color w:val="000000"/>
                <w:kern w:val="0"/>
                <w:sz w:val="22"/>
                <w:szCs w:val="22"/>
              </w:rPr>
              <w:t>备注</w:t>
            </w:r>
          </w:p>
        </w:tc>
      </w:tr>
      <w:tr w:rsidR="00530E7E" w:rsidRPr="00E3655F" w:rsidTr="00A47AE2">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1</w:t>
            </w:r>
          </w:p>
        </w:tc>
        <w:tc>
          <w:tcPr>
            <w:tcW w:w="4138" w:type="dxa"/>
            <w:tcBorders>
              <w:top w:val="nil"/>
              <w:left w:val="nil"/>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r>
      <w:tr w:rsidR="00530E7E" w:rsidRPr="00E3655F" w:rsidTr="00A47AE2">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2</w:t>
            </w:r>
          </w:p>
        </w:tc>
        <w:tc>
          <w:tcPr>
            <w:tcW w:w="4138" w:type="dxa"/>
            <w:tcBorders>
              <w:top w:val="nil"/>
              <w:left w:val="nil"/>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r>
      <w:tr w:rsidR="00530E7E" w:rsidRPr="00E3655F" w:rsidTr="00A47AE2">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3</w:t>
            </w:r>
          </w:p>
        </w:tc>
        <w:tc>
          <w:tcPr>
            <w:tcW w:w="4138"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r>
      <w:tr w:rsidR="00530E7E" w:rsidRPr="00E3655F" w:rsidTr="00A47AE2">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4</w:t>
            </w:r>
          </w:p>
        </w:tc>
        <w:tc>
          <w:tcPr>
            <w:tcW w:w="4138"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r>
      <w:tr w:rsidR="00530E7E" w:rsidRPr="00E3655F" w:rsidTr="00A47AE2">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5</w:t>
            </w:r>
          </w:p>
        </w:tc>
        <w:tc>
          <w:tcPr>
            <w:tcW w:w="4138"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r>
      <w:tr w:rsidR="00530E7E" w:rsidRPr="00E3655F" w:rsidTr="00A47AE2">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6</w:t>
            </w:r>
          </w:p>
        </w:tc>
        <w:tc>
          <w:tcPr>
            <w:tcW w:w="4138"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r>
      <w:tr w:rsidR="00530E7E" w:rsidRPr="00E3655F" w:rsidTr="00A47AE2">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7</w:t>
            </w:r>
          </w:p>
        </w:tc>
        <w:tc>
          <w:tcPr>
            <w:tcW w:w="4138"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r>
      <w:tr w:rsidR="00530E7E" w:rsidRPr="00E3655F" w:rsidTr="00A47AE2">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8</w:t>
            </w:r>
          </w:p>
        </w:tc>
        <w:tc>
          <w:tcPr>
            <w:tcW w:w="4138"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r>
      <w:tr w:rsidR="00530E7E" w:rsidRPr="00E3655F" w:rsidTr="00A47AE2">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9</w:t>
            </w:r>
          </w:p>
        </w:tc>
        <w:tc>
          <w:tcPr>
            <w:tcW w:w="4138"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r>
      <w:tr w:rsidR="00530E7E" w:rsidRPr="00E3655F" w:rsidTr="00A47AE2">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10</w:t>
            </w:r>
          </w:p>
        </w:tc>
        <w:tc>
          <w:tcPr>
            <w:tcW w:w="4138"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r>
      <w:tr w:rsidR="00530E7E" w:rsidRPr="00E3655F" w:rsidTr="00A47AE2">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11</w:t>
            </w:r>
          </w:p>
        </w:tc>
        <w:tc>
          <w:tcPr>
            <w:tcW w:w="4138"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r>
      <w:tr w:rsidR="00530E7E" w:rsidRPr="00E3655F" w:rsidTr="00A47AE2">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12</w:t>
            </w:r>
          </w:p>
        </w:tc>
        <w:tc>
          <w:tcPr>
            <w:tcW w:w="4138"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r>
      <w:tr w:rsidR="00530E7E" w:rsidRPr="00E3655F" w:rsidTr="00A47AE2">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13</w:t>
            </w:r>
          </w:p>
        </w:tc>
        <w:tc>
          <w:tcPr>
            <w:tcW w:w="4138"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r>
      <w:tr w:rsidR="00530E7E" w:rsidRPr="00E3655F" w:rsidTr="00A47AE2">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14</w:t>
            </w:r>
          </w:p>
        </w:tc>
        <w:tc>
          <w:tcPr>
            <w:tcW w:w="4138"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r>
      <w:tr w:rsidR="00530E7E" w:rsidRPr="00E3655F" w:rsidTr="00A47AE2">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15</w:t>
            </w:r>
          </w:p>
        </w:tc>
        <w:tc>
          <w:tcPr>
            <w:tcW w:w="4138"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r>
      <w:tr w:rsidR="00530E7E" w:rsidRPr="00E3655F" w:rsidTr="00A47AE2">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530E7E" w:rsidRPr="00E3655F" w:rsidRDefault="00530E7E" w:rsidP="00A47AE2">
            <w:pPr>
              <w:widowControl/>
              <w:jc w:val="center"/>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16</w:t>
            </w:r>
          </w:p>
        </w:tc>
        <w:tc>
          <w:tcPr>
            <w:tcW w:w="4138"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tcPr>
          <w:p w:rsidR="00530E7E" w:rsidRPr="00E3655F" w:rsidRDefault="00530E7E" w:rsidP="00A47AE2">
            <w:pPr>
              <w:widowControl/>
              <w:jc w:val="left"/>
              <w:rPr>
                <w:rFonts w:ascii="仿宋_GB2312" w:eastAsia="仿宋_GB2312" w:hAnsi="仿宋_GB2312" w:cs="仿宋_GB2312"/>
                <w:color w:val="000000"/>
                <w:kern w:val="0"/>
                <w:sz w:val="22"/>
                <w:szCs w:val="22"/>
              </w:rPr>
            </w:pPr>
            <w:r w:rsidRPr="00E3655F">
              <w:rPr>
                <w:rFonts w:ascii="仿宋_GB2312" w:eastAsia="仿宋_GB2312" w:hAnsi="仿宋_GB2312" w:cs="仿宋_GB2312" w:hint="eastAsia"/>
                <w:color w:val="000000"/>
                <w:kern w:val="0"/>
                <w:sz w:val="22"/>
                <w:szCs w:val="22"/>
              </w:rPr>
              <w:t xml:space="preserve">　</w:t>
            </w:r>
          </w:p>
        </w:tc>
      </w:tr>
    </w:tbl>
    <w:p w:rsidR="00530E7E" w:rsidRPr="00E3655F" w:rsidRDefault="00530E7E" w:rsidP="00530E7E">
      <w:pPr>
        <w:rPr>
          <w:rFonts w:ascii="仿宋_GB2312" w:eastAsia="仿宋_GB2312"/>
        </w:rPr>
      </w:pPr>
      <w:r w:rsidRPr="00E3655F">
        <w:rPr>
          <w:rFonts w:ascii="仿宋_GB2312" w:eastAsia="仿宋_GB2312" w:hint="eastAsia"/>
        </w:rPr>
        <w:t>备注：发生授权变更后，各分行应在合</w:t>
      </w:r>
      <w:proofErr w:type="gramStart"/>
      <w:r w:rsidRPr="00E3655F">
        <w:rPr>
          <w:rFonts w:ascii="仿宋_GB2312" w:eastAsia="仿宋_GB2312" w:hint="eastAsia"/>
        </w:rPr>
        <w:t>规</w:t>
      </w:r>
      <w:proofErr w:type="gramEnd"/>
      <w:r w:rsidRPr="00E3655F">
        <w:rPr>
          <w:rFonts w:ascii="仿宋_GB2312" w:eastAsia="仿宋_GB2312" w:hint="eastAsia"/>
        </w:rPr>
        <w:t>部保管的授权书中登记授权</w:t>
      </w:r>
      <w:r w:rsidRPr="00E3655F">
        <w:rPr>
          <w:rFonts w:ascii="仿宋_GB2312" w:eastAsia="仿宋_GB2312"/>
        </w:rPr>
        <w:t>变更信息</w:t>
      </w:r>
      <w:r w:rsidRPr="00E3655F">
        <w:rPr>
          <w:rFonts w:ascii="仿宋_GB2312" w:eastAsia="仿宋_GB2312" w:hint="eastAsia"/>
        </w:rPr>
        <w:t>。</w:t>
      </w:r>
    </w:p>
    <w:p w:rsidR="00535782" w:rsidRPr="00530E7E" w:rsidRDefault="00535782">
      <w:pPr>
        <w:autoSpaceDE w:val="0"/>
        <w:autoSpaceDN w:val="0"/>
        <w:adjustRightInd w:val="0"/>
        <w:snapToGrid w:val="0"/>
        <w:spacing w:line="560" w:lineRule="atLeast"/>
        <w:ind w:firstLineChars="200" w:firstLine="688"/>
        <w:jc w:val="center"/>
        <w:rPr>
          <w:rFonts w:ascii="仿宋" w:eastAsia="仿宋" w:hAnsi="仿宋"/>
          <w:spacing w:val="12"/>
          <w:sz w:val="32"/>
          <w:szCs w:val="32"/>
        </w:rPr>
      </w:pPr>
      <w:bookmarkStart w:id="1" w:name="_GoBack"/>
      <w:bookmarkEnd w:id="1"/>
    </w:p>
    <w:sectPr w:rsidR="00535782" w:rsidRPr="00530E7E">
      <w:headerReference w:type="default" r:id="rId11"/>
      <w:footerReference w:type="even" r:id="rId12"/>
      <w:footerReference w:type="default" r:id="rId13"/>
      <w:pgSz w:w="11906" w:h="16838"/>
      <w:pgMar w:top="2098" w:right="1474" w:bottom="1985" w:left="1531"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F9D" w:rsidRDefault="003C1F9D">
      <w:r>
        <w:separator/>
      </w:r>
    </w:p>
  </w:endnote>
  <w:endnote w:type="continuationSeparator" w:id="0">
    <w:p w:rsidR="003C1F9D" w:rsidRDefault="003C1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昆仑楷体">
    <w:altName w:val="黑体"/>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彩虹粗仿宋">
    <w:altName w:val="宋体"/>
    <w:charset w:val="86"/>
    <w:family w:val="roman"/>
    <w:pitch w:val="default"/>
    <w:sig w:usb0="00000000" w:usb1="00000000" w:usb2="00000000"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方正小标宋简体">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185060"/>
    </w:sdtPr>
    <w:sdtEndPr/>
    <w:sdtContent>
      <w:p w:rsidR="00535782" w:rsidRDefault="00A84B67">
        <w:pPr>
          <w:pStyle w:val="aa"/>
          <w:jc w:val="center"/>
        </w:pPr>
        <w:r>
          <w:fldChar w:fldCharType="begin"/>
        </w:r>
        <w:r>
          <w:instrText>PAGE   \* MERGEFORMAT</w:instrText>
        </w:r>
        <w:r>
          <w:fldChar w:fldCharType="separate"/>
        </w:r>
        <w:r>
          <w:rPr>
            <w:lang w:val="zh-CN"/>
          </w:rPr>
          <w:t>9</w:t>
        </w:r>
        <w:r>
          <w:fldChar w:fldCharType="end"/>
        </w:r>
      </w:p>
    </w:sdtContent>
  </w:sdt>
  <w:p w:rsidR="00535782" w:rsidRDefault="00535782">
    <w:pPr>
      <w:pStyle w:val="NewNewNewNewNewNewNewNewNewNewNewNewNew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782" w:rsidRDefault="00A84B67">
    <w:pPr>
      <w:pStyle w:val="NewNewNewNewNewNewNewNewNewNewNewNewNew0"/>
      <w:framePr w:wrap="around" w:vAnchor="text" w:hAnchor="margin" w:xAlign="right" w:y="1"/>
      <w:rPr>
        <w:rStyle w:val="af"/>
      </w:rPr>
    </w:pPr>
    <w:r>
      <w:fldChar w:fldCharType="begin"/>
    </w:r>
    <w:r>
      <w:rPr>
        <w:rStyle w:val="af"/>
      </w:rPr>
      <w:instrText xml:space="preserve">PAGE  </w:instrText>
    </w:r>
    <w:r>
      <w:fldChar w:fldCharType="end"/>
    </w:r>
  </w:p>
  <w:p w:rsidR="00535782" w:rsidRDefault="00535782">
    <w:pPr>
      <w:pStyle w:val="NewNewNewNewNewNewNewNewNewNewNewNewNew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782" w:rsidRDefault="00A84B67">
    <w:pPr>
      <w:pStyle w:val="NewNewNewNewNewNewNewNewNewNewNewNewNew0"/>
      <w:jc w:val="center"/>
    </w:pPr>
    <w:r>
      <w:fldChar w:fldCharType="begin"/>
    </w:r>
    <w:r>
      <w:instrText>PAGE   \* MERGEFORMAT</w:instrText>
    </w:r>
    <w:r>
      <w:fldChar w:fldCharType="separate"/>
    </w:r>
    <w:r w:rsidR="00530E7E" w:rsidRPr="00530E7E">
      <w:rPr>
        <w:noProof/>
        <w:lang w:val="zh-CN"/>
      </w:rPr>
      <w:t>12</w:t>
    </w:r>
    <w:r>
      <w:fldChar w:fldCharType="end"/>
    </w:r>
  </w:p>
  <w:p w:rsidR="00535782" w:rsidRDefault="00535782">
    <w:pPr>
      <w:pStyle w:val="NewNewNewNewNewNewNewNewNewNewNewNewNew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F9D" w:rsidRDefault="003C1F9D">
      <w:r>
        <w:separator/>
      </w:r>
    </w:p>
  </w:footnote>
  <w:footnote w:type="continuationSeparator" w:id="0">
    <w:p w:rsidR="003C1F9D" w:rsidRDefault="003C1F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782" w:rsidRDefault="00A84B67">
    <w:pPr>
      <w:pStyle w:val="ab"/>
    </w:pPr>
    <w:r>
      <w:rPr>
        <w:rFonts w:hint="eastAsia"/>
        <w:b/>
      </w:rPr>
      <w:t>中信银行</w:t>
    </w:r>
    <w:r>
      <w:rPr>
        <w:b/>
      </w:rPr>
      <w:t>股份有限公司</w:t>
    </w:r>
    <w:r>
      <w:rPr>
        <w:rFonts w:hint="eastAsia"/>
        <w:b/>
      </w:rPr>
      <w:t>2020</w:t>
    </w:r>
    <w:r>
      <w:rPr>
        <w:rFonts w:hint="eastAsia"/>
        <w:b/>
      </w:rPr>
      <w:t>年度授权书（伦敦分行）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782" w:rsidRDefault="00A84B67">
    <w:pPr>
      <w:pStyle w:val="ab"/>
    </w:pPr>
    <w:r>
      <w:rPr>
        <w:rFonts w:hint="eastAsia"/>
        <w:b/>
      </w:rPr>
      <w:t>中信银行</w:t>
    </w:r>
    <w:r>
      <w:rPr>
        <w:b/>
      </w:rPr>
      <w:t>股份有限公司</w:t>
    </w:r>
    <w:r>
      <w:rPr>
        <w:rFonts w:hint="eastAsia"/>
        <w:b/>
      </w:rPr>
      <w:t>202</w:t>
    </w:r>
    <w:r>
      <w:rPr>
        <w:b/>
      </w:rPr>
      <w:t>1</w:t>
    </w:r>
    <w:r>
      <w:rPr>
        <w:rFonts w:hint="eastAsia"/>
        <w:b/>
      </w:rPr>
      <w:t>年度授权书（伦敦分行）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339"/>
    <w:rsid w:val="00003FC3"/>
    <w:rsid w:val="0001466B"/>
    <w:rsid w:val="000417D6"/>
    <w:rsid w:val="000446D8"/>
    <w:rsid w:val="000524A2"/>
    <w:rsid w:val="0005274E"/>
    <w:rsid w:val="000809F7"/>
    <w:rsid w:val="000909C4"/>
    <w:rsid w:val="000A130F"/>
    <w:rsid w:val="000A7542"/>
    <w:rsid w:val="000B0D27"/>
    <w:rsid w:val="000B2CBA"/>
    <w:rsid w:val="000C148C"/>
    <w:rsid w:val="000D66A4"/>
    <w:rsid w:val="000F247E"/>
    <w:rsid w:val="000F3F6E"/>
    <w:rsid w:val="00116AD6"/>
    <w:rsid w:val="00135A28"/>
    <w:rsid w:val="00136DF5"/>
    <w:rsid w:val="00145A1E"/>
    <w:rsid w:val="00167C80"/>
    <w:rsid w:val="00170899"/>
    <w:rsid w:val="00172A27"/>
    <w:rsid w:val="001A056D"/>
    <w:rsid w:val="001B35C5"/>
    <w:rsid w:val="001B5E90"/>
    <w:rsid w:val="001B6E39"/>
    <w:rsid w:val="001E0C34"/>
    <w:rsid w:val="001E46E0"/>
    <w:rsid w:val="001F0184"/>
    <w:rsid w:val="001F4E38"/>
    <w:rsid w:val="001F5BC8"/>
    <w:rsid w:val="001F7CE5"/>
    <w:rsid w:val="002044C8"/>
    <w:rsid w:val="00210A7D"/>
    <w:rsid w:val="0022058E"/>
    <w:rsid w:val="0022278D"/>
    <w:rsid w:val="00225385"/>
    <w:rsid w:val="00230644"/>
    <w:rsid w:val="002419DE"/>
    <w:rsid w:val="00252AAD"/>
    <w:rsid w:val="00263E39"/>
    <w:rsid w:val="0027173E"/>
    <w:rsid w:val="002718C2"/>
    <w:rsid w:val="00281066"/>
    <w:rsid w:val="0028232E"/>
    <w:rsid w:val="002B6712"/>
    <w:rsid w:val="002C22C0"/>
    <w:rsid w:val="002E1E81"/>
    <w:rsid w:val="002F79DB"/>
    <w:rsid w:val="0031285A"/>
    <w:rsid w:val="003206A3"/>
    <w:rsid w:val="003276AC"/>
    <w:rsid w:val="003374E6"/>
    <w:rsid w:val="00353E25"/>
    <w:rsid w:val="00361A6A"/>
    <w:rsid w:val="0036246C"/>
    <w:rsid w:val="00374918"/>
    <w:rsid w:val="003A37BE"/>
    <w:rsid w:val="003B53DA"/>
    <w:rsid w:val="003C1535"/>
    <w:rsid w:val="003C1F9D"/>
    <w:rsid w:val="003C3E36"/>
    <w:rsid w:val="003D0B4B"/>
    <w:rsid w:val="003D5588"/>
    <w:rsid w:val="003E1574"/>
    <w:rsid w:val="003F0426"/>
    <w:rsid w:val="003F61A8"/>
    <w:rsid w:val="00423DAC"/>
    <w:rsid w:val="004319E8"/>
    <w:rsid w:val="0043774D"/>
    <w:rsid w:val="00443EE1"/>
    <w:rsid w:val="00452AA1"/>
    <w:rsid w:val="00464E5A"/>
    <w:rsid w:val="004C2A1B"/>
    <w:rsid w:val="004C5C65"/>
    <w:rsid w:val="004E1D7A"/>
    <w:rsid w:val="004F09F0"/>
    <w:rsid w:val="004F2443"/>
    <w:rsid w:val="00504F07"/>
    <w:rsid w:val="00515A3C"/>
    <w:rsid w:val="00516BA8"/>
    <w:rsid w:val="00530E7E"/>
    <w:rsid w:val="00531ACC"/>
    <w:rsid w:val="00535782"/>
    <w:rsid w:val="00537139"/>
    <w:rsid w:val="00543852"/>
    <w:rsid w:val="00555940"/>
    <w:rsid w:val="00563353"/>
    <w:rsid w:val="005762CA"/>
    <w:rsid w:val="005864E2"/>
    <w:rsid w:val="005950BF"/>
    <w:rsid w:val="00595F21"/>
    <w:rsid w:val="00596575"/>
    <w:rsid w:val="005A5542"/>
    <w:rsid w:val="005D7FDD"/>
    <w:rsid w:val="005E7D52"/>
    <w:rsid w:val="005F3117"/>
    <w:rsid w:val="005F6960"/>
    <w:rsid w:val="005F7027"/>
    <w:rsid w:val="00604E6E"/>
    <w:rsid w:val="00614609"/>
    <w:rsid w:val="00623537"/>
    <w:rsid w:val="00632921"/>
    <w:rsid w:val="00642E41"/>
    <w:rsid w:val="00643DB7"/>
    <w:rsid w:val="00655588"/>
    <w:rsid w:val="006572E1"/>
    <w:rsid w:val="00662D03"/>
    <w:rsid w:val="00683367"/>
    <w:rsid w:val="006A1914"/>
    <w:rsid w:val="006B5B38"/>
    <w:rsid w:val="006E03BC"/>
    <w:rsid w:val="0071233A"/>
    <w:rsid w:val="00733AEC"/>
    <w:rsid w:val="00735B6E"/>
    <w:rsid w:val="0073673C"/>
    <w:rsid w:val="007464CC"/>
    <w:rsid w:val="0077439C"/>
    <w:rsid w:val="0077555A"/>
    <w:rsid w:val="0077690F"/>
    <w:rsid w:val="00784B67"/>
    <w:rsid w:val="00787C9E"/>
    <w:rsid w:val="0079321A"/>
    <w:rsid w:val="007964EA"/>
    <w:rsid w:val="0079661E"/>
    <w:rsid w:val="007976A7"/>
    <w:rsid w:val="007A4347"/>
    <w:rsid w:val="007A6BF3"/>
    <w:rsid w:val="007C0396"/>
    <w:rsid w:val="007C0B97"/>
    <w:rsid w:val="007D52A5"/>
    <w:rsid w:val="007D618E"/>
    <w:rsid w:val="007E3BDB"/>
    <w:rsid w:val="007E4A4B"/>
    <w:rsid w:val="007E6278"/>
    <w:rsid w:val="007E7538"/>
    <w:rsid w:val="007F09D1"/>
    <w:rsid w:val="007F4522"/>
    <w:rsid w:val="0081116C"/>
    <w:rsid w:val="0082247F"/>
    <w:rsid w:val="00825CCE"/>
    <w:rsid w:val="00851E90"/>
    <w:rsid w:val="00852E9C"/>
    <w:rsid w:val="0085738C"/>
    <w:rsid w:val="008602B3"/>
    <w:rsid w:val="008724E3"/>
    <w:rsid w:val="008743B9"/>
    <w:rsid w:val="008C039A"/>
    <w:rsid w:val="008C0B45"/>
    <w:rsid w:val="008C414B"/>
    <w:rsid w:val="008D187D"/>
    <w:rsid w:val="008D2FDD"/>
    <w:rsid w:val="008D3281"/>
    <w:rsid w:val="008D62C3"/>
    <w:rsid w:val="008F2C66"/>
    <w:rsid w:val="00912143"/>
    <w:rsid w:val="00916933"/>
    <w:rsid w:val="00920D5C"/>
    <w:rsid w:val="0092249D"/>
    <w:rsid w:val="009239BD"/>
    <w:rsid w:val="00927BB2"/>
    <w:rsid w:val="00934C19"/>
    <w:rsid w:val="0094033C"/>
    <w:rsid w:val="0095551A"/>
    <w:rsid w:val="00982997"/>
    <w:rsid w:val="009A6B20"/>
    <w:rsid w:val="009B4F29"/>
    <w:rsid w:val="009B6189"/>
    <w:rsid w:val="009B7171"/>
    <w:rsid w:val="009B7FC6"/>
    <w:rsid w:val="009E4136"/>
    <w:rsid w:val="009E7200"/>
    <w:rsid w:val="009F1BF3"/>
    <w:rsid w:val="00A05F92"/>
    <w:rsid w:val="00A10CD5"/>
    <w:rsid w:val="00A121FA"/>
    <w:rsid w:val="00A14A13"/>
    <w:rsid w:val="00A254EC"/>
    <w:rsid w:val="00A33AF1"/>
    <w:rsid w:val="00A36976"/>
    <w:rsid w:val="00A40614"/>
    <w:rsid w:val="00A670E8"/>
    <w:rsid w:val="00A74500"/>
    <w:rsid w:val="00A75D7A"/>
    <w:rsid w:val="00A84B67"/>
    <w:rsid w:val="00A922DC"/>
    <w:rsid w:val="00A928F1"/>
    <w:rsid w:val="00A931E0"/>
    <w:rsid w:val="00A97DFD"/>
    <w:rsid w:val="00AA12EF"/>
    <w:rsid w:val="00AB4AAF"/>
    <w:rsid w:val="00AE0C22"/>
    <w:rsid w:val="00AE330F"/>
    <w:rsid w:val="00AF7C16"/>
    <w:rsid w:val="00B01157"/>
    <w:rsid w:val="00B05AB5"/>
    <w:rsid w:val="00B21177"/>
    <w:rsid w:val="00B25D9D"/>
    <w:rsid w:val="00B504D1"/>
    <w:rsid w:val="00B578A8"/>
    <w:rsid w:val="00B62757"/>
    <w:rsid w:val="00B73735"/>
    <w:rsid w:val="00B80910"/>
    <w:rsid w:val="00B80E47"/>
    <w:rsid w:val="00B86DAF"/>
    <w:rsid w:val="00BA122B"/>
    <w:rsid w:val="00BB4373"/>
    <w:rsid w:val="00BC48AF"/>
    <w:rsid w:val="00BE7963"/>
    <w:rsid w:val="00BF4E6B"/>
    <w:rsid w:val="00C00C56"/>
    <w:rsid w:val="00C10A49"/>
    <w:rsid w:val="00C26CFC"/>
    <w:rsid w:val="00C5600B"/>
    <w:rsid w:val="00C609E5"/>
    <w:rsid w:val="00C86678"/>
    <w:rsid w:val="00CB0A75"/>
    <w:rsid w:val="00CB663C"/>
    <w:rsid w:val="00CD2932"/>
    <w:rsid w:val="00CE3B51"/>
    <w:rsid w:val="00CF1746"/>
    <w:rsid w:val="00CF1A6B"/>
    <w:rsid w:val="00D00D0D"/>
    <w:rsid w:val="00D01836"/>
    <w:rsid w:val="00D20C43"/>
    <w:rsid w:val="00D60DF4"/>
    <w:rsid w:val="00D63A47"/>
    <w:rsid w:val="00D740D0"/>
    <w:rsid w:val="00D8466A"/>
    <w:rsid w:val="00D96728"/>
    <w:rsid w:val="00DA1520"/>
    <w:rsid w:val="00DC5714"/>
    <w:rsid w:val="00DD0984"/>
    <w:rsid w:val="00DD141A"/>
    <w:rsid w:val="00DD1827"/>
    <w:rsid w:val="00DD41EA"/>
    <w:rsid w:val="00DD75D1"/>
    <w:rsid w:val="00DE2B96"/>
    <w:rsid w:val="00DF2AA5"/>
    <w:rsid w:val="00DF710F"/>
    <w:rsid w:val="00E074C6"/>
    <w:rsid w:val="00E16CE6"/>
    <w:rsid w:val="00E218E8"/>
    <w:rsid w:val="00E25B06"/>
    <w:rsid w:val="00E271CD"/>
    <w:rsid w:val="00E600B5"/>
    <w:rsid w:val="00E66BCA"/>
    <w:rsid w:val="00E74D46"/>
    <w:rsid w:val="00E769FF"/>
    <w:rsid w:val="00E90A6F"/>
    <w:rsid w:val="00E932F6"/>
    <w:rsid w:val="00E97443"/>
    <w:rsid w:val="00E978DD"/>
    <w:rsid w:val="00EB4029"/>
    <w:rsid w:val="00EC0598"/>
    <w:rsid w:val="00ED2A61"/>
    <w:rsid w:val="00ED7389"/>
    <w:rsid w:val="00EE7ED9"/>
    <w:rsid w:val="00F12CDD"/>
    <w:rsid w:val="00F14351"/>
    <w:rsid w:val="00F143C8"/>
    <w:rsid w:val="00F24A99"/>
    <w:rsid w:val="00F33617"/>
    <w:rsid w:val="00F35652"/>
    <w:rsid w:val="00F56189"/>
    <w:rsid w:val="00F6367F"/>
    <w:rsid w:val="00F74BDB"/>
    <w:rsid w:val="00F80FE3"/>
    <w:rsid w:val="00F85933"/>
    <w:rsid w:val="00FB1634"/>
    <w:rsid w:val="00FB48D3"/>
    <w:rsid w:val="00FC3B1E"/>
    <w:rsid w:val="00FE3716"/>
    <w:rsid w:val="00FF698F"/>
    <w:rsid w:val="1E03211B"/>
    <w:rsid w:val="3B9E1D49"/>
    <w:rsid w:val="3DC63748"/>
    <w:rsid w:val="417020DF"/>
    <w:rsid w:val="419B7C39"/>
    <w:rsid w:val="75DA1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601DA41-E7EB-45D9-8684-149FA13C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1" w:unhideWhenUsed="1"/>
    <w:lsdException w:name="footnote text" w:qFormat="1"/>
    <w:lsdException w:name="annotation text"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unhideWhenUsed="1" w:qFormat="1"/>
    <w:lsdException w:name="Strong" w:uiPriority="22" w:qFormat="1"/>
    <w:lsdException w:name="Emphasis" w:uiPriority="20" w:qFormat="1"/>
    <w:lsdException w:name="Document Map" w:uiPriority="0"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uiPriority="0" w:unhideWhenUsed="1" w:qFormat="1"/>
    <w:lsdException w:name="HTML Code"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iPriority="0" w:unhideWhenUsed="1" w:qFormat="1"/>
    <w:lsdException w:name="Normal Table" w:semiHidden="1" w:unhideWhenUsed="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340" w:after="330" w:line="576"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3" w:lineRule="auto"/>
      <w:outlineLvl w:val="2"/>
    </w:pPr>
    <w:rPr>
      <w:b/>
      <w:bCs/>
      <w:sz w:val="32"/>
      <w:szCs w:val="32"/>
    </w:rPr>
  </w:style>
  <w:style w:type="paragraph" w:styleId="4">
    <w:name w:val="heading 4"/>
    <w:basedOn w:val="a"/>
    <w:next w:val="a"/>
    <w:link w:val="4Char"/>
    <w:uiPriority w:val="9"/>
    <w:unhideWhenUsed/>
    <w:qFormat/>
    <w:pPr>
      <w:keepNext/>
      <w:keepLines/>
      <w:spacing w:line="560" w:lineRule="exact"/>
      <w:ind w:firstLineChars="200" w:firstLine="880"/>
      <w:outlineLvl w:val="3"/>
    </w:pPr>
    <w:rPr>
      <w:rFonts w:ascii="Calibri Light" w:eastAsia="楷体_GB2312" w:hAnsi="Calibri Light" w:cs="黑体"/>
      <w:b/>
      <w:bCs/>
      <w:sz w:val="32"/>
      <w:szCs w:val="28"/>
    </w:rPr>
  </w:style>
  <w:style w:type="paragraph" w:styleId="5">
    <w:name w:val="heading 5"/>
    <w:basedOn w:val="a"/>
    <w:next w:val="a"/>
    <w:link w:val="5Char"/>
    <w:uiPriority w:val="9"/>
    <w:unhideWhenUsed/>
    <w:qFormat/>
    <w:pPr>
      <w:keepNext/>
      <w:keepLines/>
      <w:spacing w:before="280" w:after="290" w:line="376" w:lineRule="auto"/>
      <w:outlineLvl w:val="4"/>
    </w:pPr>
    <w:rPr>
      <w:rFonts w:ascii="Calibri" w:eastAsia="仿宋_GB2312" w:hAnsi="Calibri" w:cs="黑体"/>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Calibri Light" w:hAnsi="Calibri Light" w:cs="黑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qFormat/>
    <w:rPr>
      <w:b/>
      <w:bCs/>
    </w:rPr>
  </w:style>
  <w:style w:type="paragraph" w:styleId="a4">
    <w:name w:val="annotation text"/>
    <w:basedOn w:val="a"/>
    <w:link w:val="Char0"/>
    <w:uiPriority w:val="99"/>
    <w:qFormat/>
    <w:pPr>
      <w:jc w:val="left"/>
    </w:pPr>
  </w:style>
  <w:style w:type="paragraph" w:styleId="7">
    <w:name w:val="toc 7"/>
    <w:basedOn w:val="a"/>
    <w:next w:val="a"/>
    <w:qFormat/>
    <w:pPr>
      <w:ind w:left="1260"/>
      <w:jc w:val="left"/>
    </w:pPr>
    <w:rPr>
      <w:rFonts w:ascii="Calibri" w:hAnsi="Calibri" w:cs="Calibri"/>
      <w:sz w:val="18"/>
      <w:szCs w:val="18"/>
    </w:rPr>
  </w:style>
  <w:style w:type="paragraph" w:styleId="a5">
    <w:name w:val="Document Map"/>
    <w:basedOn w:val="a"/>
    <w:link w:val="Char1"/>
    <w:qFormat/>
    <w:pPr>
      <w:shd w:val="clear" w:color="auto" w:fill="000080"/>
    </w:pPr>
    <w:rPr>
      <w:shd w:val="clear" w:color="auto" w:fill="000080"/>
    </w:rPr>
  </w:style>
  <w:style w:type="paragraph" w:styleId="a6">
    <w:name w:val="Body Text Indent"/>
    <w:basedOn w:val="a"/>
    <w:link w:val="Char2"/>
    <w:qFormat/>
    <w:pPr>
      <w:ind w:firstLineChars="192" w:firstLine="538"/>
    </w:pPr>
    <w:rPr>
      <w:rFonts w:ascii="仿宋_GB2312" w:eastAsia="仿宋_GB2312"/>
      <w:sz w:val="28"/>
    </w:rPr>
  </w:style>
  <w:style w:type="paragraph" w:styleId="50">
    <w:name w:val="toc 5"/>
    <w:basedOn w:val="a"/>
    <w:next w:val="a"/>
    <w:qFormat/>
    <w:pPr>
      <w:ind w:left="840"/>
      <w:jc w:val="left"/>
    </w:pPr>
    <w:rPr>
      <w:rFonts w:ascii="Calibri" w:hAnsi="Calibri" w:cs="Calibri"/>
      <w:sz w:val="18"/>
      <w:szCs w:val="18"/>
    </w:rPr>
  </w:style>
  <w:style w:type="paragraph" w:styleId="30">
    <w:name w:val="toc 3"/>
    <w:basedOn w:val="a"/>
    <w:next w:val="a"/>
    <w:uiPriority w:val="39"/>
    <w:qFormat/>
    <w:pPr>
      <w:ind w:left="420"/>
      <w:jc w:val="left"/>
    </w:pPr>
    <w:rPr>
      <w:rFonts w:ascii="Calibri" w:hAnsi="Calibri" w:cs="Calibri"/>
      <w:i/>
      <w:iCs/>
      <w:sz w:val="20"/>
    </w:rPr>
  </w:style>
  <w:style w:type="paragraph" w:styleId="a7">
    <w:name w:val="Plain Text"/>
    <w:basedOn w:val="a"/>
    <w:link w:val="Char3"/>
    <w:uiPriority w:val="99"/>
    <w:unhideWhenUsed/>
    <w:qFormat/>
    <w:pPr>
      <w:jc w:val="left"/>
    </w:pPr>
    <w:rPr>
      <w:rFonts w:ascii="Calibri" w:hAnsi="Courier New" w:cs="Courier New"/>
      <w:szCs w:val="21"/>
    </w:rPr>
  </w:style>
  <w:style w:type="paragraph" w:styleId="8">
    <w:name w:val="toc 8"/>
    <w:basedOn w:val="a"/>
    <w:next w:val="a"/>
    <w:qFormat/>
    <w:pPr>
      <w:ind w:left="1470"/>
      <w:jc w:val="left"/>
    </w:pPr>
    <w:rPr>
      <w:rFonts w:ascii="Calibri" w:hAnsi="Calibri" w:cs="Calibri"/>
      <w:sz w:val="18"/>
      <w:szCs w:val="18"/>
    </w:rPr>
  </w:style>
  <w:style w:type="paragraph" w:styleId="a8">
    <w:name w:val="Date"/>
    <w:basedOn w:val="a"/>
    <w:next w:val="a"/>
    <w:link w:val="Char4"/>
    <w:qFormat/>
    <w:pPr>
      <w:ind w:leftChars="2500" w:left="100"/>
    </w:pPr>
    <w:rPr>
      <w:sz w:val="28"/>
      <w:szCs w:val="28"/>
      <w:lang w:val="zh-CN"/>
    </w:rPr>
  </w:style>
  <w:style w:type="paragraph" w:styleId="a9">
    <w:name w:val="Balloon Text"/>
    <w:basedOn w:val="a"/>
    <w:link w:val="Char5"/>
    <w:uiPriority w:val="99"/>
    <w:qFormat/>
    <w:rPr>
      <w:sz w:val="18"/>
      <w:szCs w:val="18"/>
    </w:rPr>
  </w:style>
  <w:style w:type="paragraph" w:styleId="aa">
    <w:name w:val="footer"/>
    <w:basedOn w:val="a"/>
    <w:link w:val="Char6"/>
    <w:uiPriority w:val="99"/>
    <w:qFormat/>
    <w:pPr>
      <w:tabs>
        <w:tab w:val="center" w:pos="4153"/>
        <w:tab w:val="right" w:pos="8306"/>
      </w:tabs>
      <w:snapToGrid w:val="0"/>
      <w:jc w:val="left"/>
    </w:pPr>
    <w:rPr>
      <w:sz w:val="18"/>
    </w:rPr>
  </w:style>
  <w:style w:type="paragraph" w:styleId="ab">
    <w:name w:val="header"/>
    <w:basedOn w:val="a"/>
    <w:link w:val="Char7"/>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rFonts w:ascii="Calibri" w:hAnsi="Calibri" w:cs="Calibri"/>
      <w:b/>
      <w:bCs/>
      <w:caps/>
      <w:sz w:val="20"/>
    </w:rPr>
  </w:style>
  <w:style w:type="paragraph" w:styleId="40">
    <w:name w:val="toc 4"/>
    <w:basedOn w:val="a"/>
    <w:next w:val="a"/>
    <w:qFormat/>
    <w:pPr>
      <w:ind w:left="630"/>
      <w:jc w:val="left"/>
    </w:pPr>
    <w:rPr>
      <w:rFonts w:ascii="Calibri" w:hAnsi="Calibri" w:cs="Calibri"/>
      <w:sz w:val="18"/>
      <w:szCs w:val="18"/>
    </w:rPr>
  </w:style>
  <w:style w:type="paragraph" w:styleId="ac">
    <w:name w:val="footnote text"/>
    <w:basedOn w:val="a"/>
    <w:link w:val="Char8"/>
    <w:uiPriority w:val="99"/>
    <w:qFormat/>
    <w:pPr>
      <w:snapToGrid w:val="0"/>
      <w:jc w:val="left"/>
    </w:pPr>
    <w:rPr>
      <w:rFonts w:ascii="Calibri" w:hAnsi="Calibri"/>
      <w:sz w:val="18"/>
      <w:szCs w:val="18"/>
    </w:rPr>
  </w:style>
  <w:style w:type="paragraph" w:styleId="60">
    <w:name w:val="toc 6"/>
    <w:basedOn w:val="a"/>
    <w:next w:val="a"/>
    <w:qFormat/>
    <w:pPr>
      <w:ind w:left="1050"/>
      <w:jc w:val="left"/>
    </w:pPr>
    <w:rPr>
      <w:rFonts w:ascii="Calibri" w:hAnsi="Calibri" w:cs="Calibri"/>
      <w:sz w:val="18"/>
      <w:szCs w:val="18"/>
    </w:rPr>
  </w:style>
  <w:style w:type="paragraph" w:styleId="20">
    <w:name w:val="toc 2"/>
    <w:basedOn w:val="a"/>
    <w:next w:val="a"/>
    <w:uiPriority w:val="39"/>
    <w:qFormat/>
    <w:pPr>
      <w:ind w:left="210"/>
      <w:jc w:val="left"/>
    </w:pPr>
    <w:rPr>
      <w:rFonts w:ascii="Calibri" w:hAnsi="Calibri" w:cs="Calibri"/>
      <w:smallCaps/>
      <w:sz w:val="20"/>
    </w:rPr>
  </w:style>
  <w:style w:type="paragraph" w:styleId="9">
    <w:name w:val="toc 9"/>
    <w:basedOn w:val="a"/>
    <w:next w:val="a"/>
    <w:qFormat/>
    <w:pPr>
      <w:ind w:left="1680"/>
      <w:jc w:val="left"/>
    </w:pPr>
    <w:rPr>
      <w:rFonts w:ascii="Calibri" w:hAnsi="Calibri" w:cs="Calibri"/>
      <w:sz w:val="18"/>
      <w:szCs w:val="18"/>
    </w:rPr>
  </w:style>
  <w:style w:type="paragraph" w:styleId="ad">
    <w:name w:val="Normal (Web)"/>
    <w:basedOn w:val="a"/>
    <w:uiPriority w:val="99"/>
    <w:unhideWhenUsed/>
    <w:qFormat/>
    <w:pPr>
      <w:jc w:val="left"/>
    </w:pPr>
    <w:rPr>
      <w:rFonts w:eastAsia="仿宋_GB2312"/>
      <w:kern w:val="0"/>
      <w:sz w:val="24"/>
      <w:szCs w:val="32"/>
    </w:rPr>
  </w:style>
  <w:style w:type="character" w:styleId="ae">
    <w:name w:val="Strong"/>
    <w:uiPriority w:val="22"/>
    <w:qFormat/>
    <w:rPr>
      <w:b/>
    </w:rPr>
  </w:style>
  <w:style w:type="character" w:styleId="af">
    <w:name w:val="page number"/>
    <w:basedOn w:val="a0"/>
    <w:qFormat/>
  </w:style>
  <w:style w:type="character" w:styleId="af0">
    <w:name w:val="FollowedHyperlink"/>
    <w:unhideWhenUsed/>
    <w:qFormat/>
    <w:rPr>
      <w:color w:val="333333"/>
      <w:u w:val="none"/>
    </w:rPr>
  </w:style>
  <w:style w:type="character" w:styleId="af1">
    <w:name w:val="Emphasis"/>
    <w:uiPriority w:val="20"/>
    <w:qFormat/>
  </w:style>
  <w:style w:type="character" w:styleId="HTML">
    <w:name w:val="HTML Variable"/>
    <w:unhideWhenUsed/>
    <w:qFormat/>
    <w:rPr>
      <w:i/>
    </w:rPr>
  </w:style>
  <w:style w:type="character" w:styleId="af2">
    <w:name w:val="Hyperlink"/>
    <w:uiPriority w:val="99"/>
    <w:qFormat/>
    <w:rPr>
      <w:color w:val="0000FF"/>
      <w:u w:val="single"/>
    </w:rPr>
  </w:style>
  <w:style w:type="character" w:styleId="HTML0">
    <w:name w:val="HTML Code"/>
    <w:unhideWhenUsed/>
    <w:qFormat/>
    <w:rPr>
      <w:rFonts w:ascii="Courier New" w:hAnsi="Courier New"/>
      <w:sz w:val="20"/>
    </w:rPr>
  </w:style>
  <w:style w:type="character" w:styleId="af3">
    <w:name w:val="annotation reference"/>
    <w:uiPriority w:val="99"/>
    <w:qFormat/>
    <w:rPr>
      <w:sz w:val="21"/>
      <w:szCs w:val="21"/>
    </w:rPr>
  </w:style>
  <w:style w:type="character" w:styleId="HTML1">
    <w:name w:val="HTML Cite"/>
    <w:unhideWhenUsed/>
    <w:qFormat/>
    <w:rPr>
      <w:i/>
    </w:rPr>
  </w:style>
  <w:style w:type="character" w:styleId="af4">
    <w:name w:val="footnote reference"/>
    <w:uiPriority w:val="99"/>
    <w:qFormat/>
    <w:rPr>
      <w:vertAlign w:val="superscript"/>
    </w:rPr>
  </w:style>
  <w:style w:type="table" w:styleId="af5">
    <w:name w:val="Table Grid"/>
    <w:basedOn w:val="a1"/>
    <w:uiPriority w:val="39"/>
    <w:qFormat/>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uiPriority w:val="9"/>
    <w:qFormat/>
    <w:rPr>
      <w:rFonts w:ascii="Times New Roman" w:eastAsia="宋体" w:hAnsi="Times New Roman" w:cs="Times New Roman"/>
      <w:b/>
      <w:bCs/>
      <w:kern w:val="44"/>
      <w:sz w:val="44"/>
      <w:szCs w:val="44"/>
    </w:rPr>
  </w:style>
  <w:style w:type="character" w:customStyle="1" w:styleId="2Char">
    <w:name w:val="标题 2 Char"/>
    <w:link w:val="2"/>
    <w:uiPriority w:val="9"/>
    <w:qFormat/>
    <w:rPr>
      <w:rFonts w:ascii="Arial" w:eastAsia="黑体" w:hAnsi="Arial" w:cs="Times New Roman"/>
      <w:b/>
      <w:bCs/>
      <w:sz w:val="32"/>
      <w:szCs w:val="32"/>
    </w:rPr>
  </w:style>
  <w:style w:type="character" w:customStyle="1" w:styleId="3Char">
    <w:name w:val="标题 3 Char"/>
    <w:link w:val="3"/>
    <w:qFormat/>
    <w:rPr>
      <w:rFonts w:ascii="Times New Roman" w:eastAsia="宋体" w:hAnsi="Times New Roman" w:cs="Times New Roman"/>
      <w:b/>
      <w:bCs/>
      <w:sz w:val="32"/>
      <w:szCs w:val="32"/>
    </w:rPr>
  </w:style>
  <w:style w:type="character" w:customStyle="1" w:styleId="4Char">
    <w:name w:val="标题 4 Char"/>
    <w:basedOn w:val="a0"/>
    <w:link w:val="4"/>
    <w:uiPriority w:val="9"/>
    <w:qFormat/>
    <w:rPr>
      <w:rFonts w:ascii="Calibri Light" w:eastAsia="楷体_GB2312" w:hAnsi="Calibri Light" w:cs="黑体"/>
      <w:b/>
      <w:bCs/>
      <w:kern w:val="2"/>
      <w:sz w:val="32"/>
      <w:szCs w:val="28"/>
    </w:rPr>
  </w:style>
  <w:style w:type="character" w:customStyle="1" w:styleId="5Char">
    <w:name w:val="标题 5 Char"/>
    <w:basedOn w:val="a0"/>
    <w:link w:val="5"/>
    <w:uiPriority w:val="9"/>
    <w:qFormat/>
    <w:rPr>
      <w:rFonts w:eastAsia="仿宋_GB2312" w:cs="黑体"/>
      <w:b/>
      <w:bCs/>
      <w:kern w:val="2"/>
      <w:sz w:val="28"/>
      <w:szCs w:val="28"/>
    </w:rPr>
  </w:style>
  <w:style w:type="character" w:customStyle="1" w:styleId="6Char">
    <w:name w:val="标题 6 Char"/>
    <w:basedOn w:val="a0"/>
    <w:link w:val="6"/>
    <w:uiPriority w:val="9"/>
    <w:qFormat/>
    <w:rPr>
      <w:rFonts w:ascii="Calibri Light" w:hAnsi="Calibri Light" w:cs="黑体"/>
      <w:b/>
      <w:bCs/>
      <w:kern w:val="2"/>
      <w:sz w:val="24"/>
      <w:szCs w:val="24"/>
    </w:rPr>
  </w:style>
  <w:style w:type="character" w:customStyle="1" w:styleId="Char0">
    <w:name w:val="批注文字 Char"/>
    <w:link w:val="a4"/>
    <w:qFormat/>
  </w:style>
  <w:style w:type="character" w:customStyle="1" w:styleId="Char">
    <w:name w:val="批注主题 Char"/>
    <w:link w:val="a3"/>
    <w:uiPriority w:val="99"/>
    <w:qFormat/>
    <w:rPr>
      <w:rFonts w:ascii="Times New Roman" w:hAnsi="Times New Roman"/>
      <w:b/>
      <w:bCs/>
      <w:kern w:val="2"/>
      <w:sz w:val="21"/>
    </w:rPr>
  </w:style>
  <w:style w:type="character" w:customStyle="1" w:styleId="Char1">
    <w:name w:val="文档结构图 Char"/>
    <w:link w:val="a5"/>
    <w:qFormat/>
    <w:rPr>
      <w:rFonts w:ascii="Times New Roman" w:hAnsi="Times New Roman"/>
      <w:kern w:val="2"/>
      <w:sz w:val="21"/>
      <w:shd w:val="clear" w:color="auto" w:fill="000080"/>
    </w:rPr>
  </w:style>
  <w:style w:type="character" w:customStyle="1" w:styleId="Char2">
    <w:name w:val="正文文本缩进 Char"/>
    <w:link w:val="a6"/>
    <w:qFormat/>
    <w:rPr>
      <w:rFonts w:ascii="仿宋_GB2312" w:eastAsia="仿宋_GB2312" w:hAnsi="Times New Roman"/>
      <w:kern w:val="2"/>
      <w:sz w:val="28"/>
    </w:rPr>
  </w:style>
  <w:style w:type="character" w:customStyle="1" w:styleId="Char4">
    <w:name w:val="日期 Char"/>
    <w:link w:val="a8"/>
    <w:qFormat/>
    <w:rPr>
      <w:rFonts w:ascii="Times New Roman" w:hAnsi="Times New Roman"/>
      <w:kern w:val="2"/>
      <w:sz w:val="28"/>
      <w:szCs w:val="28"/>
      <w:lang w:val="zh-CN"/>
    </w:rPr>
  </w:style>
  <w:style w:type="character" w:customStyle="1" w:styleId="Char5">
    <w:name w:val="批注框文本 Char"/>
    <w:link w:val="a9"/>
    <w:uiPriority w:val="99"/>
    <w:qFormat/>
    <w:rPr>
      <w:rFonts w:ascii="Times New Roman" w:eastAsia="宋体" w:hAnsi="Times New Roman" w:cs="Times New Roman"/>
      <w:sz w:val="18"/>
      <w:szCs w:val="18"/>
    </w:rPr>
  </w:style>
  <w:style w:type="character" w:customStyle="1" w:styleId="Char6">
    <w:name w:val="页脚 Char"/>
    <w:link w:val="aa"/>
    <w:uiPriority w:val="99"/>
    <w:qFormat/>
    <w:rPr>
      <w:rFonts w:ascii="Times New Roman" w:eastAsia="宋体" w:hAnsi="Times New Roman" w:cs="Times New Roman"/>
      <w:sz w:val="18"/>
      <w:szCs w:val="20"/>
    </w:rPr>
  </w:style>
  <w:style w:type="character" w:customStyle="1" w:styleId="Char7">
    <w:name w:val="页眉 Char"/>
    <w:link w:val="ab"/>
    <w:uiPriority w:val="99"/>
    <w:qFormat/>
    <w:rPr>
      <w:rFonts w:ascii="Times New Roman" w:eastAsia="宋体" w:hAnsi="Times New Roman" w:cs="Times New Roman"/>
      <w:sz w:val="18"/>
      <w:szCs w:val="18"/>
    </w:rPr>
  </w:style>
  <w:style w:type="character" w:customStyle="1" w:styleId="Char8">
    <w:name w:val="脚注文本 Char"/>
    <w:link w:val="ac"/>
    <w:uiPriority w:val="99"/>
    <w:qFormat/>
    <w:rPr>
      <w:rFonts w:ascii="Calibri" w:eastAsia="宋体" w:hAnsi="Calibri"/>
      <w:sz w:val="18"/>
      <w:szCs w:val="18"/>
    </w:rPr>
  </w:style>
  <w:style w:type="character" w:customStyle="1" w:styleId="Char30">
    <w:name w:val="脚注文本 Char3"/>
    <w:uiPriority w:val="99"/>
    <w:semiHidden/>
    <w:qFormat/>
    <w:rPr>
      <w:rFonts w:ascii="Times New Roman" w:eastAsia="宋体" w:hAnsi="Times New Roman" w:cs="Times New Roman"/>
      <w:sz w:val="18"/>
      <w:szCs w:val="18"/>
    </w:rPr>
  </w:style>
  <w:style w:type="character" w:customStyle="1" w:styleId="BalloonTextCharChar">
    <w:name w:val="Balloon Text Char Char"/>
    <w:link w:val="11"/>
    <w:qFormat/>
    <w:rPr>
      <w:rFonts w:ascii="Times New Roman" w:eastAsia="宋体" w:hAnsi="Times New Roman" w:cs="Times New Roman"/>
      <w:sz w:val="18"/>
      <w:szCs w:val="20"/>
    </w:rPr>
  </w:style>
  <w:style w:type="paragraph" w:customStyle="1" w:styleId="11">
    <w:name w:val="批注框文本1"/>
    <w:basedOn w:val="a"/>
    <w:link w:val="BalloonTextCharChar"/>
    <w:qFormat/>
    <w:rPr>
      <w:sz w:val="18"/>
    </w:rPr>
  </w:style>
  <w:style w:type="character" w:customStyle="1" w:styleId="CharChar3">
    <w:name w:val="Char Char3"/>
    <w:qFormat/>
    <w:rPr>
      <w:rFonts w:eastAsia="宋体"/>
      <w:b/>
      <w:bCs/>
      <w:kern w:val="44"/>
      <w:sz w:val="44"/>
      <w:szCs w:val="44"/>
      <w:lang w:val="en-US" w:eastAsia="zh-CN" w:bidi="ar-SA"/>
    </w:rPr>
  </w:style>
  <w:style w:type="character" w:customStyle="1" w:styleId="Char20">
    <w:name w:val="页脚 Char2"/>
    <w:qFormat/>
    <w:rPr>
      <w:kern w:val="2"/>
      <w:sz w:val="18"/>
      <w:szCs w:val="18"/>
    </w:rPr>
  </w:style>
  <w:style w:type="character" w:customStyle="1" w:styleId="NewNewNew">
    <w:name w:val="页码 New New New"/>
    <w:qFormat/>
  </w:style>
  <w:style w:type="character" w:customStyle="1" w:styleId="NewNewNewNew">
    <w:name w:val="页码 New New New New"/>
    <w:qFormat/>
  </w:style>
  <w:style w:type="character" w:customStyle="1" w:styleId="Char31">
    <w:name w:val="页眉 Char3"/>
    <w:uiPriority w:val="99"/>
    <w:semiHidden/>
    <w:qFormat/>
    <w:rPr>
      <w:rFonts w:ascii="Times New Roman" w:eastAsia="宋体" w:hAnsi="Times New Roman" w:cs="Times New Roman"/>
      <w:sz w:val="18"/>
      <w:szCs w:val="18"/>
    </w:rPr>
  </w:style>
  <w:style w:type="character" w:customStyle="1" w:styleId="CharChar">
    <w:name w:val="批注主题 Char Char"/>
    <w:link w:val="12"/>
    <w:qFormat/>
    <w:rPr>
      <w:rFonts w:ascii="Times New Roman" w:hAnsi="Times New Roman"/>
      <w:b/>
      <w:bCs/>
    </w:rPr>
  </w:style>
  <w:style w:type="paragraph" w:customStyle="1" w:styleId="12">
    <w:name w:val="批注主题1"/>
    <w:basedOn w:val="a4"/>
    <w:next w:val="a4"/>
    <w:link w:val="CharChar"/>
    <w:qFormat/>
    <w:rPr>
      <w:b/>
      <w:bCs/>
    </w:rPr>
  </w:style>
  <w:style w:type="character" w:customStyle="1" w:styleId="Char21">
    <w:name w:val="脚注文本 Char2"/>
    <w:qFormat/>
    <w:rPr>
      <w:kern w:val="2"/>
      <w:sz w:val="18"/>
      <w:szCs w:val="18"/>
    </w:rPr>
  </w:style>
  <w:style w:type="character" w:customStyle="1" w:styleId="NewNew">
    <w:name w:val="页码 New New"/>
    <w:qFormat/>
  </w:style>
  <w:style w:type="character" w:customStyle="1" w:styleId="Char10">
    <w:name w:val="批注文字 Char1"/>
    <w:qFormat/>
    <w:rPr>
      <w:rFonts w:ascii="Times New Roman" w:eastAsia="宋体" w:hAnsi="Times New Roman" w:cs="Times New Roman"/>
      <w:szCs w:val="20"/>
    </w:rPr>
  </w:style>
  <w:style w:type="character" w:customStyle="1" w:styleId="13">
    <w:name w:val="批注引用1"/>
    <w:qFormat/>
    <w:rPr>
      <w:sz w:val="21"/>
      <w:szCs w:val="21"/>
    </w:rPr>
  </w:style>
  <w:style w:type="character" w:customStyle="1" w:styleId="Char22">
    <w:name w:val="页眉 Char2"/>
    <w:qFormat/>
    <w:rPr>
      <w:kern w:val="2"/>
      <w:sz w:val="18"/>
      <w:szCs w:val="18"/>
    </w:rPr>
  </w:style>
  <w:style w:type="character" w:customStyle="1" w:styleId="Char32">
    <w:name w:val="批注文字 Char3"/>
    <w:uiPriority w:val="99"/>
    <w:semiHidden/>
    <w:qFormat/>
    <w:rPr>
      <w:rFonts w:ascii="Times New Roman" w:eastAsia="宋体" w:hAnsi="Times New Roman" w:cs="Times New Roman"/>
      <w:szCs w:val="20"/>
    </w:rPr>
  </w:style>
  <w:style w:type="character" w:customStyle="1" w:styleId="CharChar0">
    <w:name w:val="日期 Char Char"/>
    <w:link w:val="14"/>
    <w:qFormat/>
    <w:rPr>
      <w:rFonts w:ascii="Times New Roman" w:hAnsi="Times New Roman"/>
      <w:sz w:val="28"/>
      <w:szCs w:val="28"/>
      <w:lang w:val="zh-CN"/>
    </w:rPr>
  </w:style>
  <w:style w:type="paragraph" w:customStyle="1" w:styleId="14">
    <w:name w:val="日期1"/>
    <w:basedOn w:val="a"/>
    <w:next w:val="a"/>
    <w:link w:val="CharChar0"/>
    <w:qFormat/>
    <w:pPr>
      <w:ind w:leftChars="2500" w:left="100"/>
    </w:pPr>
    <w:rPr>
      <w:sz w:val="28"/>
      <w:szCs w:val="28"/>
      <w:lang w:val="zh-CN"/>
    </w:rPr>
  </w:style>
  <w:style w:type="character" w:customStyle="1" w:styleId="15">
    <w:name w:val="页码1"/>
    <w:qFormat/>
  </w:style>
  <w:style w:type="character" w:customStyle="1" w:styleId="CharChar1">
    <w:name w:val="Char Char1"/>
    <w:qFormat/>
    <w:rPr>
      <w:rFonts w:eastAsia="宋体"/>
      <w:b/>
      <w:bCs/>
      <w:kern w:val="44"/>
      <w:sz w:val="44"/>
      <w:szCs w:val="44"/>
      <w:lang w:val="en-US" w:eastAsia="zh-CN" w:bidi="ar-SA"/>
    </w:rPr>
  </w:style>
  <w:style w:type="character" w:customStyle="1" w:styleId="Heading1Char">
    <w:name w:val="Heading 1 Char"/>
    <w:qFormat/>
    <w:rPr>
      <w:rFonts w:ascii="Times New Roman" w:eastAsia="宋体" w:hAnsi="Times New Roman" w:cs="Times New Roman"/>
      <w:b/>
      <w:bCs/>
      <w:kern w:val="44"/>
      <w:sz w:val="44"/>
      <w:szCs w:val="44"/>
    </w:rPr>
  </w:style>
  <w:style w:type="character" w:customStyle="1" w:styleId="New">
    <w:name w:val="页码 New"/>
    <w:qFormat/>
  </w:style>
  <w:style w:type="character" w:customStyle="1" w:styleId="NewNewNewNewNew">
    <w:name w:val="页码 New New New New New"/>
    <w:qFormat/>
  </w:style>
  <w:style w:type="character" w:customStyle="1" w:styleId="CharChar2">
    <w:name w:val="文档结构图 Char Char"/>
    <w:link w:val="16"/>
    <w:qFormat/>
    <w:rPr>
      <w:rFonts w:ascii="Times New Roman" w:hAnsi="Times New Roman"/>
      <w:shd w:val="clear" w:color="auto" w:fill="000080"/>
    </w:rPr>
  </w:style>
  <w:style w:type="paragraph" w:customStyle="1" w:styleId="16">
    <w:name w:val="文档结构图1"/>
    <w:basedOn w:val="a"/>
    <w:link w:val="CharChar2"/>
    <w:qFormat/>
    <w:pPr>
      <w:shd w:val="clear" w:color="auto" w:fill="000080"/>
    </w:pPr>
    <w:rPr>
      <w:shd w:val="clear" w:color="auto" w:fill="000080"/>
    </w:rPr>
  </w:style>
  <w:style w:type="character" w:customStyle="1" w:styleId="Char11">
    <w:name w:val="脚注文本 Char1"/>
    <w:uiPriority w:val="99"/>
    <w:qFormat/>
    <w:rPr>
      <w:rFonts w:ascii="Times New Roman" w:eastAsia="宋体" w:hAnsi="Times New Roman" w:cs="Times New Roman"/>
      <w:sz w:val="18"/>
      <w:szCs w:val="18"/>
    </w:rPr>
  </w:style>
  <w:style w:type="character" w:customStyle="1" w:styleId="21">
    <w:name w:val="批注引用2"/>
    <w:qFormat/>
    <w:rPr>
      <w:sz w:val="21"/>
      <w:szCs w:val="21"/>
    </w:rPr>
  </w:style>
  <w:style w:type="character" w:customStyle="1" w:styleId="Char12">
    <w:name w:val="页脚 Char1"/>
    <w:qFormat/>
    <w:rPr>
      <w:kern w:val="2"/>
      <w:sz w:val="18"/>
      <w:szCs w:val="18"/>
    </w:rPr>
  </w:style>
  <w:style w:type="character" w:customStyle="1" w:styleId="Char13">
    <w:name w:val="页眉 Char1"/>
    <w:qFormat/>
    <w:rPr>
      <w:kern w:val="2"/>
      <w:sz w:val="18"/>
      <w:szCs w:val="18"/>
    </w:rPr>
  </w:style>
  <w:style w:type="character" w:customStyle="1" w:styleId="NewNewNewNewNewNew">
    <w:name w:val="页码 New New New New New New"/>
    <w:qFormat/>
  </w:style>
  <w:style w:type="character" w:customStyle="1" w:styleId="Char23">
    <w:name w:val="批注文字 Char2"/>
    <w:qFormat/>
    <w:rPr>
      <w:kern w:val="2"/>
      <w:sz w:val="21"/>
    </w:rPr>
  </w:style>
  <w:style w:type="character" w:customStyle="1" w:styleId="1CharChar">
    <w:name w:val="标题 1 Char Char"/>
    <w:qFormat/>
    <w:rPr>
      <w:rFonts w:eastAsia="宋体"/>
      <w:b/>
      <w:bCs/>
      <w:kern w:val="44"/>
      <w:sz w:val="44"/>
      <w:szCs w:val="44"/>
      <w:lang w:val="en-US" w:eastAsia="zh-CN" w:bidi="ar-SA"/>
    </w:rPr>
  </w:style>
  <w:style w:type="character" w:customStyle="1" w:styleId="CharChar4">
    <w:name w:val="正文文本缩进 Char Char"/>
    <w:link w:val="17"/>
    <w:qFormat/>
    <w:rPr>
      <w:rFonts w:ascii="仿宋_GB2312" w:eastAsia="仿宋_GB2312" w:hAnsi="Times New Roman"/>
      <w:sz w:val="28"/>
    </w:rPr>
  </w:style>
  <w:style w:type="paragraph" w:customStyle="1" w:styleId="17">
    <w:name w:val="正文文本缩进1"/>
    <w:basedOn w:val="a"/>
    <w:link w:val="CharChar4"/>
    <w:qFormat/>
    <w:pPr>
      <w:ind w:firstLineChars="192" w:firstLine="538"/>
    </w:pPr>
    <w:rPr>
      <w:rFonts w:ascii="仿宋_GB2312" w:eastAsia="仿宋_GB2312"/>
      <w:sz w:val="28"/>
    </w:rPr>
  </w:style>
  <w:style w:type="character" w:customStyle="1" w:styleId="Char14">
    <w:name w:val="批注框文本 Char1"/>
    <w:qFormat/>
    <w:rPr>
      <w:kern w:val="2"/>
      <w:sz w:val="18"/>
      <w:szCs w:val="18"/>
    </w:rPr>
  </w:style>
  <w:style w:type="character" w:customStyle="1" w:styleId="Char24">
    <w:name w:val="批注框文本 Char2"/>
    <w:qFormat/>
    <w:rPr>
      <w:kern w:val="2"/>
      <w:sz w:val="18"/>
      <w:szCs w:val="18"/>
    </w:rPr>
  </w:style>
  <w:style w:type="character" w:customStyle="1" w:styleId="font21">
    <w:name w:val="font21"/>
    <w:qFormat/>
    <w:rPr>
      <w:rFonts w:ascii="仿宋_GB2312" w:eastAsia="仿宋_GB2312" w:hint="eastAsia"/>
      <w:b/>
      <w:bCs/>
      <w:color w:val="000000"/>
      <w:sz w:val="16"/>
      <w:szCs w:val="16"/>
      <w:u w:val="none"/>
      <w:vertAlign w:val="superscript"/>
    </w:rPr>
  </w:style>
  <w:style w:type="character" w:customStyle="1" w:styleId="font11">
    <w:name w:val="font11"/>
    <w:qFormat/>
    <w:rPr>
      <w:rFonts w:ascii="仿宋_GB2312" w:eastAsia="仿宋_GB2312" w:hint="eastAsia"/>
      <w:color w:val="000000"/>
      <w:sz w:val="16"/>
      <w:szCs w:val="16"/>
      <w:u w:val="none"/>
      <w:vertAlign w:val="superscript"/>
    </w:rPr>
  </w:style>
  <w:style w:type="character" w:customStyle="1" w:styleId="110">
    <w:name w:val="页码11"/>
    <w:qFormat/>
  </w:style>
  <w:style w:type="character" w:customStyle="1" w:styleId="Char33">
    <w:name w:val="批注框文本 Char3"/>
    <w:uiPriority w:val="99"/>
    <w:semiHidden/>
    <w:qFormat/>
    <w:rPr>
      <w:rFonts w:ascii="Times New Roman" w:eastAsia="宋体" w:hAnsi="Times New Roman" w:cs="Times New Roman"/>
      <w:sz w:val="18"/>
      <w:szCs w:val="18"/>
    </w:rPr>
  </w:style>
  <w:style w:type="character" w:customStyle="1" w:styleId="Char34">
    <w:name w:val="页脚 Char3"/>
    <w:uiPriority w:val="99"/>
    <w:semiHidden/>
    <w:qFormat/>
    <w:rPr>
      <w:rFonts w:ascii="Times New Roman" w:eastAsia="宋体" w:hAnsi="Times New Roman" w:cs="Times New Roman"/>
      <w:sz w:val="18"/>
      <w:szCs w:val="18"/>
    </w:rPr>
  </w:style>
  <w:style w:type="paragraph" w:styleId="af6">
    <w:name w:val="List Paragraph"/>
    <w:basedOn w:val="a"/>
    <w:link w:val="Char9"/>
    <w:uiPriority w:val="34"/>
    <w:qFormat/>
    <w:pPr>
      <w:ind w:firstLineChars="200" w:firstLine="420"/>
    </w:pPr>
    <w:rPr>
      <w:rFonts w:ascii="Calibri" w:hAnsi="Calibri" w:cs="Calibri"/>
      <w:szCs w:val="21"/>
    </w:rPr>
  </w:style>
  <w:style w:type="character" w:customStyle="1" w:styleId="Char9">
    <w:name w:val="列出段落 Char"/>
    <w:basedOn w:val="a0"/>
    <w:link w:val="af6"/>
    <w:uiPriority w:val="34"/>
    <w:qFormat/>
    <w:locked/>
    <w:rPr>
      <w:rFonts w:cs="Calibri"/>
      <w:kern w:val="2"/>
      <w:sz w:val="21"/>
      <w:szCs w:val="21"/>
    </w:rPr>
  </w:style>
  <w:style w:type="paragraph" w:customStyle="1" w:styleId="NewNewNewNewNewNewNewNewNewNewNewNewNewNewNew">
    <w:name w:val="页脚 New New New New New New New New New New New New New New New"/>
    <w:basedOn w:val="NewNewNewNewNewNewNewNewNewNewNewNewNewNewNewNewNewNew"/>
    <w:qFormat/>
    <w:pPr>
      <w:tabs>
        <w:tab w:val="center" w:pos="4153"/>
        <w:tab w:val="right" w:pos="8306"/>
      </w:tabs>
      <w:snapToGrid w:val="0"/>
      <w:jc w:val="left"/>
    </w:pPr>
    <w:rPr>
      <w:sz w:val="18"/>
      <w:szCs w:val="18"/>
    </w:rPr>
  </w:style>
  <w:style w:type="paragraph" w:customStyle="1" w:styleId="NewNewNewNewNewNewNewNewNewNewNewNewNewNewNewNewNewNew">
    <w:name w:val="正文 New New New New New New New New New New New New New New New New New New"/>
    <w:qFormat/>
    <w:pPr>
      <w:widowControl w:val="0"/>
      <w:jc w:val="both"/>
    </w:pPr>
    <w:rPr>
      <w:kern w:val="2"/>
      <w:sz w:val="21"/>
      <w:szCs w:val="24"/>
    </w:rPr>
  </w:style>
  <w:style w:type="paragraph" w:customStyle="1" w:styleId="xmsonormal">
    <w:name w:val="x_msonormal"/>
    <w:basedOn w:val="a"/>
    <w:qFormat/>
    <w:pPr>
      <w:widowControl/>
      <w:spacing w:before="100" w:beforeAutospacing="1" w:after="100" w:afterAutospacing="1"/>
      <w:jc w:val="left"/>
    </w:pPr>
    <w:rPr>
      <w:rFonts w:ascii="宋体" w:hAnsi="宋体" w:hint="eastAsia"/>
      <w:sz w:val="24"/>
    </w:rPr>
  </w:style>
  <w:style w:type="paragraph" w:customStyle="1" w:styleId="New0">
    <w:name w:val="页眉 New"/>
    <w:basedOn w:val="NewNewNewNewNewNewNewNewNewNewNew"/>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NewNewNewNewNewNewNewNewNewNewNew">
    <w:name w:val="正文 New New New New New New New New New New New"/>
    <w:qFormat/>
    <w:pPr>
      <w:widowControl w:val="0"/>
      <w:jc w:val="both"/>
    </w:pPr>
    <w:rPr>
      <w:kern w:val="2"/>
      <w:sz w:val="21"/>
      <w:szCs w:val="24"/>
    </w:rPr>
  </w:style>
  <w:style w:type="paragraph" w:customStyle="1" w:styleId="NewNewNewNewNewNewNew">
    <w:name w:val="正文 New New New New New New New"/>
    <w:qFormat/>
    <w:pPr>
      <w:widowControl w:val="0"/>
      <w:jc w:val="both"/>
    </w:pPr>
    <w:rPr>
      <w:kern w:val="2"/>
      <w:sz w:val="21"/>
      <w:szCs w:val="24"/>
    </w:rPr>
  </w:style>
  <w:style w:type="paragraph" w:customStyle="1" w:styleId="NewNewNewNewNewNewNewNewNewNewNewNewNewNewNewNew">
    <w:name w:val="正文 New New New New New New New New New New New New New New New New"/>
    <w:qFormat/>
    <w:pPr>
      <w:widowControl w:val="0"/>
      <w:jc w:val="both"/>
    </w:pPr>
    <w:rPr>
      <w:kern w:val="2"/>
      <w:sz w:val="21"/>
      <w:szCs w:val="24"/>
    </w:rPr>
  </w:style>
  <w:style w:type="paragraph" w:customStyle="1" w:styleId="18">
    <w:name w:val="列出段落1"/>
    <w:basedOn w:val="a"/>
    <w:qFormat/>
    <w:pPr>
      <w:ind w:firstLineChars="200" w:firstLine="420"/>
    </w:pPr>
  </w:style>
  <w:style w:type="paragraph" w:customStyle="1" w:styleId="31">
    <w:name w:val="我的样式3"/>
    <w:basedOn w:val="a6"/>
    <w:qFormat/>
    <w:pPr>
      <w:spacing w:line="360" w:lineRule="auto"/>
      <w:ind w:firstLineChars="200" w:firstLine="560"/>
      <w:jc w:val="left"/>
    </w:pPr>
    <w:rPr>
      <w:rFonts w:ascii="Times New Roman" w:eastAsia="宋体" w:hAnsi="仿宋_GB2312"/>
    </w:rPr>
  </w:style>
  <w:style w:type="paragraph" w:customStyle="1" w:styleId="NewNewNewNewNewNew0">
    <w:name w:val="页脚 New New New New New New"/>
    <w:basedOn w:val="NewNewNewNewNewNew1"/>
    <w:qFormat/>
    <w:pPr>
      <w:tabs>
        <w:tab w:val="center" w:pos="4153"/>
        <w:tab w:val="right" w:pos="8306"/>
      </w:tabs>
      <w:snapToGrid w:val="0"/>
      <w:jc w:val="left"/>
    </w:pPr>
    <w:rPr>
      <w:sz w:val="18"/>
      <w:szCs w:val="18"/>
    </w:rPr>
  </w:style>
  <w:style w:type="paragraph" w:customStyle="1" w:styleId="NewNewNewNewNewNew1">
    <w:name w:val="正文 New New New New New New"/>
    <w:qFormat/>
    <w:pPr>
      <w:widowControl w:val="0"/>
      <w:jc w:val="both"/>
    </w:pPr>
    <w:rPr>
      <w:kern w:val="2"/>
      <w:sz w:val="21"/>
      <w:szCs w:val="24"/>
    </w:rPr>
  </w:style>
  <w:style w:type="paragraph" w:customStyle="1" w:styleId="NewNewNewNewNewNewNewNew">
    <w:name w:val="页脚 New New New New New New New New"/>
    <w:basedOn w:val="NewNewNewNewNewNewNewNew0"/>
    <w:qFormat/>
    <w:pPr>
      <w:tabs>
        <w:tab w:val="center" w:pos="4153"/>
        <w:tab w:val="right" w:pos="8306"/>
      </w:tabs>
      <w:snapToGrid w:val="0"/>
      <w:jc w:val="left"/>
    </w:pPr>
    <w:rPr>
      <w:sz w:val="18"/>
      <w:szCs w:val="18"/>
    </w:rPr>
  </w:style>
  <w:style w:type="paragraph" w:customStyle="1" w:styleId="NewNewNewNewNewNewNewNew0">
    <w:name w:val="正文 New New New New New New New New"/>
    <w:qFormat/>
    <w:pPr>
      <w:widowControl w:val="0"/>
      <w:jc w:val="both"/>
    </w:pPr>
    <w:rPr>
      <w:kern w:val="2"/>
      <w:sz w:val="21"/>
      <w:szCs w:val="24"/>
    </w:rPr>
  </w:style>
  <w:style w:type="paragraph" w:customStyle="1" w:styleId="NewNewNew0">
    <w:name w:val="页脚 New New New"/>
    <w:basedOn w:val="a"/>
    <w:qFormat/>
    <w:pPr>
      <w:tabs>
        <w:tab w:val="center" w:pos="4153"/>
        <w:tab w:val="right" w:pos="8306"/>
      </w:tabs>
      <w:snapToGrid w:val="0"/>
      <w:jc w:val="left"/>
    </w:pPr>
    <w:rPr>
      <w:rFonts w:ascii="Calibri" w:hAnsi="Calibri"/>
      <w:sz w:val="18"/>
    </w:rPr>
  </w:style>
  <w:style w:type="paragraph" w:customStyle="1" w:styleId="NewNewNewNewNewNewNewNewNewNew">
    <w:name w:val="页脚 New New New New New New New New New New"/>
    <w:basedOn w:val="NewNewNewNewNewNewNewNewNewNewNewNew"/>
    <w:qFormat/>
    <w:pPr>
      <w:tabs>
        <w:tab w:val="center" w:pos="4153"/>
        <w:tab w:val="right" w:pos="8306"/>
      </w:tabs>
      <w:snapToGrid w:val="0"/>
      <w:jc w:val="left"/>
    </w:pPr>
    <w:rPr>
      <w:sz w:val="18"/>
    </w:rPr>
  </w:style>
  <w:style w:type="paragraph" w:customStyle="1" w:styleId="NewNewNewNewNewNewNewNewNewNewNewNew">
    <w:name w:val="正文 New New New New New New New New New New New New"/>
    <w:qFormat/>
    <w:pPr>
      <w:widowControl w:val="0"/>
      <w:jc w:val="both"/>
    </w:pPr>
    <w:rPr>
      <w:kern w:val="2"/>
      <w:sz w:val="21"/>
      <w:szCs w:val="24"/>
    </w:rPr>
  </w:style>
  <w:style w:type="paragraph" w:customStyle="1" w:styleId="p17">
    <w:name w:val="p17"/>
    <w:basedOn w:val="a"/>
    <w:qFormat/>
    <w:pPr>
      <w:widowControl/>
    </w:pPr>
    <w:rPr>
      <w:kern w:val="0"/>
      <w:szCs w:val="21"/>
    </w:rPr>
  </w:style>
  <w:style w:type="paragraph" w:customStyle="1" w:styleId="NewNewNewNewNewNewNewNewNewNewNewNewNew">
    <w:name w:val="正文 New New New New New New New New New New New New New"/>
    <w:qFormat/>
    <w:pPr>
      <w:widowControl w:val="0"/>
      <w:jc w:val="both"/>
    </w:pPr>
    <w:rPr>
      <w:kern w:val="2"/>
      <w:sz w:val="21"/>
      <w:szCs w:val="24"/>
    </w:rPr>
  </w:style>
  <w:style w:type="paragraph" w:customStyle="1" w:styleId="19">
    <w:name w:val="正文1"/>
    <w:qFormat/>
    <w:pPr>
      <w:widowControl w:val="0"/>
      <w:jc w:val="both"/>
    </w:pPr>
    <w:rPr>
      <w:kern w:val="2"/>
      <w:sz w:val="21"/>
    </w:rPr>
  </w:style>
  <w:style w:type="paragraph" w:customStyle="1" w:styleId="3New">
    <w:name w:val="标题 3 New"/>
    <w:basedOn w:val="New1"/>
    <w:next w:val="New1"/>
    <w:qFormat/>
    <w:pPr>
      <w:keepNext/>
      <w:keepLines/>
      <w:spacing w:before="260" w:after="260" w:line="413" w:lineRule="auto"/>
      <w:outlineLvl w:val="2"/>
    </w:pPr>
    <w:rPr>
      <w:b/>
      <w:bCs/>
      <w:sz w:val="32"/>
      <w:szCs w:val="32"/>
    </w:rPr>
  </w:style>
  <w:style w:type="paragraph" w:customStyle="1" w:styleId="New1">
    <w:name w:val="正文 New"/>
    <w:qFormat/>
    <w:pPr>
      <w:widowControl w:val="0"/>
      <w:jc w:val="both"/>
    </w:pPr>
    <w:rPr>
      <w:kern w:val="2"/>
      <w:sz w:val="21"/>
    </w:rPr>
  </w:style>
  <w:style w:type="paragraph" w:customStyle="1" w:styleId="NewNew0">
    <w:name w:val="正文 New New"/>
    <w:qFormat/>
    <w:pPr>
      <w:widowControl w:val="0"/>
      <w:adjustRightInd w:val="0"/>
      <w:spacing w:line="360" w:lineRule="atLeast"/>
    </w:pPr>
    <w:rPr>
      <w:rFonts w:eastAsia="昆仑楷体"/>
      <w:sz w:val="24"/>
    </w:rPr>
  </w:style>
  <w:style w:type="paragraph" w:customStyle="1" w:styleId="NewNewNewNewNewNewNewNewNewNewNewNewNewNewNew0">
    <w:name w:val="正文 New New New New New New New New New New New New New New New"/>
    <w:qFormat/>
    <w:pPr>
      <w:widowControl w:val="0"/>
      <w:jc w:val="both"/>
    </w:pPr>
    <w:rPr>
      <w:kern w:val="2"/>
      <w:sz w:val="21"/>
      <w:szCs w:val="24"/>
    </w:rPr>
  </w:style>
  <w:style w:type="paragraph" w:customStyle="1" w:styleId="NewNewNewNewNewNewNewNewNew">
    <w:name w:val="页脚 New New New New New New New New New"/>
    <w:basedOn w:val="NewNewNewNewNewNewNewNewNewNewNew"/>
    <w:qFormat/>
    <w:pPr>
      <w:tabs>
        <w:tab w:val="center" w:pos="4153"/>
        <w:tab w:val="right" w:pos="8306"/>
      </w:tabs>
      <w:snapToGrid w:val="0"/>
      <w:jc w:val="left"/>
    </w:pPr>
    <w:rPr>
      <w:sz w:val="18"/>
    </w:rPr>
  </w:style>
  <w:style w:type="paragraph" w:customStyle="1" w:styleId="NewNewNewNewNew0">
    <w:name w:val="正文 New New New New New"/>
    <w:qFormat/>
    <w:pPr>
      <w:widowControl w:val="0"/>
      <w:jc w:val="both"/>
    </w:pPr>
    <w:rPr>
      <w:kern w:val="2"/>
      <w:sz w:val="21"/>
      <w:szCs w:val="24"/>
    </w:rPr>
  </w:style>
  <w:style w:type="paragraph" w:customStyle="1" w:styleId="NewNewNew1">
    <w:name w:val="正文 New New New"/>
    <w:qFormat/>
    <w:pPr>
      <w:widowControl w:val="0"/>
      <w:jc w:val="both"/>
    </w:pPr>
    <w:rPr>
      <w:kern w:val="2"/>
      <w:sz w:val="21"/>
      <w:szCs w:val="24"/>
    </w:rPr>
  </w:style>
  <w:style w:type="paragraph" w:customStyle="1" w:styleId="NewNewNewNewNewNewNewNewNewNewNewNew0">
    <w:name w:val="页脚 New New New New New New New New New New New New"/>
    <w:basedOn w:val="NewNewNewNewNewNewNewNewNewNewNewNewNewNewNewNew"/>
    <w:qFormat/>
    <w:pPr>
      <w:tabs>
        <w:tab w:val="center" w:pos="4153"/>
        <w:tab w:val="right" w:pos="8306"/>
      </w:tabs>
      <w:snapToGrid w:val="0"/>
      <w:jc w:val="left"/>
    </w:pPr>
    <w:rPr>
      <w:sz w:val="18"/>
      <w:szCs w:val="18"/>
    </w:rPr>
  </w:style>
  <w:style w:type="paragraph" w:customStyle="1" w:styleId="NewNewNewNew0">
    <w:name w:val="页脚 New New New New"/>
    <w:basedOn w:val="a"/>
    <w:qFormat/>
    <w:pPr>
      <w:tabs>
        <w:tab w:val="center" w:pos="4153"/>
        <w:tab w:val="right" w:pos="8306"/>
      </w:tabs>
      <w:snapToGrid w:val="0"/>
      <w:jc w:val="left"/>
    </w:pPr>
    <w:rPr>
      <w:rFonts w:ascii="Calibri" w:hAnsi="Calibri"/>
      <w:sz w:val="18"/>
    </w:rPr>
  </w:style>
  <w:style w:type="paragraph" w:customStyle="1" w:styleId="CharCharCharChar">
    <w:name w:val="Char Char Char Char"/>
    <w:basedOn w:val="a"/>
    <w:qFormat/>
    <w:pPr>
      <w:tabs>
        <w:tab w:val="left" w:pos="360"/>
      </w:tabs>
    </w:pPr>
    <w:rPr>
      <w:rFonts w:hint="eastAsia"/>
      <w:sz w:val="24"/>
    </w:rPr>
  </w:style>
  <w:style w:type="paragraph" w:customStyle="1" w:styleId="NewNewNewNewNew1">
    <w:name w:val="页脚 New New New New New"/>
    <w:basedOn w:val="NewNewNewNewNew0"/>
    <w:qFormat/>
    <w:pPr>
      <w:tabs>
        <w:tab w:val="center" w:pos="4153"/>
        <w:tab w:val="right" w:pos="8306"/>
      </w:tabs>
      <w:snapToGrid w:val="0"/>
      <w:jc w:val="left"/>
    </w:pPr>
    <w:rPr>
      <w:sz w:val="18"/>
      <w:szCs w:val="18"/>
    </w:rPr>
  </w:style>
  <w:style w:type="paragraph" w:customStyle="1" w:styleId="NewNewNewNewNewNewNewNewNewNew0">
    <w:name w:val="正文 New New New New New New New New New New"/>
    <w:qFormat/>
    <w:pPr>
      <w:adjustRightInd w:val="0"/>
      <w:snapToGrid w:val="0"/>
      <w:spacing w:after="200"/>
    </w:pPr>
    <w:rPr>
      <w:rFonts w:ascii="Tahoma" w:hAnsi="Tahoma"/>
      <w:sz w:val="22"/>
      <w:szCs w:val="22"/>
    </w:rPr>
  </w:style>
  <w:style w:type="paragraph" w:customStyle="1" w:styleId="NewNewNewNewNewNewNew0">
    <w:name w:val="页脚 New New New New New New New"/>
    <w:basedOn w:val="NewNewNewNewNewNewNew"/>
    <w:qFormat/>
    <w:pPr>
      <w:tabs>
        <w:tab w:val="center" w:pos="4153"/>
        <w:tab w:val="right" w:pos="8306"/>
      </w:tabs>
      <w:snapToGrid w:val="0"/>
      <w:jc w:val="left"/>
    </w:pPr>
    <w:rPr>
      <w:sz w:val="18"/>
      <w:szCs w:val="18"/>
    </w:rPr>
  </w:style>
  <w:style w:type="paragraph" w:customStyle="1" w:styleId="NewNewNewNewNewNewNewNewNewNewNewNewNew0">
    <w:name w:val="页脚 New New New New New New New New New New New New New"/>
    <w:basedOn w:val="NewNewNewNewNewNewNewNewNewNewNewNewNewNewNewNewNewNew"/>
    <w:qFormat/>
    <w:pPr>
      <w:tabs>
        <w:tab w:val="center" w:pos="4153"/>
        <w:tab w:val="right" w:pos="8306"/>
      </w:tabs>
      <w:snapToGrid w:val="0"/>
      <w:jc w:val="left"/>
    </w:pPr>
    <w:rPr>
      <w:sz w:val="18"/>
      <w:szCs w:val="18"/>
    </w:rPr>
  </w:style>
  <w:style w:type="paragraph" w:customStyle="1" w:styleId="TOC1">
    <w:name w:val="TOC 标题1"/>
    <w:basedOn w:val="1"/>
    <w:next w:val="a"/>
    <w:qFormat/>
    <w:pPr>
      <w:widowControl/>
      <w:spacing w:before="480" w:after="0" w:line="276" w:lineRule="auto"/>
      <w:jc w:val="left"/>
      <w:outlineLvl w:val="9"/>
    </w:pPr>
    <w:rPr>
      <w:rFonts w:ascii="Cambria" w:hAnsi="Cambria"/>
      <w:color w:val="365F91"/>
      <w:kern w:val="0"/>
      <w:sz w:val="28"/>
      <w:szCs w:val="28"/>
    </w:rPr>
  </w:style>
  <w:style w:type="paragraph" w:customStyle="1" w:styleId="New2">
    <w:name w:val="页脚 New"/>
    <w:basedOn w:val="New1"/>
    <w:qFormat/>
    <w:pPr>
      <w:tabs>
        <w:tab w:val="center" w:pos="4153"/>
        <w:tab w:val="right" w:pos="8306"/>
      </w:tabs>
      <w:snapToGrid w:val="0"/>
      <w:jc w:val="left"/>
    </w:pPr>
    <w:rPr>
      <w:sz w:val="18"/>
      <w:szCs w:val="18"/>
    </w:rPr>
  </w:style>
  <w:style w:type="paragraph" w:customStyle="1" w:styleId="p15">
    <w:name w:val="p15"/>
    <w:basedOn w:val="a"/>
    <w:qFormat/>
    <w:pPr>
      <w:widowControl/>
    </w:pPr>
    <w:rPr>
      <w:rFonts w:ascii="宋体" w:hAnsi="宋体" w:cs="宋体"/>
      <w:kern w:val="0"/>
      <w:szCs w:val="21"/>
    </w:rPr>
  </w:style>
  <w:style w:type="paragraph" w:customStyle="1" w:styleId="NewNew1">
    <w:name w:val="页脚 New New"/>
    <w:basedOn w:val="a"/>
    <w:qFormat/>
    <w:pPr>
      <w:tabs>
        <w:tab w:val="center" w:pos="4153"/>
        <w:tab w:val="right" w:pos="8306"/>
      </w:tabs>
      <w:snapToGrid w:val="0"/>
      <w:jc w:val="left"/>
    </w:pPr>
    <w:rPr>
      <w:rFonts w:ascii="Calibri" w:hAnsi="Calibri"/>
      <w:sz w:val="18"/>
    </w:rPr>
  </w:style>
  <w:style w:type="paragraph" w:customStyle="1" w:styleId="NewNewNewNewNewNewNewNewNewNewNewNewNewNewNewNewNew">
    <w:name w:val="正文 New New New New New New New New New New New New New New New New New"/>
    <w:qFormat/>
    <w:pPr>
      <w:widowControl w:val="0"/>
      <w:jc w:val="both"/>
    </w:pPr>
    <w:rPr>
      <w:kern w:val="2"/>
      <w:sz w:val="21"/>
      <w:szCs w:val="24"/>
    </w:rPr>
  </w:style>
  <w:style w:type="paragraph" w:customStyle="1" w:styleId="p18">
    <w:name w:val="p18"/>
    <w:basedOn w:val="a"/>
    <w:qFormat/>
    <w:pPr>
      <w:widowControl/>
    </w:pPr>
    <w:rPr>
      <w:kern w:val="0"/>
      <w:szCs w:val="21"/>
    </w:rPr>
  </w:style>
  <w:style w:type="paragraph" w:customStyle="1" w:styleId="NewNewNewNewNewNewNewNewNewNewNewNewNewNew">
    <w:name w:val="正文 New New New New New New New New New New New New New New"/>
    <w:uiPriority w:val="99"/>
    <w:qFormat/>
    <w:pPr>
      <w:widowControl w:val="0"/>
      <w:jc w:val="both"/>
    </w:pPr>
    <w:rPr>
      <w:kern w:val="2"/>
      <w:sz w:val="21"/>
    </w:rPr>
  </w:style>
  <w:style w:type="paragraph" w:customStyle="1" w:styleId="1a">
    <w:name w:val="样式 仿宋 三号1"/>
    <w:basedOn w:val="a"/>
    <w:qFormat/>
    <w:pPr>
      <w:ind w:firstLineChars="250" w:firstLine="800"/>
    </w:pPr>
    <w:rPr>
      <w:rFonts w:ascii="仿宋" w:eastAsia="仿宋" w:hAnsi="仿宋" w:cs="宋体"/>
      <w:sz w:val="32"/>
    </w:rPr>
  </w:style>
  <w:style w:type="paragraph" w:customStyle="1" w:styleId="p0">
    <w:name w:val="p0"/>
    <w:basedOn w:val="a"/>
    <w:qFormat/>
    <w:pPr>
      <w:widowControl/>
    </w:pPr>
    <w:rPr>
      <w:kern w:val="0"/>
      <w:szCs w:val="21"/>
    </w:rPr>
  </w:style>
  <w:style w:type="paragraph" w:customStyle="1" w:styleId="p16">
    <w:name w:val="p16"/>
    <w:basedOn w:val="a"/>
    <w:qFormat/>
    <w:pPr>
      <w:widowControl/>
    </w:pPr>
    <w:rPr>
      <w:kern w:val="0"/>
      <w:szCs w:val="21"/>
    </w:rPr>
  </w:style>
  <w:style w:type="paragraph" w:customStyle="1" w:styleId="NewNewNewNew1">
    <w:name w:val="正文 New New New New"/>
    <w:qFormat/>
    <w:pPr>
      <w:widowControl w:val="0"/>
      <w:jc w:val="both"/>
    </w:pPr>
    <w:rPr>
      <w:kern w:val="2"/>
      <w:sz w:val="21"/>
      <w:szCs w:val="24"/>
    </w:rPr>
  </w:style>
  <w:style w:type="paragraph" w:customStyle="1" w:styleId="af7">
    <w:name w:val="样式 仿宋 三号"/>
    <w:basedOn w:val="a"/>
    <w:qFormat/>
    <w:pPr>
      <w:ind w:firstLineChars="200" w:firstLine="640"/>
    </w:pPr>
    <w:rPr>
      <w:rFonts w:ascii="仿宋" w:eastAsia="仿宋" w:hAnsi="仿宋" w:cs="宋体"/>
      <w:sz w:val="32"/>
    </w:rPr>
  </w:style>
  <w:style w:type="paragraph" w:customStyle="1" w:styleId="NewNew2">
    <w:name w:val="页眉 New New"/>
    <w:basedOn w:val="NewNewNewNewNewNewNewNewNewNewNewNew"/>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NewNewNewNewNewNewNewNewNewNewNew0">
    <w:name w:val="页脚 New New New New New New New New New New New"/>
    <w:basedOn w:val="NewNewNewNewNewNewNewNewNewNewNewNewNew"/>
    <w:qFormat/>
    <w:pPr>
      <w:tabs>
        <w:tab w:val="center" w:pos="4153"/>
        <w:tab w:val="right" w:pos="8306"/>
      </w:tabs>
      <w:snapToGrid w:val="0"/>
      <w:jc w:val="left"/>
    </w:pPr>
    <w:rPr>
      <w:sz w:val="18"/>
      <w:szCs w:val="18"/>
    </w:rPr>
  </w:style>
  <w:style w:type="paragraph" w:customStyle="1" w:styleId="NewNewNewNewNewNewNewNewNew0">
    <w:name w:val="正文 New New New New New New New New New"/>
    <w:qFormat/>
    <w:pPr>
      <w:adjustRightInd w:val="0"/>
      <w:snapToGrid w:val="0"/>
      <w:spacing w:after="200"/>
    </w:pPr>
    <w:rPr>
      <w:rFonts w:ascii="Tahoma" w:hAnsi="Tahoma"/>
      <w:sz w:val="22"/>
      <w:szCs w:val="22"/>
    </w:rPr>
  </w:style>
  <w:style w:type="paragraph" w:customStyle="1" w:styleId="TOC111">
    <w:name w:val="TOC 标题111"/>
    <w:basedOn w:val="1"/>
    <w:next w:val="a"/>
    <w:qFormat/>
    <w:pPr>
      <w:widowControl/>
      <w:spacing w:before="480" w:after="0" w:line="276" w:lineRule="auto"/>
      <w:jc w:val="left"/>
      <w:outlineLvl w:val="9"/>
    </w:pPr>
    <w:rPr>
      <w:rFonts w:ascii="Cambria" w:hAnsi="Cambria"/>
      <w:color w:val="365F91"/>
      <w:kern w:val="0"/>
      <w:sz w:val="28"/>
      <w:szCs w:val="28"/>
    </w:rPr>
  </w:style>
  <w:style w:type="paragraph" w:customStyle="1" w:styleId="22">
    <w:name w:val="列出段落2"/>
    <w:basedOn w:val="a"/>
    <w:qFormat/>
    <w:pPr>
      <w:ind w:firstLineChars="200" w:firstLine="420"/>
    </w:pPr>
    <w:rPr>
      <w:rFonts w:ascii="Calibri" w:hAnsi="Calibri" w:cs="Calibri"/>
      <w:szCs w:val="21"/>
    </w:rPr>
  </w:style>
  <w:style w:type="paragraph" w:customStyle="1" w:styleId="TOC2">
    <w:name w:val="TOC 标题2"/>
    <w:basedOn w:val="1"/>
    <w:next w:val="a"/>
    <w:qFormat/>
    <w:pPr>
      <w:widowControl/>
      <w:spacing w:before="480" w:after="0" w:line="276" w:lineRule="auto"/>
      <w:jc w:val="left"/>
      <w:outlineLvl w:val="9"/>
    </w:pPr>
    <w:rPr>
      <w:rFonts w:ascii="Cambria" w:hAnsi="Cambria"/>
      <w:color w:val="365F91"/>
      <w:kern w:val="0"/>
      <w:sz w:val="28"/>
      <w:szCs w:val="28"/>
    </w:rPr>
  </w:style>
  <w:style w:type="paragraph" w:customStyle="1" w:styleId="NewNewNew2">
    <w:name w:val="页眉 New New New"/>
    <w:basedOn w:val="a"/>
    <w:qFormat/>
    <w:pPr>
      <w:pBdr>
        <w:bottom w:val="single" w:sz="6" w:space="1" w:color="auto"/>
      </w:pBdr>
      <w:tabs>
        <w:tab w:val="center" w:pos="4153"/>
        <w:tab w:val="right" w:pos="8306"/>
      </w:tabs>
      <w:snapToGrid w:val="0"/>
      <w:jc w:val="center"/>
    </w:pPr>
    <w:rPr>
      <w:sz w:val="18"/>
      <w:szCs w:val="18"/>
    </w:rPr>
  </w:style>
  <w:style w:type="paragraph" w:customStyle="1" w:styleId="NewNewNewNewNewNewNewNewNewNewNewNewNewNew0">
    <w:name w:val="页脚 New New New New New New New New New New New New New New"/>
    <w:basedOn w:val="NewNewNewNewNewNewNewNewNewNewNewNewNewNewNewNewNewNew"/>
    <w:qFormat/>
    <w:pPr>
      <w:tabs>
        <w:tab w:val="center" w:pos="4153"/>
        <w:tab w:val="right" w:pos="8306"/>
      </w:tabs>
      <w:snapToGrid w:val="0"/>
      <w:jc w:val="left"/>
    </w:pPr>
    <w:rPr>
      <w:sz w:val="18"/>
      <w:szCs w:val="18"/>
    </w:rPr>
  </w:style>
  <w:style w:type="paragraph" w:customStyle="1" w:styleId="NewNewNewNew2">
    <w:name w:val="页眉 New New New New"/>
    <w:basedOn w:val="a"/>
    <w:qFormat/>
    <w:pPr>
      <w:pBdr>
        <w:bottom w:val="single" w:sz="6" w:space="1" w:color="auto"/>
      </w:pBdr>
      <w:tabs>
        <w:tab w:val="center" w:pos="4153"/>
        <w:tab w:val="right" w:pos="8306"/>
      </w:tabs>
      <w:snapToGrid w:val="0"/>
      <w:jc w:val="center"/>
    </w:pPr>
    <w:rPr>
      <w:sz w:val="18"/>
      <w:szCs w:val="18"/>
    </w:rPr>
  </w:style>
  <w:style w:type="paragraph" w:customStyle="1" w:styleId="111">
    <w:name w:val="日期11"/>
    <w:basedOn w:val="a"/>
    <w:next w:val="a"/>
    <w:qFormat/>
    <w:pPr>
      <w:ind w:leftChars="2500" w:left="100"/>
    </w:pPr>
    <w:rPr>
      <w:sz w:val="28"/>
      <w:szCs w:val="28"/>
      <w:lang w:val="zh-CN"/>
    </w:rPr>
  </w:style>
  <w:style w:type="paragraph" w:customStyle="1" w:styleId="112">
    <w:name w:val="正文文本缩进11"/>
    <w:basedOn w:val="a"/>
    <w:qFormat/>
    <w:pPr>
      <w:ind w:firstLineChars="192" w:firstLine="538"/>
    </w:pPr>
    <w:rPr>
      <w:rFonts w:ascii="仿宋_GB2312" w:eastAsia="仿宋_GB2312"/>
      <w:sz w:val="28"/>
      <w:szCs w:val="22"/>
    </w:rPr>
  </w:style>
  <w:style w:type="paragraph" w:customStyle="1" w:styleId="113">
    <w:name w:val="批注主题11"/>
    <w:basedOn w:val="a4"/>
    <w:next w:val="a4"/>
    <w:qFormat/>
    <w:rPr>
      <w:rFonts w:ascii="Calibri" w:hAnsi="Calibri"/>
      <w:b/>
      <w:bCs/>
      <w:szCs w:val="22"/>
    </w:rPr>
  </w:style>
  <w:style w:type="paragraph" w:customStyle="1" w:styleId="114">
    <w:name w:val="文档结构图11"/>
    <w:basedOn w:val="a"/>
    <w:qFormat/>
    <w:pPr>
      <w:shd w:val="clear" w:color="auto" w:fill="000080"/>
    </w:pPr>
    <w:rPr>
      <w:szCs w:val="22"/>
      <w:shd w:val="clear" w:color="auto" w:fill="000080"/>
    </w:rPr>
  </w:style>
  <w:style w:type="paragraph" w:customStyle="1" w:styleId="210">
    <w:name w:val="列出段落21"/>
    <w:basedOn w:val="a"/>
    <w:qFormat/>
    <w:pPr>
      <w:ind w:firstLineChars="200" w:firstLine="420"/>
    </w:pPr>
    <w:rPr>
      <w:rFonts w:ascii="Calibri" w:hAnsi="Calibri" w:cs="Calibri"/>
      <w:szCs w:val="21"/>
    </w:rPr>
  </w:style>
  <w:style w:type="paragraph" w:customStyle="1" w:styleId="1b">
    <w:name w:val="修订1"/>
    <w:uiPriority w:val="99"/>
    <w:semiHidden/>
    <w:qFormat/>
    <w:rPr>
      <w:kern w:val="2"/>
      <w:sz w:val="21"/>
    </w:rPr>
  </w:style>
  <w:style w:type="paragraph" w:customStyle="1" w:styleId="normalnew">
    <w:name w:val="normalnew"/>
    <w:basedOn w:val="a"/>
    <w:qFormat/>
    <w:pPr>
      <w:widowControl/>
      <w:jc w:val="left"/>
    </w:pPr>
    <w:rPr>
      <w:rFonts w:ascii="宋体" w:hAnsi="宋体" w:cs="宋体"/>
      <w:kern w:val="0"/>
      <w:sz w:val="24"/>
      <w:szCs w:val="24"/>
    </w:rPr>
  </w:style>
  <w:style w:type="character" w:customStyle="1" w:styleId="23">
    <w:name w:val="页码2"/>
    <w:qFormat/>
  </w:style>
  <w:style w:type="character" w:customStyle="1" w:styleId="32">
    <w:name w:val="批注引用3"/>
    <w:qFormat/>
    <w:rPr>
      <w:sz w:val="21"/>
      <w:szCs w:val="21"/>
    </w:rPr>
  </w:style>
  <w:style w:type="paragraph" w:customStyle="1" w:styleId="24">
    <w:name w:val="日期2"/>
    <w:basedOn w:val="a"/>
    <w:next w:val="a"/>
    <w:qFormat/>
    <w:pPr>
      <w:ind w:leftChars="2500" w:left="100"/>
    </w:pPr>
    <w:rPr>
      <w:sz w:val="28"/>
      <w:szCs w:val="28"/>
      <w:lang w:val="zh-CN"/>
    </w:rPr>
  </w:style>
  <w:style w:type="paragraph" w:customStyle="1" w:styleId="25">
    <w:name w:val="正文文本缩进2"/>
    <w:basedOn w:val="a"/>
    <w:qFormat/>
    <w:pPr>
      <w:ind w:firstLineChars="192" w:firstLine="538"/>
    </w:pPr>
    <w:rPr>
      <w:rFonts w:ascii="仿宋_GB2312" w:eastAsia="仿宋_GB2312"/>
      <w:sz w:val="28"/>
    </w:rPr>
  </w:style>
  <w:style w:type="paragraph" w:customStyle="1" w:styleId="26">
    <w:name w:val="批注主题2"/>
    <w:basedOn w:val="a4"/>
    <w:next w:val="a4"/>
    <w:qFormat/>
    <w:rPr>
      <w:b/>
      <w:bCs/>
    </w:rPr>
  </w:style>
  <w:style w:type="paragraph" w:customStyle="1" w:styleId="27">
    <w:name w:val="文档结构图2"/>
    <w:basedOn w:val="a"/>
    <w:qFormat/>
    <w:pPr>
      <w:shd w:val="clear" w:color="auto" w:fill="000080"/>
    </w:pPr>
    <w:rPr>
      <w:shd w:val="clear" w:color="auto" w:fill="000080"/>
    </w:rPr>
  </w:style>
  <w:style w:type="paragraph" w:customStyle="1" w:styleId="33">
    <w:name w:val="列出段落3"/>
    <w:basedOn w:val="a"/>
    <w:qFormat/>
    <w:pPr>
      <w:ind w:firstLineChars="200" w:firstLine="420"/>
    </w:pPr>
    <w:rPr>
      <w:rFonts w:ascii="Calibri" w:hAnsi="Calibri" w:cs="Calibri"/>
      <w:szCs w:val="21"/>
    </w:rPr>
  </w:style>
  <w:style w:type="paragraph" w:customStyle="1" w:styleId="TOC3">
    <w:name w:val="TOC 标题3"/>
    <w:basedOn w:val="1"/>
    <w:next w:val="a"/>
    <w:qFormat/>
    <w:pPr>
      <w:widowControl/>
      <w:spacing w:before="480" w:after="0" w:line="276" w:lineRule="auto"/>
      <w:jc w:val="left"/>
      <w:outlineLvl w:val="9"/>
    </w:pPr>
    <w:rPr>
      <w:rFonts w:ascii="Cambria" w:hAnsi="Cambria"/>
      <w:color w:val="365F91"/>
      <w:kern w:val="0"/>
      <w:sz w:val="28"/>
      <w:szCs w:val="28"/>
    </w:rPr>
  </w:style>
  <w:style w:type="character" w:customStyle="1" w:styleId="Char15">
    <w:name w:val="文档结构图 Char1"/>
    <w:qFormat/>
    <w:rPr>
      <w:rFonts w:ascii="Times New Roman" w:hAnsi="Times New Roman"/>
      <w:kern w:val="2"/>
      <w:sz w:val="21"/>
      <w:shd w:val="clear" w:color="auto" w:fill="000080"/>
    </w:rPr>
  </w:style>
  <w:style w:type="character" w:customStyle="1" w:styleId="Char16">
    <w:name w:val="日期 Char1"/>
    <w:qFormat/>
    <w:rPr>
      <w:rFonts w:ascii="Times New Roman" w:hAnsi="Times New Roman"/>
      <w:kern w:val="2"/>
      <w:sz w:val="28"/>
      <w:szCs w:val="28"/>
      <w:lang w:val="zh-CN"/>
    </w:rPr>
  </w:style>
  <w:style w:type="character" w:customStyle="1" w:styleId="Char17">
    <w:name w:val="正文文本缩进 Char1"/>
    <w:qFormat/>
    <w:rPr>
      <w:rFonts w:ascii="仿宋_GB2312" w:eastAsia="仿宋_GB2312" w:hAnsi="Times New Roman"/>
      <w:kern w:val="2"/>
      <w:sz w:val="28"/>
    </w:rPr>
  </w:style>
  <w:style w:type="character" w:customStyle="1" w:styleId="Char18">
    <w:name w:val="批注主题 Char1"/>
    <w:qFormat/>
    <w:rPr>
      <w:rFonts w:ascii="Times New Roman" w:hAnsi="Times New Roman"/>
      <w:b/>
      <w:bCs/>
      <w:kern w:val="2"/>
      <w:sz w:val="21"/>
    </w:rPr>
  </w:style>
  <w:style w:type="paragraph" w:customStyle="1" w:styleId="1110">
    <w:name w:val="修订111"/>
    <w:hidden/>
    <w:uiPriority w:val="99"/>
    <w:semiHidden/>
    <w:qFormat/>
    <w:rPr>
      <w:rFonts w:ascii="Calibri" w:eastAsia="仿宋_GB2312" w:hAnsi="Calibri" w:cs="黑体"/>
      <w:kern w:val="2"/>
      <w:sz w:val="21"/>
      <w:szCs w:val="22"/>
    </w:rPr>
  </w:style>
  <w:style w:type="paragraph" w:customStyle="1" w:styleId="28">
    <w:name w:val="修订2"/>
    <w:hidden/>
    <w:uiPriority w:val="99"/>
    <w:semiHidden/>
    <w:qFormat/>
    <w:rPr>
      <w:rFonts w:ascii="Calibri" w:eastAsia="仿宋_GB2312" w:hAnsi="Calibri" w:cs="黑体"/>
      <w:kern w:val="2"/>
      <w:sz w:val="21"/>
      <w:szCs w:val="22"/>
    </w:rPr>
  </w:style>
  <w:style w:type="paragraph" w:customStyle="1" w:styleId="34">
    <w:name w:val="修订3"/>
    <w:hidden/>
    <w:uiPriority w:val="99"/>
    <w:semiHidden/>
    <w:qFormat/>
    <w:rPr>
      <w:rFonts w:ascii="Calibri" w:eastAsia="仿宋_GB2312" w:hAnsi="Calibri" w:cs="黑体"/>
      <w:kern w:val="2"/>
      <w:sz w:val="21"/>
      <w:szCs w:val="22"/>
    </w:rPr>
  </w:style>
  <w:style w:type="paragraph" w:customStyle="1" w:styleId="41">
    <w:name w:val="修订4"/>
    <w:hidden/>
    <w:uiPriority w:val="99"/>
    <w:semiHidden/>
    <w:qFormat/>
    <w:rPr>
      <w:rFonts w:ascii="Calibri" w:eastAsia="仿宋_GB2312" w:hAnsi="Calibri" w:cs="黑体"/>
      <w:kern w:val="2"/>
      <w:sz w:val="21"/>
      <w:szCs w:val="22"/>
    </w:rPr>
  </w:style>
  <w:style w:type="paragraph" w:customStyle="1" w:styleId="51">
    <w:name w:val="修订5"/>
    <w:hidden/>
    <w:uiPriority w:val="99"/>
    <w:semiHidden/>
    <w:qFormat/>
    <w:rPr>
      <w:rFonts w:ascii="Calibri" w:eastAsia="仿宋_GB2312" w:hAnsi="Calibri" w:cs="黑体"/>
      <w:kern w:val="2"/>
      <w:sz w:val="21"/>
      <w:szCs w:val="22"/>
    </w:rPr>
  </w:style>
  <w:style w:type="paragraph" w:customStyle="1" w:styleId="msolistparagraph0">
    <w:name w:val="msolistparagraph"/>
    <w:basedOn w:val="a"/>
    <w:qFormat/>
    <w:pPr>
      <w:ind w:firstLineChars="200" w:firstLine="420"/>
    </w:pPr>
    <w:rPr>
      <w:rFonts w:ascii="Calibri" w:hAnsi="Calibri"/>
      <w:szCs w:val="22"/>
    </w:rPr>
  </w:style>
  <w:style w:type="character" w:customStyle="1" w:styleId="font61">
    <w:name w:val="font61"/>
    <w:qFormat/>
    <w:rPr>
      <w:rFonts w:ascii="宋体" w:eastAsia="宋体" w:hAnsi="宋体" w:cs="宋体" w:hint="eastAsia"/>
      <w:color w:val="auto"/>
      <w:sz w:val="24"/>
      <w:szCs w:val="24"/>
      <w:u w:val="none"/>
    </w:rPr>
  </w:style>
  <w:style w:type="character" w:customStyle="1" w:styleId="fr2">
    <w:name w:val="fr2"/>
    <w:basedOn w:val="a0"/>
    <w:qFormat/>
  </w:style>
  <w:style w:type="table" w:customStyle="1" w:styleId="1c">
    <w:name w:val="网格型1"/>
    <w:basedOn w:val="a1"/>
    <w:uiPriority w:val="59"/>
    <w:qFormat/>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网格型2"/>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uiPriority w:val="34"/>
    <w:qFormat/>
    <w:pPr>
      <w:widowControl/>
      <w:spacing w:after="200" w:line="260" w:lineRule="atLeast"/>
      <w:ind w:left="720"/>
      <w:jc w:val="left"/>
    </w:pPr>
    <w:rPr>
      <w:rFonts w:eastAsia="MS Mincho"/>
      <w:kern w:val="0"/>
      <w:sz w:val="22"/>
      <w:lang w:eastAsia="ja-JP"/>
    </w:rPr>
  </w:style>
  <w:style w:type="table" w:customStyle="1" w:styleId="GridTable1Light1">
    <w:name w:val="Grid Table 1 Light1"/>
    <w:basedOn w:val="a1"/>
    <w:uiPriority w:val="46"/>
    <w:qFormat/>
    <w:rPr>
      <w:rFonts w:asciiTheme="minorHAnsi" w:eastAsiaTheme="minorEastAsia" w:hAnsiTheme="minorHAnsi" w:cstheme="minorBidi"/>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Bullet">
    <w:name w:val="D_Bullet"/>
    <w:basedOn w:val="a"/>
    <w:qFormat/>
    <w:pPr>
      <w:widowControl/>
      <w:numPr>
        <w:numId w:val="1"/>
      </w:numPr>
      <w:spacing w:before="140" w:after="140"/>
    </w:pPr>
    <w:rPr>
      <w:rFonts w:eastAsia="彩虹粗仿宋"/>
      <w:color w:val="000000" w:themeColor="text1"/>
      <w:kern w:val="0"/>
      <w:sz w:val="22"/>
      <w:szCs w:val="22"/>
      <w:lang w:val="en-GB" w:eastAsia="en-US" w:bidi="en-US"/>
    </w:rPr>
  </w:style>
  <w:style w:type="paragraph" w:customStyle="1" w:styleId="DBullet2">
    <w:name w:val="D_Bullet 2"/>
    <w:basedOn w:val="DBullet"/>
    <w:qFormat/>
    <w:pPr>
      <w:numPr>
        <w:ilvl w:val="1"/>
      </w:numPr>
    </w:pPr>
  </w:style>
  <w:style w:type="paragraph" w:customStyle="1" w:styleId="DBullet3">
    <w:name w:val="D_Bullet 3"/>
    <w:basedOn w:val="DBullet2"/>
    <w:qFormat/>
    <w:pPr>
      <w:numPr>
        <w:ilvl w:val="2"/>
      </w:numPr>
    </w:pPr>
  </w:style>
  <w:style w:type="paragraph" w:customStyle="1" w:styleId="42">
    <w:name w:val="列出段落4"/>
    <w:basedOn w:val="a"/>
    <w:uiPriority w:val="34"/>
    <w:qFormat/>
    <w:pPr>
      <w:ind w:left="720"/>
      <w:contextualSpacing/>
    </w:pPr>
  </w:style>
  <w:style w:type="character" w:customStyle="1" w:styleId="font51">
    <w:name w:val="font51"/>
    <w:basedOn w:val="a0"/>
    <w:qFormat/>
    <w:rPr>
      <w:rFonts w:ascii="宋体" w:eastAsia="宋体" w:hAnsi="宋体" w:cs="宋体" w:hint="eastAsia"/>
      <w:color w:val="000000"/>
      <w:sz w:val="16"/>
      <w:szCs w:val="16"/>
      <w:u w:val="none"/>
    </w:rPr>
  </w:style>
  <w:style w:type="character" w:customStyle="1" w:styleId="Char3">
    <w:name w:val="纯文本 Char"/>
    <w:basedOn w:val="a0"/>
    <w:link w:val="a7"/>
    <w:uiPriority w:val="99"/>
    <w:qFormat/>
    <w:rPr>
      <w:rFonts w:hAnsi="Courier New" w:cs="Courier New"/>
      <w:kern w:val="2"/>
      <w:sz w:val="21"/>
      <w:szCs w:val="21"/>
    </w:rPr>
  </w:style>
  <w:style w:type="paragraph" w:customStyle="1" w:styleId="115">
    <w:name w:val="列出段落11"/>
    <w:basedOn w:val="a"/>
    <w:uiPriority w:val="34"/>
    <w:qFormat/>
    <w:pPr>
      <w:ind w:firstLineChars="200" w:firstLine="420"/>
    </w:pPr>
  </w:style>
  <w:style w:type="paragraph" w:customStyle="1" w:styleId="TOC11">
    <w:name w:val="TOC 标题11"/>
    <w:basedOn w:val="1"/>
    <w:next w:val="a"/>
    <w:qFormat/>
    <w:pPr>
      <w:widowControl/>
      <w:spacing w:before="480" w:after="0" w:line="276" w:lineRule="auto"/>
      <w:jc w:val="left"/>
      <w:outlineLvl w:val="9"/>
    </w:pPr>
    <w:rPr>
      <w:rFonts w:ascii="Cambria" w:hAnsi="Cambria"/>
      <w:color w:val="365F91"/>
      <w:kern w:val="0"/>
      <w:sz w:val="28"/>
      <w:szCs w:val="28"/>
    </w:rPr>
  </w:style>
  <w:style w:type="paragraph" w:customStyle="1" w:styleId="116">
    <w:name w:val="修订11"/>
    <w:hidden/>
    <w:uiPriority w:val="99"/>
    <w:semiHidden/>
    <w:qFormat/>
    <w:rPr>
      <w:rFonts w:ascii="Calibri" w:eastAsia="仿宋_GB2312" w:hAnsi="Calibri" w:cs="黑体"/>
      <w:kern w:val="2"/>
      <w:sz w:val="21"/>
      <w:szCs w:val="22"/>
    </w:rPr>
  </w:style>
  <w:style w:type="table" w:customStyle="1" w:styleId="35">
    <w:name w:val="网格型3"/>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网格型1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修订6"/>
    <w:hidden/>
    <w:uiPriority w:val="99"/>
    <w:semiHidden/>
    <w:qFormat/>
    <w:rPr>
      <w:rFonts w:ascii="Calibri" w:eastAsia="仿宋_GB2312" w:hAnsi="Calibri" w:cs="黑体"/>
      <w:kern w:val="2"/>
      <w:sz w:val="21"/>
      <w:szCs w:val="22"/>
    </w:rPr>
  </w:style>
  <w:style w:type="table" w:customStyle="1" w:styleId="43">
    <w:name w:val="网格型4"/>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41">
    <w:name w:val="font41"/>
    <w:basedOn w:val="a0"/>
    <w:rPr>
      <w:rFonts w:ascii="宋体" w:eastAsia="宋体" w:hAnsi="宋体" w:cs="宋体" w:hint="eastAsia"/>
      <w:color w:val="000000"/>
      <w:sz w:val="16"/>
      <w:szCs w:val="1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036920-B878-42EF-9A43-6A4F750E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14</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中信银行股份有限公司</dc:title>
  <dc:creator>zhanglan</dc:creator>
  <cp:lastModifiedBy>于彦君</cp:lastModifiedBy>
  <cp:revision>28</cp:revision>
  <cp:lastPrinted>2019-01-08T09:52:00Z</cp:lastPrinted>
  <dcterms:created xsi:type="dcterms:W3CDTF">2019-01-10T01:54:00Z</dcterms:created>
  <dcterms:modified xsi:type="dcterms:W3CDTF">2021-01-22T06:14:00Z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