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E68F1" w14:textId="77777777" w:rsidR="000B40BC" w:rsidRDefault="000B40BC">
      <w:pPr>
        <w:pBdr>
          <w:bottom w:val="single" w:sz="6" w:space="4" w:color="7F7F7F"/>
        </w:pBdr>
        <w:jc w:val="center"/>
        <w:rPr>
          <w:rFonts w:ascii="方正小标宋简体" w:eastAsia="方正小标宋简体" w:hAnsi="Calibri Light"/>
          <w:sz w:val="72"/>
          <w:szCs w:val="108"/>
        </w:rPr>
      </w:pPr>
    </w:p>
    <w:p w14:paraId="7ACE68F2" w14:textId="77777777" w:rsidR="000B40BC" w:rsidRDefault="000B40BC">
      <w:pPr>
        <w:pBdr>
          <w:bottom w:val="single" w:sz="6" w:space="4" w:color="7F7F7F"/>
        </w:pBdr>
        <w:jc w:val="center"/>
        <w:rPr>
          <w:rFonts w:ascii="方正小标宋简体" w:eastAsia="方正小标宋简体" w:hAnsi="Calibri Light"/>
          <w:sz w:val="72"/>
          <w:szCs w:val="108"/>
        </w:rPr>
      </w:pPr>
    </w:p>
    <w:p w14:paraId="7ACE68F3" w14:textId="77777777" w:rsidR="000B40BC" w:rsidRDefault="000B40BC">
      <w:pPr>
        <w:pBdr>
          <w:bottom w:val="single" w:sz="6" w:space="4" w:color="7F7F7F"/>
        </w:pBdr>
        <w:jc w:val="center"/>
        <w:rPr>
          <w:rFonts w:ascii="方正小标宋简体" w:eastAsia="方正小标宋简体" w:hAnsi="Calibri Light"/>
          <w:sz w:val="72"/>
          <w:szCs w:val="108"/>
        </w:rPr>
      </w:pPr>
    </w:p>
    <w:p w14:paraId="7ACE68F4" w14:textId="6D0C42AC" w:rsidR="000B40BC" w:rsidRDefault="001403DD">
      <w:pPr>
        <w:pBdr>
          <w:bottom w:val="single" w:sz="6" w:space="4" w:color="7F7F7F"/>
        </w:pBdr>
        <w:jc w:val="center"/>
        <w:rPr>
          <w:rFonts w:ascii="方正小标宋简体" w:eastAsia="方正小标宋简体" w:hAnsi="Calibri Light"/>
          <w:sz w:val="52"/>
          <w:szCs w:val="52"/>
        </w:rPr>
      </w:pPr>
      <w:r>
        <w:rPr>
          <w:rFonts w:ascii="方正小标宋简体" w:eastAsia="方正小标宋简体" w:hAnsi="Calibri Light" w:hint="eastAsia"/>
          <w:sz w:val="52"/>
          <w:szCs w:val="52"/>
        </w:rPr>
        <w:t>关于伦敦分行金融市场部20</w:t>
      </w:r>
      <w:r>
        <w:rPr>
          <w:rFonts w:ascii="方正小标宋简体" w:eastAsia="方正小标宋简体" w:hAnsi="Calibri Light"/>
          <w:sz w:val="52"/>
          <w:szCs w:val="52"/>
        </w:rPr>
        <w:t>2</w:t>
      </w:r>
      <w:r w:rsidR="009431E2">
        <w:rPr>
          <w:rFonts w:ascii="方正小标宋简体" w:eastAsia="方正小标宋简体" w:hAnsi="Calibri Light"/>
          <w:sz w:val="52"/>
          <w:szCs w:val="52"/>
        </w:rPr>
        <w:t>1</w:t>
      </w:r>
      <w:r>
        <w:rPr>
          <w:rFonts w:ascii="方正小标宋简体" w:eastAsia="方正小标宋简体" w:hAnsi="Calibri Light" w:hint="eastAsia"/>
          <w:sz w:val="52"/>
          <w:szCs w:val="52"/>
        </w:rPr>
        <w:t>年度</w:t>
      </w:r>
    </w:p>
    <w:p w14:paraId="7ACE68F5" w14:textId="77777777" w:rsidR="000B40BC" w:rsidRDefault="001403DD">
      <w:pPr>
        <w:pBdr>
          <w:bottom w:val="single" w:sz="6" w:space="4" w:color="7F7F7F"/>
        </w:pBdr>
        <w:jc w:val="center"/>
        <w:rPr>
          <w:rFonts w:ascii="方正小标宋简体" w:eastAsia="方正小标宋简体" w:hAnsi="Calibri Light"/>
          <w:sz w:val="52"/>
          <w:szCs w:val="52"/>
        </w:rPr>
      </w:pPr>
      <w:r>
        <w:rPr>
          <w:rFonts w:ascii="方正小标宋简体" w:eastAsia="方正小标宋简体" w:hAnsi="Calibri Light" w:hint="eastAsia"/>
          <w:sz w:val="52"/>
          <w:szCs w:val="52"/>
        </w:rPr>
        <w:t>金融市场业务转授权和风险限额分配的通知</w:t>
      </w:r>
    </w:p>
    <w:p w14:paraId="7ACE68F6" w14:textId="0D036DB9" w:rsidR="000B40BC" w:rsidRDefault="001403DD">
      <w:pPr>
        <w:spacing w:before="240"/>
        <w:jc w:val="center"/>
        <w:rPr>
          <w:rFonts w:ascii="方正小标宋简体" w:eastAsia="方正小标宋简体"/>
          <w:caps/>
          <w:sz w:val="36"/>
          <w:szCs w:val="36"/>
        </w:rPr>
      </w:pPr>
      <w:r>
        <w:rPr>
          <w:rFonts w:ascii="方正小标宋简体" w:eastAsia="方正小标宋简体" w:hint="eastAsia"/>
          <w:caps/>
          <w:sz w:val="36"/>
          <w:szCs w:val="36"/>
        </w:rPr>
        <w:t>20</w:t>
      </w:r>
      <w:r>
        <w:rPr>
          <w:rFonts w:ascii="方正小标宋简体" w:eastAsia="方正小标宋简体"/>
          <w:caps/>
          <w:sz w:val="36"/>
          <w:szCs w:val="36"/>
        </w:rPr>
        <w:t>2</w:t>
      </w:r>
      <w:r w:rsidR="009431E2">
        <w:rPr>
          <w:rFonts w:ascii="方正小标宋简体" w:eastAsia="方正小标宋简体"/>
          <w:caps/>
          <w:sz w:val="36"/>
          <w:szCs w:val="36"/>
        </w:rPr>
        <w:t>1</w:t>
      </w:r>
      <w:r>
        <w:rPr>
          <w:rFonts w:ascii="方正小标宋简体" w:eastAsia="方正小标宋简体" w:hint="eastAsia"/>
          <w:caps/>
          <w:sz w:val="36"/>
          <w:szCs w:val="36"/>
        </w:rPr>
        <w:t>年</w:t>
      </w:r>
      <w:r w:rsidR="00C42DDE">
        <w:rPr>
          <w:rFonts w:ascii="方正小标宋简体" w:eastAsia="方正小标宋简体" w:hint="eastAsia"/>
          <w:caps/>
          <w:sz w:val="36"/>
          <w:szCs w:val="36"/>
        </w:rPr>
        <w:t>第</w:t>
      </w:r>
      <w:r w:rsidR="009431E2">
        <w:rPr>
          <w:rFonts w:ascii="方正小标宋简体" w:eastAsia="方正小标宋简体"/>
          <w:caps/>
          <w:sz w:val="36"/>
          <w:szCs w:val="36"/>
        </w:rPr>
        <w:t>1</w:t>
      </w:r>
      <w:r>
        <w:rPr>
          <w:rFonts w:ascii="方正小标宋简体" w:eastAsia="方正小标宋简体" w:hint="eastAsia"/>
          <w:caps/>
          <w:sz w:val="36"/>
          <w:szCs w:val="36"/>
        </w:rPr>
        <w:t>版</w:t>
      </w:r>
    </w:p>
    <w:p w14:paraId="7ACE68F7" w14:textId="77777777" w:rsidR="000B40BC" w:rsidRDefault="000B40BC">
      <w:pPr>
        <w:snapToGrid w:val="0"/>
        <w:spacing w:line="560" w:lineRule="atLeast"/>
        <w:jc w:val="center"/>
        <w:rPr>
          <w:rFonts w:ascii="方正小标宋简体" w:eastAsia="方正小标宋简体" w:hAnsi="仿宋"/>
          <w:spacing w:val="12"/>
          <w:sz w:val="44"/>
          <w:szCs w:val="44"/>
        </w:rPr>
      </w:pPr>
    </w:p>
    <w:p w14:paraId="7ACE68F8" w14:textId="77777777" w:rsidR="000B40BC" w:rsidRDefault="000B40BC">
      <w:pPr>
        <w:snapToGrid w:val="0"/>
        <w:spacing w:line="560" w:lineRule="atLeast"/>
        <w:jc w:val="center"/>
        <w:rPr>
          <w:rFonts w:ascii="方正小标宋简体" w:eastAsia="方正小标宋简体" w:hAnsi="仿宋"/>
          <w:spacing w:val="12"/>
          <w:sz w:val="44"/>
          <w:szCs w:val="44"/>
        </w:rPr>
      </w:pPr>
    </w:p>
    <w:p w14:paraId="7ACE68F9" w14:textId="77777777" w:rsidR="000B40BC" w:rsidRDefault="000B40BC">
      <w:pPr>
        <w:snapToGrid w:val="0"/>
        <w:spacing w:line="560" w:lineRule="atLeast"/>
        <w:jc w:val="center"/>
        <w:rPr>
          <w:rFonts w:ascii="方正小标宋简体" w:eastAsia="方正小标宋简体" w:hAnsi="仿宋"/>
          <w:spacing w:val="12"/>
          <w:sz w:val="44"/>
          <w:szCs w:val="44"/>
        </w:rPr>
      </w:pPr>
    </w:p>
    <w:p w14:paraId="7ACE68FA" w14:textId="77777777" w:rsidR="000B40BC" w:rsidRDefault="000B40BC">
      <w:pPr>
        <w:snapToGrid w:val="0"/>
        <w:spacing w:line="560" w:lineRule="atLeast"/>
        <w:jc w:val="center"/>
        <w:rPr>
          <w:rFonts w:ascii="方正小标宋简体" w:eastAsia="方正小标宋简体" w:hAnsi="仿宋"/>
          <w:spacing w:val="12"/>
          <w:sz w:val="44"/>
          <w:szCs w:val="44"/>
        </w:rPr>
      </w:pPr>
    </w:p>
    <w:p w14:paraId="7ACE68FB" w14:textId="77777777" w:rsidR="000B40BC" w:rsidRDefault="000B40BC">
      <w:pPr>
        <w:snapToGrid w:val="0"/>
        <w:spacing w:line="560" w:lineRule="atLeast"/>
        <w:jc w:val="center"/>
        <w:rPr>
          <w:rFonts w:ascii="方正小标宋简体" w:eastAsia="方正小标宋简体" w:hAnsi="仿宋"/>
          <w:spacing w:val="12"/>
          <w:sz w:val="44"/>
          <w:szCs w:val="44"/>
        </w:rPr>
      </w:pPr>
    </w:p>
    <w:p w14:paraId="7ACE68FC" w14:textId="77777777" w:rsidR="000B40BC" w:rsidRDefault="000B40BC">
      <w:pPr>
        <w:snapToGrid w:val="0"/>
        <w:spacing w:line="560" w:lineRule="atLeast"/>
        <w:jc w:val="center"/>
        <w:rPr>
          <w:rFonts w:ascii="方正小标宋简体" w:eastAsia="方正小标宋简体" w:hAnsi="仿宋"/>
          <w:spacing w:val="12"/>
          <w:sz w:val="44"/>
          <w:szCs w:val="44"/>
        </w:rPr>
      </w:pPr>
    </w:p>
    <w:p w14:paraId="7ACE68FD" w14:textId="77777777" w:rsidR="000B40BC" w:rsidRDefault="000B40BC">
      <w:pPr>
        <w:snapToGrid w:val="0"/>
        <w:spacing w:line="560" w:lineRule="atLeast"/>
        <w:jc w:val="center"/>
        <w:rPr>
          <w:rFonts w:ascii="方正小标宋简体" w:eastAsia="方正小标宋简体" w:hAnsi="仿宋"/>
          <w:spacing w:val="12"/>
          <w:sz w:val="44"/>
          <w:szCs w:val="44"/>
        </w:rPr>
        <w:sectPr w:rsidR="000B40BC">
          <w:footerReference w:type="default" r:id="rId13"/>
          <w:pgSz w:w="11906" w:h="16838"/>
          <w:pgMar w:top="2098" w:right="1474" w:bottom="1985" w:left="1531" w:header="851" w:footer="992" w:gutter="0"/>
          <w:cols w:space="720"/>
          <w:docGrid w:type="lines" w:linePitch="312"/>
        </w:sectPr>
      </w:pP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6033"/>
      </w:tblGrid>
      <w:tr w:rsidR="000B40BC" w14:paraId="7ACE68FF" w14:textId="77777777">
        <w:trPr>
          <w:trHeight w:val="558"/>
          <w:jc w:val="center"/>
        </w:trPr>
        <w:tc>
          <w:tcPr>
            <w:tcW w:w="8296" w:type="dxa"/>
            <w:gridSpan w:val="3"/>
            <w:vAlign w:val="center"/>
          </w:tcPr>
          <w:p w14:paraId="7ACE68FE" w14:textId="77777777" w:rsidR="000B40BC" w:rsidRDefault="001403DD">
            <w:pPr>
              <w:widowControl w:val="0"/>
              <w:ind w:firstLine="422"/>
              <w:jc w:val="center"/>
              <w:rPr>
                <w:rFonts w:ascii="仿宋" w:eastAsia="仿宋" w:hAnsi="仿宋" w:cs="Times New Roman"/>
                <w:b/>
                <w:kern w:val="2"/>
                <w:sz w:val="21"/>
                <w:szCs w:val="22"/>
              </w:rPr>
            </w:pPr>
            <w:r>
              <w:rPr>
                <w:rFonts w:ascii="仿宋" w:eastAsia="仿宋" w:hAnsi="仿宋" w:cs="Times New Roman" w:hint="eastAsia"/>
                <w:b/>
                <w:kern w:val="2"/>
                <w:sz w:val="21"/>
                <w:szCs w:val="22"/>
              </w:rPr>
              <w:lastRenderedPageBreak/>
              <w:t>版本</w:t>
            </w:r>
            <w:r>
              <w:rPr>
                <w:rFonts w:ascii="仿宋" w:eastAsia="仿宋" w:hAnsi="仿宋" w:cs="Times New Roman"/>
                <w:b/>
                <w:kern w:val="2"/>
                <w:sz w:val="21"/>
                <w:szCs w:val="22"/>
              </w:rPr>
              <w:t>说明</w:t>
            </w:r>
          </w:p>
        </w:tc>
      </w:tr>
      <w:tr w:rsidR="000B40BC" w14:paraId="7ACE6903" w14:textId="77777777">
        <w:trPr>
          <w:trHeight w:val="410"/>
          <w:jc w:val="center"/>
        </w:trPr>
        <w:tc>
          <w:tcPr>
            <w:tcW w:w="704" w:type="dxa"/>
            <w:vAlign w:val="center"/>
          </w:tcPr>
          <w:p w14:paraId="7ACE6900" w14:textId="77777777" w:rsidR="000B40BC" w:rsidRDefault="001403D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  <w:sz w:val="21"/>
                <w:szCs w:val="22"/>
              </w:rPr>
            </w:pPr>
            <w:r>
              <w:rPr>
                <w:rFonts w:ascii="仿宋" w:eastAsia="仿宋" w:hAnsi="仿宋" w:cs="Times New Roman" w:hint="eastAsia"/>
                <w:b/>
                <w:kern w:val="2"/>
                <w:sz w:val="21"/>
                <w:szCs w:val="22"/>
              </w:rPr>
              <w:t>编号</w:t>
            </w:r>
          </w:p>
        </w:tc>
        <w:tc>
          <w:tcPr>
            <w:tcW w:w="1559" w:type="dxa"/>
            <w:vAlign w:val="center"/>
          </w:tcPr>
          <w:p w14:paraId="7ACE6901" w14:textId="77777777" w:rsidR="000B40BC" w:rsidRDefault="001403D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  <w:sz w:val="21"/>
                <w:szCs w:val="22"/>
              </w:rPr>
            </w:pPr>
            <w:r>
              <w:rPr>
                <w:rFonts w:ascii="仿宋" w:eastAsia="仿宋" w:hAnsi="仿宋" w:cs="Times New Roman" w:hint="eastAsia"/>
                <w:b/>
                <w:kern w:val="2"/>
                <w:sz w:val="21"/>
                <w:szCs w:val="22"/>
              </w:rPr>
              <w:t>版本</w:t>
            </w:r>
          </w:p>
        </w:tc>
        <w:tc>
          <w:tcPr>
            <w:tcW w:w="6033" w:type="dxa"/>
            <w:vAlign w:val="center"/>
          </w:tcPr>
          <w:p w14:paraId="7ACE6902" w14:textId="77777777" w:rsidR="000B40BC" w:rsidRDefault="001403D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  <w:sz w:val="21"/>
                <w:szCs w:val="22"/>
              </w:rPr>
            </w:pPr>
            <w:r>
              <w:rPr>
                <w:rFonts w:ascii="仿宋" w:eastAsia="仿宋" w:hAnsi="仿宋" w:cs="Times New Roman" w:hint="eastAsia"/>
                <w:b/>
                <w:kern w:val="2"/>
                <w:sz w:val="21"/>
                <w:szCs w:val="22"/>
              </w:rPr>
              <w:t>修订</w:t>
            </w:r>
            <w:r>
              <w:rPr>
                <w:rFonts w:ascii="仿宋" w:eastAsia="仿宋" w:hAnsi="仿宋" w:cs="Times New Roman"/>
                <w:b/>
                <w:kern w:val="2"/>
                <w:sz w:val="21"/>
                <w:szCs w:val="22"/>
              </w:rPr>
              <w:t>内容</w:t>
            </w:r>
          </w:p>
        </w:tc>
      </w:tr>
      <w:tr w:rsidR="000B40BC" w14:paraId="7ACE6907" w14:textId="77777777">
        <w:trPr>
          <w:trHeight w:val="544"/>
          <w:jc w:val="center"/>
        </w:trPr>
        <w:tc>
          <w:tcPr>
            <w:tcW w:w="704" w:type="dxa"/>
            <w:vAlign w:val="center"/>
          </w:tcPr>
          <w:p w14:paraId="7ACE6904" w14:textId="77777777" w:rsidR="000B40BC" w:rsidRDefault="001403DD">
            <w:pPr>
              <w:widowControl w:val="0"/>
              <w:jc w:val="center"/>
              <w:rPr>
                <w:rFonts w:ascii="仿宋" w:eastAsia="仿宋" w:hAnsi="仿宋" w:cs="Times New Roman"/>
                <w:kern w:val="2"/>
                <w:sz w:val="21"/>
                <w:szCs w:val="22"/>
              </w:rPr>
            </w:pPr>
            <w:r>
              <w:rPr>
                <w:rFonts w:ascii="仿宋" w:eastAsia="仿宋" w:hAnsi="仿宋" w:cs="Times New Roman"/>
                <w:kern w:val="2"/>
                <w:sz w:val="21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7ACE6905" w14:textId="0D9A1EA2" w:rsidR="000B40BC" w:rsidRDefault="001403DD" w:rsidP="009431E2">
            <w:pPr>
              <w:widowControl w:val="0"/>
              <w:jc w:val="center"/>
              <w:rPr>
                <w:rFonts w:ascii="仿宋" w:eastAsia="仿宋" w:hAnsi="仿宋" w:cs="Times New Roman"/>
                <w:kern w:val="2"/>
                <w:sz w:val="21"/>
                <w:szCs w:val="22"/>
              </w:rPr>
            </w:pPr>
            <w:r>
              <w:rPr>
                <w:rFonts w:ascii="仿宋" w:eastAsia="仿宋" w:hAnsi="仿宋" w:cs="Times New Roman"/>
                <w:kern w:val="2"/>
                <w:sz w:val="21"/>
                <w:szCs w:val="22"/>
              </w:rPr>
              <w:t>202</w:t>
            </w:r>
            <w:r w:rsidR="009431E2">
              <w:rPr>
                <w:rFonts w:ascii="仿宋" w:eastAsia="仿宋" w:hAnsi="仿宋" w:cs="Times New Roman"/>
                <w:kern w:val="2"/>
                <w:sz w:val="21"/>
                <w:szCs w:val="22"/>
              </w:rPr>
              <w:t>1</w:t>
            </w:r>
            <w:r>
              <w:rPr>
                <w:rFonts w:ascii="仿宋" w:eastAsia="仿宋" w:hAnsi="仿宋" w:cs="Times New Roman" w:hint="eastAsia"/>
                <w:kern w:val="2"/>
                <w:sz w:val="21"/>
                <w:szCs w:val="22"/>
              </w:rPr>
              <w:t>年</w:t>
            </w:r>
            <w:r>
              <w:rPr>
                <w:rFonts w:ascii="仿宋" w:eastAsia="仿宋" w:hAnsi="仿宋" w:cs="Times New Roman"/>
                <w:kern w:val="2"/>
                <w:sz w:val="21"/>
                <w:szCs w:val="22"/>
              </w:rPr>
              <w:t>第1版</w:t>
            </w:r>
          </w:p>
        </w:tc>
        <w:tc>
          <w:tcPr>
            <w:tcW w:w="6033" w:type="dxa"/>
            <w:vAlign w:val="center"/>
          </w:tcPr>
          <w:p w14:paraId="7ACE6906" w14:textId="77777777" w:rsidR="000B40BC" w:rsidRDefault="001403DD">
            <w:pPr>
              <w:widowControl w:val="0"/>
              <w:numPr>
                <w:ilvl w:val="0"/>
                <w:numId w:val="2"/>
              </w:numPr>
              <w:ind w:firstLine="0"/>
              <w:jc w:val="both"/>
              <w:rPr>
                <w:rFonts w:ascii="仿宋" w:eastAsia="仿宋" w:hAnsi="仿宋" w:cs="Times New Roman"/>
                <w:kern w:val="2"/>
                <w:sz w:val="21"/>
                <w:szCs w:val="22"/>
              </w:rPr>
            </w:pPr>
            <w:r>
              <w:rPr>
                <w:rFonts w:ascii="仿宋" w:eastAsia="仿宋" w:hAnsi="仿宋" w:cs="Times New Roman" w:hint="eastAsia"/>
                <w:kern w:val="2"/>
                <w:sz w:val="21"/>
                <w:szCs w:val="22"/>
              </w:rPr>
              <w:t>创建。</w:t>
            </w:r>
          </w:p>
        </w:tc>
      </w:tr>
    </w:tbl>
    <w:p w14:paraId="7ACE690C" w14:textId="77777777" w:rsidR="000B40BC" w:rsidRDefault="000B40BC">
      <w:pPr>
        <w:widowControl w:val="0"/>
        <w:snapToGrid w:val="0"/>
        <w:spacing w:line="560" w:lineRule="atLeast"/>
        <w:jc w:val="center"/>
        <w:rPr>
          <w:rFonts w:ascii="方正小标宋简体" w:eastAsia="方正小标宋简体" w:hAnsi="仿宋" w:cs="Times New Roman"/>
          <w:spacing w:val="12"/>
          <w:kern w:val="2"/>
          <w:sz w:val="44"/>
          <w:szCs w:val="44"/>
        </w:rPr>
      </w:pPr>
    </w:p>
    <w:p w14:paraId="7ACE690D" w14:textId="77777777" w:rsidR="000B40BC" w:rsidRDefault="000B40BC">
      <w:pPr>
        <w:widowControl w:val="0"/>
        <w:snapToGrid w:val="0"/>
        <w:spacing w:line="560" w:lineRule="atLeast"/>
        <w:jc w:val="center"/>
        <w:rPr>
          <w:rFonts w:ascii="方正小标宋简体" w:eastAsia="方正小标宋简体" w:hAnsi="仿宋" w:cs="Times New Roman"/>
          <w:spacing w:val="12"/>
          <w:kern w:val="2"/>
          <w:sz w:val="44"/>
          <w:szCs w:val="44"/>
        </w:rPr>
        <w:sectPr w:rsidR="000B40BC">
          <w:footerReference w:type="default" r:id="rId14"/>
          <w:pgSz w:w="11900" w:h="16840"/>
          <w:pgMar w:top="2098" w:right="1474" w:bottom="1985" w:left="1531" w:header="720" w:footer="720" w:gutter="0"/>
          <w:cols w:space="720"/>
          <w:docGrid w:linePitch="400"/>
        </w:sectPr>
      </w:pPr>
    </w:p>
    <w:p w14:paraId="7ACE690E" w14:textId="4F07CE73" w:rsidR="000B40BC" w:rsidRDefault="001403DD">
      <w:pPr>
        <w:widowControl w:val="0"/>
        <w:snapToGrid w:val="0"/>
        <w:spacing w:line="560" w:lineRule="atLeast"/>
        <w:jc w:val="center"/>
        <w:rPr>
          <w:rFonts w:ascii="方正小标宋简体" w:eastAsia="方正小标宋简体" w:hAnsi="仿宋" w:cs="Times New Roman"/>
          <w:spacing w:val="12"/>
          <w:kern w:val="2"/>
          <w:sz w:val="44"/>
          <w:szCs w:val="44"/>
        </w:rPr>
      </w:pPr>
      <w:r>
        <w:rPr>
          <w:rFonts w:ascii="方正小标宋简体" w:eastAsia="方正小标宋简体" w:hAnsi="仿宋" w:cs="Times New Roman" w:hint="eastAsia"/>
          <w:spacing w:val="12"/>
          <w:kern w:val="2"/>
          <w:sz w:val="44"/>
          <w:szCs w:val="44"/>
        </w:rPr>
        <w:lastRenderedPageBreak/>
        <w:t>关于伦敦分行金融市场部</w:t>
      </w:r>
      <w:r>
        <w:rPr>
          <w:rFonts w:ascii="方正小标宋简体" w:eastAsia="方正小标宋简体" w:hAnsi="仿宋" w:cs="Times New Roman"/>
          <w:spacing w:val="12"/>
          <w:kern w:val="2"/>
          <w:sz w:val="44"/>
          <w:szCs w:val="44"/>
        </w:rPr>
        <w:t>202</w:t>
      </w:r>
      <w:r w:rsidR="009431E2">
        <w:rPr>
          <w:rFonts w:ascii="方正小标宋简体" w:eastAsia="方正小标宋简体" w:hAnsi="仿宋" w:cs="Times New Roman"/>
          <w:spacing w:val="12"/>
          <w:kern w:val="2"/>
          <w:sz w:val="44"/>
          <w:szCs w:val="44"/>
        </w:rPr>
        <w:t>1</w:t>
      </w:r>
      <w:r>
        <w:rPr>
          <w:rFonts w:ascii="方正小标宋简体" w:eastAsia="方正小标宋简体" w:hAnsi="仿宋" w:cs="Times New Roman" w:hint="eastAsia"/>
          <w:spacing w:val="12"/>
          <w:kern w:val="2"/>
          <w:sz w:val="44"/>
          <w:szCs w:val="44"/>
        </w:rPr>
        <w:t>年度金融市场业务转授权和风险限额分配的通知</w:t>
      </w:r>
    </w:p>
    <w:p w14:paraId="7ACE690F" w14:textId="77777777" w:rsidR="000B40BC" w:rsidRDefault="000B40BC">
      <w:pPr>
        <w:widowControl w:val="0"/>
        <w:autoSpaceDE w:val="0"/>
        <w:autoSpaceDN w:val="0"/>
        <w:adjustRightInd w:val="0"/>
        <w:snapToGrid w:val="0"/>
        <w:spacing w:line="560" w:lineRule="atLeast"/>
        <w:jc w:val="both"/>
        <w:rPr>
          <w:rFonts w:ascii="Calibri" w:eastAsia="方正小标宋简体" w:hAnsi="Calibri" w:cs="Times New Roman"/>
          <w:bCs/>
          <w:spacing w:val="12"/>
          <w:kern w:val="2"/>
          <w:sz w:val="32"/>
          <w:szCs w:val="32"/>
          <w:lang w:val="en-GB"/>
        </w:rPr>
      </w:pPr>
    </w:p>
    <w:p w14:paraId="7ACE6910" w14:textId="77777777" w:rsidR="000B40BC" w:rsidRDefault="001403DD">
      <w:pPr>
        <w:widowControl w:val="0"/>
        <w:adjustRightInd w:val="0"/>
        <w:snapToGrid w:val="0"/>
        <w:spacing w:line="560" w:lineRule="atLeast"/>
        <w:ind w:firstLineChars="192" w:firstLine="637"/>
        <w:jc w:val="both"/>
        <w:rPr>
          <w:rFonts w:ascii="黑体" w:eastAsia="黑体" w:hAnsi="黑体" w:cs="Times New Roman"/>
          <w:spacing w:val="12"/>
          <w:kern w:val="2"/>
          <w:sz w:val="32"/>
          <w:szCs w:val="32"/>
        </w:rPr>
      </w:pPr>
      <w:r>
        <w:rPr>
          <w:rFonts w:ascii="黑体" w:eastAsia="黑体" w:hAnsi="黑体" w:cs="Times New Roman" w:hint="eastAsia"/>
          <w:spacing w:val="12"/>
          <w:kern w:val="2"/>
          <w:sz w:val="32"/>
          <w:szCs w:val="32"/>
        </w:rPr>
        <w:t>一</w:t>
      </w:r>
      <w:r>
        <w:rPr>
          <w:rFonts w:ascii="黑体" w:eastAsia="黑体" w:hAnsi="黑体" w:cs="Times New Roman"/>
          <w:spacing w:val="12"/>
          <w:kern w:val="2"/>
          <w:sz w:val="32"/>
          <w:szCs w:val="32"/>
        </w:rPr>
        <w:t>、</w:t>
      </w:r>
      <w:r>
        <w:rPr>
          <w:rFonts w:ascii="黑体" w:eastAsia="黑体" w:hAnsi="黑体" w:cs="Times New Roman" w:hint="eastAsia"/>
          <w:spacing w:val="12"/>
          <w:kern w:val="2"/>
          <w:sz w:val="32"/>
          <w:szCs w:val="32"/>
        </w:rPr>
        <w:t>转授权</w:t>
      </w:r>
    </w:p>
    <w:p w14:paraId="7ACE6911" w14:textId="77777777" w:rsidR="000B40BC" w:rsidRDefault="001403DD">
      <w:pPr>
        <w:widowControl w:val="0"/>
        <w:adjustRightInd w:val="0"/>
        <w:snapToGrid w:val="0"/>
        <w:spacing w:line="560" w:lineRule="atLeast"/>
        <w:ind w:firstLineChars="200" w:firstLine="664"/>
        <w:jc w:val="both"/>
        <w:rPr>
          <w:rFonts w:ascii="楷体" w:eastAsia="楷体" w:hAnsi="楷体" w:cs="Times New Roman"/>
          <w:spacing w:val="12"/>
          <w:kern w:val="2"/>
          <w:sz w:val="32"/>
          <w:szCs w:val="32"/>
        </w:rPr>
      </w:pPr>
      <w:r>
        <w:rPr>
          <w:rFonts w:ascii="楷体" w:eastAsia="楷体" w:hAnsi="楷体" w:cs="Times New Roman" w:hint="eastAsia"/>
          <w:spacing w:val="12"/>
          <w:kern w:val="2"/>
          <w:sz w:val="32"/>
          <w:szCs w:val="32"/>
        </w:rPr>
        <w:t>（一）业务准入</w:t>
      </w:r>
    </w:p>
    <w:p w14:paraId="7ACE6912" w14:textId="77777777" w:rsidR="000B40BC" w:rsidRDefault="001403DD">
      <w:pPr>
        <w:adjustRightInd w:val="0"/>
        <w:snapToGrid w:val="0"/>
        <w:spacing w:line="560" w:lineRule="atLeast"/>
        <w:ind w:firstLineChars="200" w:firstLine="664"/>
        <w:rPr>
          <w:rFonts w:ascii="仿宋" w:eastAsia="仿宋" w:hAnsi="仿宋"/>
          <w:spacing w:val="12"/>
          <w:sz w:val="32"/>
          <w:szCs w:val="32"/>
        </w:rPr>
      </w:pPr>
      <w:r>
        <w:rPr>
          <w:rFonts w:ascii="仿宋" w:eastAsia="仿宋" w:hAnsi="仿宋" w:hint="eastAsia"/>
          <w:spacing w:val="12"/>
          <w:sz w:val="32"/>
          <w:szCs w:val="32"/>
        </w:rPr>
        <w:t>1</w:t>
      </w:r>
      <w:r>
        <w:rPr>
          <w:rFonts w:ascii="仿宋" w:eastAsia="仿宋" w:hAnsi="仿宋"/>
          <w:spacing w:val="12"/>
          <w:sz w:val="32"/>
          <w:szCs w:val="32"/>
        </w:rPr>
        <w:t>.交易业务</w:t>
      </w:r>
    </w:p>
    <w:p w14:paraId="7ACE6913" w14:textId="77777777" w:rsidR="000B40BC" w:rsidRDefault="001403DD">
      <w:pPr>
        <w:adjustRightInd w:val="0"/>
        <w:snapToGrid w:val="0"/>
        <w:spacing w:line="560" w:lineRule="atLeast"/>
        <w:ind w:firstLineChars="200" w:firstLine="640"/>
        <w:rPr>
          <w:rFonts w:ascii="Calibri" w:eastAsia="仿宋" w:hAnsi="Calibri" w:cs="Calibri"/>
          <w:sz w:val="32"/>
          <w:szCs w:val="32"/>
        </w:rPr>
      </w:pPr>
      <w:r>
        <w:rPr>
          <w:rFonts w:ascii="Calibri" w:eastAsia="仿宋" w:hAnsi="Calibri" w:cs="Calibri"/>
          <w:sz w:val="32"/>
          <w:szCs w:val="32"/>
        </w:rPr>
        <w:t>（</w:t>
      </w:r>
      <w:r>
        <w:rPr>
          <w:rFonts w:ascii="Calibri" w:eastAsia="仿宋" w:hAnsi="Calibri" w:cs="Calibri"/>
          <w:sz w:val="32"/>
          <w:szCs w:val="32"/>
        </w:rPr>
        <w:t>1</w:t>
      </w:r>
      <w:r>
        <w:rPr>
          <w:rFonts w:ascii="Calibri" w:eastAsia="仿宋" w:hAnsi="Calibri" w:cs="Calibri"/>
          <w:sz w:val="32"/>
          <w:szCs w:val="32"/>
        </w:rPr>
        <w:t>）外币利率交易业务</w:t>
      </w:r>
    </w:p>
    <w:p w14:paraId="7ACE6914" w14:textId="77777777" w:rsidR="000B40BC" w:rsidRDefault="000B40BC">
      <w:pPr>
        <w:adjustRightInd w:val="0"/>
        <w:snapToGrid w:val="0"/>
        <w:jc w:val="center"/>
        <w:rPr>
          <w:rFonts w:ascii="Calibri" w:eastAsia="仿宋" w:hAnsi="Calibri" w:cs="Calibri"/>
          <w:szCs w:val="21"/>
        </w:rPr>
      </w:pPr>
    </w:p>
    <w:tbl>
      <w:tblPr>
        <w:tblW w:w="91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7308"/>
      </w:tblGrid>
      <w:tr w:rsidR="000B40BC" w14:paraId="7ACE6916" w14:textId="77777777">
        <w:trPr>
          <w:trHeight w:val="453"/>
          <w:tblHeader/>
          <w:jc w:val="center"/>
        </w:trPr>
        <w:tc>
          <w:tcPr>
            <w:tcW w:w="9117" w:type="dxa"/>
            <w:gridSpan w:val="2"/>
            <w:vAlign w:val="center"/>
          </w:tcPr>
          <w:p w14:paraId="7ACE6915" w14:textId="77777777" w:rsidR="000B40BC" w:rsidRDefault="001403D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产品准入</w:t>
            </w:r>
          </w:p>
        </w:tc>
      </w:tr>
      <w:tr w:rsidR="000B40BC" w14:paraId="7ACE6919" w14:textId="77777777">
        <w:trPr>
          <w:trHeight w:val="451"/>
          <w:jc w:val="center"/>
        </w:trPr>
        <w:tc>
          <w:tcPr>
            <w:tcW w:w="1809" w:type="dxa"/>
            <w:vAlign w:val="center"/>
          </w:tcPr>
          <w:p w14:paraId="7ACE6917" w14:textId="305198CB" w:rsidR="000B40BC" w:rsidRDefault="009431E2">
            <w:pPr>
              <w:spacing w:after="120"/>
              <w:rPr>
                <w:rFonts w:ascii="Calibri" w:hAnsi="Calibri" w:cs="Calibri"/>
              </w:rPr>
            </w:pPr>
            <w:r w:rsidRPr="003647EE">
              <w:rPr>
                <w:rFonts w:ascii="宋体" w:eastAsia="宋体" w:hAnsi="宋体" w:cs="宋体" w:hint="eastAsia"/>
              </w:rPr>
              <w:t>代客外币利率衍生产品平盘业务</w:t>
            </w:r>
          </w:p>
        </w:tc>
        <w:tc>
          <w:tcPr>
            <w:tcW w:w="7308" w:type="dxa"/>
            <w:vAlign w:val="center"/>
          </w:tcPr>
          <w:p w14:paraId="7ACE6918" w14:textId="77777777" w:rsidR="000B40BC" w:rsidRDefault="001403DD">
            <w:pPr>
              <w:pStyle w:val="1"/>
              <w:widowControl w:val="0"/>
              <w:numPr>
                <w:ilvl w:val="0"/>
                <w:numId w:val="3"/>
              </w:numPr>
              <w:spacing w:after="12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利率互换</w:t>
            </w:r>
            <w:r>
              <w:rPr>
                <w:rFonts w:ascii="宋体" w:eastAsia="宋体" w:hAnsi="宋体" w:cs="宋体" w:hint="eastAsia"/>
                <w:color w:val="000000"/>
              </w:rPr>
              <w:t>，</w:t>
            </w:r>
            <w:r>
              <w:rPr>
                <w:rFonts w:ascii="宋体" w:hAnsi="宋体" w:cs="宋体" w:hint="eastAsia"/>
                <w:color w:val="000000"/>
              </w:rPr>
              <w:t>币种限于美元、欧元、日元、港币、英镑</w:t>
            </w:r>
            <w:r>
              <w:rPr>
                <w:rFonts w:ascii="Calibri" w:hAnsi="Calibri" w:cs="Calibri" w:hint="eastAsia"/>
              </w:rPr>
              <w:t>与离岸人民币</w:t>
            </w:r>
            <w:r>
              <w:rPr>
                <w:rFonts w:ascii="Calibri" w:hAnsi="Calibri" w:cs="Calibri" w:hint="eastAsia"/>
              </w:rPr>
              <w:t xml:space="preserve"> </w:t>
            </w:r>
          </w:p>
        </w:tc>
      </w:tr>
    </w:tbl>
    <w:p w14:paraId="7ACE691A" w14:textId="77777777" w:rsidR="000B40BC" w:rsidRDefault="000B40BC">
      <w:pPr>
        <w:adjustRightInd w:val="0"/>
        <w:snapToGrid w:val="0"/>
        <w:jc w:val="center"/>
        <w:rPr>
          <w:rFonts w:ascii="Calibri" w:eastAsia="仿宋" w:hAnsi="Calibri" w:cs="Calibri"/>
          <w:szCs w:val="21"/>
        </w:rPr>
      </w:pPr>
    </w:p>
    <w:p w14:paraId="7ACE691B" w14:textId="77777777" w:rsidR="000B40BC" w:rsidRDefault="001403DD">
      <w:pPr>
        <w:adjustRightInd w:val="0"/>
        <w:snapToGrid w:val="0"/>
        <w:spacing w:line="560" w:lineRule="atLeast"/>
        <w:ind w:firstLineChars="200" w:firstLine="640"/>
        <w:rPr>
          <w:rFonts w:ascii="Calibri" w:eastAsia="仿宋" w:hAnsi="Calibri" w:cs="Calibri"/>
          <w:sz w:val="32"/>
          <w:szCs w:val="32"/>
        </w:rPr>
      </w:pPr>
      <w:r>
        <w:rPr>
          <w:rFonts w:ascii="Calibri" w:eastAsia="仿宋" w:hAnsi="Calibri" w:cs="Calibri"/>
          <w:sz w:val="32"/>
          <w:szCs w:val="32"/>
        </w:rPr>
        <w:t>（</w:t>
      </w:r>
      <w:r>
        <w:rPr>
          <w:rFonts w:ascii="Calibri" w:eastAsia="仿宋" w:hAnsi="Calibri" w:cs="Calibri"/>
          <w:sz w:val="32"/>
          <w:szCs w:val="32"/>
        </w:rPr>
        <w:t>2</w:t>
      </w:r>
      <w:r>
        <w:rPr>
          <w:rFonts w:ascii="Calibri" w:eastAsia="仿宋" w:hAnsi="Calibri" w:cs="Calibri"/>
          <w:sz w:val="32"/>
          <w:szCs w:val="32"/>
        </w:rPr>
        <w:t>）汇率交易业务</w:t>
      </w:r>
    </w:p>
    <w:p w14:paraId="7ACE691C" w14:textId="77777777" w:rsidR="000B40BC" w:rsidRDefault="000B40BC">
      <w:pPr>
        <w:adjustRightInd w:val="0"/>
        <w:snapToGrid w:val="0"/>
        <w:jc w:val="center"/>
        <w:rPr>
          <w:rFonts w:ascii="Calibri" w:eastAsia="黑体" w:hAnsi="Calibri" w:cs="Calibri"/>
          <w:szCs w:val="21"/>
        </w:rPr>
      </w:pPr>
    </w:p>
    <w:tbl>
      <w:tblPr>
        <w:tblW w:w="91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79"/>
      </w:tblGrid>
      <w:tr w:rsidR="000B40BC" w14:paraId="7ACE691E" w14:textId="77777777">
        <w:trPr>
          <w:trHeight w:val="410"/>
          <w:jc w:val="center"/>
        </w:trPr>
        <w:tc>
          <w:tcPr>
            <w:tcW w:w="9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E691D" w14:textId="77777777" w:rsidR="000B40BC" w:rsidRDefault="001403DD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通用产品准入</w:t>
            </w:r>
          </w:p>
        </w:tc>
      </w:tr>
      <w:tr w:rsidR="000B40BC" w14:paraId="7ACE6920" w14:textId="77777777">
        <w:trPr>
          <w:trHeight w:val="56"/>
          <w:jc w:val="center"/>
        </w:trPr>
        <w:tc>
          <w:tcPr>
            <w:tcW w:w="9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E691F" w14:textId="2C147B68" w:rsidR="000B40BC" w:rsidRDefault="009431E2">
            <w:pPr>
              <w:numPr>
                <w:ilvl w:val="0"/>
                <w:numId w:val="4"/>
              </w:numPr>
              <w:ind w:left="284" w:hanging="284"/>
              <w:rPr>
                <w:rFonts w:ascii="Calibri" w:eastAsia="仿宋" w:hAnsi="Calibri" w:cs="Calibri"/>
                <w:lang w:val="en-GB"/>
              </w:rPr>
            </w:pPr>
            <w:r w:rsidRPr="009431E2">
              <w:rPr>
                <w:rFonts w:ascii="宋体" w:eastAsia="宋体" w:hAnsi="宋体" w:cs="宋体" w:hint="eastAsia"/>
                <w:color w:val="000000"/>
              </w:rPr>
              <w:t>外汇即期、远期、掉期</w:t>
            </w:r>
          </w:p>
        </w:tc>
      </w:tr>
      <w:tr w:rsidR="000B40BC" w14:paraId="7ACE6923" w14:textId="77777777">
        <w:trPr>
          <w:trHeight w:val="56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E6921" w14:textId="77777777" w:rsidR="000B40BC" w:rsidRDefault="001403DD">
            <w:pPr>
              <w:ind w:left="284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业务单元</w:t>
            </w:r>
          </w:p>
        </w:tc>
        <w:tc>
          <w:tcPr>
            <w:tcW w:w="7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E6922" w14:textId="77777777" w:rsidR="000B40BC" w:rsidRDefault="001403DD">
            <w:pPr>
              <w:ind w:left="284"/>
              <w:jc w:val="center"/>
              <w:rPr>
                <w:rFonts w:ascii="Calibri" w:eastAsia="仿宋" w:hAnsi="Calibri" w:cs="Calibri"/>
                <w:b/>
                <w:lang w:val="en-GB"/>
              </w:rPr>
            </w:pPr>
            <w:r>
              <w:rPr>
                <w:rFonts w:ascii="Calibri" w:eastAsia="仿宋" w:hAnsi="Calibri" w:cs="Calibri"/>
                <w:b/>
                <w:lang w:val="en-GB"/>
              </w:rPr>
              <w:t>特定产品准入</w:t>
            </w:r>
          </w:p>
        </w:tc>
      </w:tr>
      <w:tr w:rsidR="000B40BC" w14:paraId="7ACE6926" w14:textId="77777777">
        <w:trPr>
          <w:trHeight w:val="56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E6924" w14:textId="77777777" w:rsidR="000B40BC" w:rsidRDefault="001403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结售汇</w:t>
            </w:r>
          </w:p>
        </w:tc>
        <w:tc>
          <w:tcPr>
            <w:tcW w:w="7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E6925" w14:textId="77777777" w:rsidR="000B40BC" w:rsidRDefault="001403DD">
            <w:pPr>
              <w:rPr>
                <w:rFonts w:ascii="Calibri" w:eastAsia="宋体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离岸人民币即期、远期、掉期</w:t>
            </w:r>
          </w:p>
        </w:tc>
      </w:tr>
      <w:tr w:rsidR="000B40BC" w14:paraId="7ACE6929" w14:textId="77777777">
        <w:trPr>
          <w:trHeight w:val="56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E6927" w14:textId="77777777" w:rsidR="000B40BC" w:rsidRDefault="001403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外汇买卖</w:t>
            </w:r>
          </w:p>
        </w:tc>
        <w:tc>
          <w:tcPr>
            <w:tcW w:w="7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E6928" w14:textId="6874A0F6" w:rsidR="000B40BC" w:rsidRPr="009431E2" w:rsidRDefault="009431E2">
            <w:pPr>
              <w:rPr>
                <w:rFonts w:ascii="Calibri" w:eastAsia="宋体" w:hAnsi="Calibri" w:cs="Calibri"/>
                <w:color w:val="000000"/>
              </w:rPr>
            </w:pPr>
            <w:r>
              <w:rPr>
                <w:rFonts w:ascii="Calibri" w:eastAsia="宋体" w:hAnsi="Calibri" w:cs="Calibri" w:hint="eastAsia"/>
                <w:color w:val="000000"/>
              </w:rPr>
              <w:t>-</w:t>
            </w:r>
          </w:p>
        </w:tc>
      </w:tr>
      <w:tr w:rsidR="000B40BC" w14:paraId="7ACE692C" w14:textId="77777777">
        <w:trPr>
          <w:trHeight w:val="56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E692A" w14:textId="77777777" w:rsidR="000B40BC" w:rsidRDefault="001403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货币掉期</w:t>
            </w:r>
          </w:p>
        </w:tc>
        <w:tc>
          <w:tcPr>
            <w:tcW w:w="7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E692B" w14:textId="77777777" w:rsidR="000B40BC" w:rsidRDefault="001403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货币掉期</w:t>
            </w:r>
            <w:r w:rsidRPr="003647EE">
              <w:rPr>
                <w:rFonts w:ascii="宋体" w:eastAsia="宋体" w:hAnsi="宋体" w:cs="宋体" w:hint="eastAsia"/>
                <w:color w:val="000000"/>
              </w:rPr>
              <w:t>（含离岸人民币货币掉期）</w:t>
            </w:r>
            <w:r w:rsidRPr="003647EE">
              <w:rPr>
                <w:rFonts w:ascii="Calibri" w:eastAsia="宋体" w:hAnsi="Calibri" w:cs="Calibri" w:hint="eastAsia"/>
                <w:color w:val="000000"/>
              </w:rPr>
              <w:t>（管理</w:t>
            </w:r>
            <w:r w:rsidRPr="003647EE">
              <w:rPr>
                <w:rFonts w:ascii="Calibri" w:eastAsia="宋体" w:hAnsi="Calibri" w:cs="Calibri"/>
                <w:color w:val="000000"/>
              </w:rPr>
              <w:t>要求</w:t>
            </w:r>
            <w:r w:rsidRPr="003647EE">
              <w:rPr>
                <w:rFonts w:ascii="Calibri" w:eastAsia="宋体" w:hAnsi="Calibri" w:cs="Calibri" w:hint="eastAsia"/>
                <w:color w:val="000000"/>
              </w:rPr>
              <w:t>1.1</w:t>
            </w:r>
            <w:r w:rsidRPr="003647EE">
              <w:rPr>
                <w:rFonts w:ascii="Calibri" w:eastAsia="宋体" w:hAnsi="Calibri" w:cs="Calibri" w:hint="eastAsia"/>
                <w:color w:val="000000"/>
              </w:rPr>
              <w:t>）</w:t>
            </w:r>
          </w:p>
        </w:tc>
      </w:tr>
    </w:tbl>
    <w:p w14:paraId="7ACE692D" w14:textId="77777777" w:rsidR="000B40BC" w:rsidRDefault="000B40BC">
      <w:pPr>
        <w:adjustRightInd w:val="0"/>
        <w:snapToGrid w:val="0"/>
        <w:jc w:val="center"/>
        <w:rPr>
          <w:rFonts w:ascii="Calibri" w:eastAsia="黑体" w:hAnsi="Calibri" w:cs="Calibri"/>
          <w:szCs w:val="21"/>
        </w:rPr>
      </w:pPr>
    </w:p>
    <w:p w14:paraId="7ACE692E" w14:textId="77777777" w:rsidR="00C42DDE" w:rsidRDefault="00C42DDE">
      <w:pPr>
        <w:adjustRightInd w:val="0"/>
        <w:snapToGrid w:val="0"/>
        <w:spacing w:line="560" w:lineRule="atLeast"/>
        <w:ind w:firstLineChars="200" w:firstLine="664"/>
        <w:rPr>
          <w:rFonts w:ascii="仿宋" w:eastAsia="仿宋" w:hAnsi="仿宋"/>
          <w:spacing w:val="12"/>
          <w:sz w:val="32"/>
          <w:szCs w:val="32"/>
        </w:rPr>
      </w:pPr>
      <w:r>
        <w:rPr>
          <w:rFonts w:ascii="仿宋" w:eastAsia="仿宋" w:hAnsi="仿宋" w:hint="eastAsia"/>
          <w:spacing w:val="12"/>
          <w:sz w:val="32"/>
          <w:szCs w:val="32"/>
        </w:rPr>
        <w:t>2.人民币</w:t>
      </w:r>
      <w:r>
        <w:rPr>
          <w:rFonts w:ascii="仿宋" w:eastAsia="仿宋" w:hAnsi="仿宋"/>
          <w:spacing w:val="12"/>
          <w:sz w:val="32"/>
          <w:szCs w:val="32"/>
        </w:rPr>
        <w:t>债券投资业务</w:t>
      </w:r>
    </w:p>
    <w:p w14:paraId="7ACE692F" w14:textId="77777777" w:rsidR="00C42DDE" w:rsidRPr="00C42DDE" w:rsidRDefault="00C42DDE" w:rsidP="00C42DDE">
      <w:pPr>
        <w:adjustRightInd w:val="0"/>
        <w:snapToGrid w:val="0"/>
        <w:jc w:val="center"/>
        <w:rPr>
          <w:rFonts w:ascii="Calibri" w:eastAsia="黑体" w:hAnsi="Calibri" w:cs="Calibri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17"/>
      </w:tblGrid>
      <w:tr w:rsidR="00C42DDE" w:rsidRPr="00D74153" w14:paraId="7ACE6931" w14:textId="77777777" w:rsidTr="00A00F0B">
        <w:trPr>
          <w:trHeight w:val="507"/>
          <w:tblHeader/>
          <w:jc w:val="center"/>
        </w:trPr>
        <w:tc>
          <w:tcPr>
            <w:tcW w:w="9117" w:type="dxa"/>
            <w:vAlign w:val="center"/>
          </w:tcPr>
          <w:p w14:paraId="7ACE6930" w14:textId="77777777" w:rsidR="00C42DDE" w:rsidRPr="00D74153" w:rsidRDefault="00C42DDE" w:rsidP="00C42DDE">
            <w:pPr>
              <w:pStyle w:val="1"/>
              <w:spacing w:line="320" w:lineRule="exact"/>
              <w:jc w:val="center"/>
              <w:rPr>
                <w:rFonts w:ascii="仿宋" w:eastAsia="仿宋" w:hAnsi="仿宋" w:cs="宋体"/>
                <w:b/>
                <w:bCs/>
                <w:sz w:val="32"/>
                <w:szCs w:val="20"/>
              </w:rPr>
            </w:pPr>
            <w:r w:rsidRPr="00C42DDE">
              <w:rPr>
                <w:rFonts w:ascii="宋体" w:eastAsia="宋体" w:hAnsi="宋体" w:cs="宋体" w:hint="eastAsia"/>
                <w:b/>
                <w:color w:val="000000"/>
              </w:rPr>
              <w:t>产品准入</w:t>
            </w:r>
          </w:p>
        </w:tc>
      </w:tr>
      <w:tr w:rsidR="00C42DDE" w:rsidRPr="00D74153" w14:paraId="7ACE6936" w14:textId="77777777" w:rsidTr="00C42DDE">
        <w:trPr>
          <w:trHeight w:val="1174"/>
          <w:jc w:val="center"/>
        </w:trPr>
        <w:tc>
          <w:tcPr>
            <w:tcW w:w="9117" w:type="dxa"/>
            <w:vAlign w:val="center"/>
          </w:tcPr>
          <w:p w14:paraId="7ACE6932" w14:textId="77777777" w:rsidR="00C42DDE" w:rsidRPr="00C42DDE" w:rsidRDefault="00C42DDE" w:rsidP="00C42DDE">
            <w:pPr>
              <w:pStyle w:val="1"/>
              <w:widowControl w:val="0"/>
              <w:numPr>
                <w:ilvl w:val="0"/>
                <w:numId w:val="3"/>
              </w:numPr>
              <w:spacing w:after="120"/>
              <w:jc w:val="both"/>
              <w:rPr>
                <w:rFonts w:ascii="Calibri" w:hAnsi="Calibri" w:cs="Calibri"/>
              </w:rPr>
            </w:pPr>
            <w:r w:rsidRPr="00C42DDE">
              <w:rPr>
                <w:rFonts w:ascii="Calibri" w:hAnsi="Calibri" w:cs="Calibri" w:hint="eastAsia"/>
              </w:rPr>
              <w:t>国债、地方政府债券、央行票据、政策性金融债</w:t>
            </w:r>
          </w:p>
          <w:p w14:paraId="7ACE6933" w14:textId="77777777" w:rsidR="00C42DDE" w:rsidRPr="00C42DDE" w:rsidRDefault="00C42DDE" w:rsidP="00C42DDE">
            <w:pPr>
              <w:pStyle w:val="1"/>
              <w:widowControl w:val="0"/>
              <w:numPr>
                <w:ilvl w:val="0"/>
                <w:numId w:val="3"/>
              </w:numPr>
              <w:spacing w:after="120"/>
              <w:jc w:val="both"/>
              <w:rPr>
                <w:rFonts w:ascii="Calibri" w:hAnsi="Calibri" w:cs="Calibri"/>
              </w:rPr>
            </w:pPr>
            <w:r w:rsidRPr="00C42DDE">
              <w:rPr>
                <w:rFonts w:ascii="Calibri" w:hAnsi="Calibri" w:cs="Calibri" w:hint="eastAsia"/>
              </w:rPr>
              <w:t>金融债、同业存单</w:t>
            </w:r>
          </w:p>
          <w:p w14:paraId="7ACE6934" w14:textId="77777777" w:rsidR="00C42DDE" w:rsidRPr="00C42DDE" w:rsidRDefault="00C42DDE" w:rsidP="00C42DDE">
            <w:pPr>
              <w:pStyle w:val="1"/>
              <w:widowControl w:val="0"/>
              <w:numPr>
                <w:ilvl w:val="0"/>
                <w:numId w:val="3"/>
              </w:numPr>
              <w:spacing w:after="120"/>
              <w:jc w:val="both"/>
              <w:rPr>
                <w:rFonts w:ascii="Calibri" w:hAnsi="Calibri" w:cs="Calibri"/>
              </w:rPr>
            </w:pPr>
            <w:r w:rsidRPr="00C42DDE">
              <w:rPr>
                <w:rFonts w:ascii="Calibri" w:hAnsi="Calibri" w:cs="Calibri" w:hint="eastAsia"/>
              </w:rPr>
              <w:t>短期融资券、中期票据、企业债、公司债、非公开定向债务融资工具、大额可转让存单</w:t>
            </w:r>
          </w:p>
          <w:p w14:paraId="7ACE6935" w14:textId="77777777" w:rsidR="00C42DDE" w:rsidRPr="00D74153" w:rsidRDefault="00C42DDE" w:rsidP="00C42DDE">
            <w:pPr>
              <w:pStyle w:val="1"/>
              <w:widowControl w:val="0"/>
              <w:numPr>
                <w:ilvl w:val="0"/>
                <w:numId w:val="3"/>
              </w:numPr>
              <w:spacing w:after="120"/>
              <w:jc w:val="both"/>
              <w:rPr>
                <w:rFonts w:ascii="仿宋" w:eastAsia="仿宋" w:hAnsi="仿宋" w:cs="宋体"/>
                <w:sz w:val="32"/>
                <w:szCs w:val="20"/>
              </w:rPr>
            </w:pPr>
            <w:r w:rsidRPr="00C42DDE">
              <w:rPr>
                <w:rFonts w:ascii="Calibri" w:hAnsi="Calibri" w:cs="Calibri" w:hint="eastAsia"/>
              </w:rPr>
              <w:t>利率互换、远期利率协议</w:t>
            </w:r>
          </w:p>
        </w:tc>
      </w:tr>
    </w:tbl>
    <w:p w14:paraId="7ACE6937" w14:textId="77777777" w:rsidR="00C42DDE" w:rsidRPr="00C42DDE" w:rsidRDefault="00C42DDE">
      <w:pPr>
        <w:adjustRightInd w:val="0"/>
        <w:snapToGrid w:val="0"/>
        <w:spacing w:line="560" w:lineRule="atLeast"/>
        <w:ind w:firstLineChars="200" w:firstLine="664"/>
        <w:rPr>
          <w:rFonts w:ascii="仿宋" w:eastAsia="仿宋" w:hAnsi="仿宋"/>
          <w:spacing w:val="12"/>
          <w:sz w:val="32"/>
          <w:szCs w:val="32"/>
        </w:rPr>
      </w:pPr>
    </w:p>
    <w:p w14:paraId="7ACE6938" w14:textId="77777777" w:rsidR="000B40BC" w:rsidRDefault="00C42DDE">
      <w:pPr>
        <w:adjustRightInd w:val="0"/>
        <w:snapToGrid w:val="0"/>
        <w:spacing w:line="560" w:lineRule="atLeast"/>
        <w:ind w:firstLineChars="200" w:firstLine="664"/>
        <w:rPr>
          <w:rFonts w:ascii="仿宋" w:eastAsia="仿宋" w:hAnsi="仿宋"/>
          <w:spacing w:val="12"/>
          <w:sz w:val="32"/>
          <w:szCs w:val="32"/>
        </w:rPr>
      </w:pPr>
      <w:r>
        <w:rPr>
          <w:rFonts w:ascii="仿宋" w:eastAsia="仿宋" w:hAnsi="仿宋"/>
          <w:spacing w:val="12"/>
          <w:sz w:val="32"/>
          <w:szCs w:val="32"/>
        </w:rPr>
        <w:t>3</w:t>
      </w:r>
      <w:r w:rsidR="001403DD">
        <w:rPr>
          <w:rFonts w:ascii="仿宋" w:eastAsia="仿宋" w:hAnsi="仿宋"/>
          <w:spacing w:val="12"/>
          <w:sz w:val="32"/>
          <w:szCs w:val="32"/>
        </w:rPr>
        <w:t>.外币债券投资业务</w:t>
      </w:r>
    </w:p>
    <w:p w14:paraId="7ACE6939" w14:textId="77777777" w:rsidR="000B40BC" w:rsidRDefault="000B40BC">
      <w:pPr>
        <w:adjustRightInd w:val="0"/>
        <w:snapToGrid w:val="0"/>
        <w:jc w:val="center"/>
        <w:rPr>
          <w:rFonts w:ascii="Calibri" w:eastAsia="黑体" w:hAnsi="Calibri" w:cs="Calibri"/>
          <w:szCs w:val="21"/>
        </w:rPr>
      </w:pPr>
    </w:p>
    <w:tbl>
      <w:tblPr>
        <w:tblW w:w="91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17"/>
      </w:tblGrid>
      <w:tr w:rsidR="000B40BC" w14:paraId="7ACE693B" w14:textId="77777777">
        <w:trPr>
          <w:trHeight w:val="385"/>
          <w:jc w:val="center"/>
        </w:trPr>
        <w:tc>
          <w:tcPr>
            <w:tcW w:w="9117" w:type="dxa"/>
            <w:vAlign w:val="center"/>
          </w:tcPr>
          <w:p w14:paraId="7ACE693A" w14:textId="77777777" w:rsidR="000B40BC" w:rsidRDefault="001403DD">
            <w:pPr>
              <w:pStyle w:val="1"/>
              <w:spacing w:line="320" w:lineRule="exact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产品准入</w:t>
            </w:r>
          </w:p>
        </w:tc>
      </w:tr>
      <w:tr w:rsidR="000B40BC" w14:paraId="7ACE693F" w14:textId="77777777">
        <w:trPr>
          <w:trHeight w:val="1072"/>
          <w:jc w:val="center"/>
        </w:trPr>
        <w:tc>
          <w:tcPr>
            <w:tcW w:w="9117" w:type="dxa"/>
            <w:vAlign w:val="center"/>
          </w:tcPr>
          <w:p w14:paraId="7ACE693C" w14:textId="77777777" w:rsidR="000B40BC" w:rsidRDefault="001403DD">
            <w:pPr>
              <w:pStyle w:val="1"/>
              <w:widowControl w:val="0"/>
              <w:numPr>
                <w:ilvl w:val="0"/>
                <w:numId w:val="3"/>
              </w:numPr>
              <w:spacing w:after="12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国债、政府支持机构债（可附带期权）、国际多边机构债（可附带期权）</w:t>
            </w:r>
          </w:p>
          <w:p w14:paraId="7ACE693D" w14:textId="77777777" w:rsidR="000B40BC" w:rsidRDefault="001403DD">
            <w:pPr>
              <w:pStyle w:val="1"/>
              <w:widowControl w:val="0"/>
              <w:numPr>
                <w:ilvl w:val="0"/>
                <w:numId w:val="3"/>
              </w:numPr>
              <w:spacing w:after="12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商业票据、同业存单、公司债</w:t>
            </w:r>
            <w:r w:rsidRPr="003647EE">
              <w:rPr>
                <w:rFonts w:ascii="Calibri" w:hAnsi="Calibri" w:cs="Calibri"/>
              </w:rPr>
              <w:t>（可附带期权</w:t>
            </w:r>
            <w:r w:rsidRPr="003647EE">
              <w:rPr>
                <w:rFonts w:ascii="Calibri" w:hAnsi="Calibri" w:cs="Calibri" w:hint="eastAsia"/>
              </w:rPr>
              <w:t>、管理要求</w:t>
            </w:r>
            <w:r w:rsidRPr="003647EE">
              <w:rPr>
                <w:rFonts w:ascii="Calibri" w:hAnsi="Calibri" w:cs="Calibri"/>
              </w:rPr>
              <w:t>1.2</w:t>
            </w:r>
            <w:r w:rsidRPr="003647EE">
              <w:rPr>
                <w:rFonts w:ascii="Calibri" w:hAnsi="Calibri" w:cs="Calibri"/>
              </w:rPr>
              <w:t>）</w:t>
            </w:r>
            <w:r>
              <w:rPr>
                <w:rFonts w:ascii="Calibri" w:hAnsi="Calibri" w:cs="Calibri"/>
              </w:rPr>
              <w:t xml:space="preserve"> </w:t>
            </w:r>
          </w:p>
          <w:p w14:paraId="7ACE693E" w14:textId="77777777" w:rsidR="000B40BC" w:rsidRDefault="001403DD">
            <w:pPr>
              <w:pStyle w:val="1"/>
              <w:widowControl w:val="0"/>
              <w:numPr>
                <w:ilvl w:val="0"/>
                <w:numId w:val="3"/>
              </w:numPr>
              <w:spacing w:after="120"/>
              <w:jc w:val="both"/>
              <w:rPr>
                <w:rFonts w:ascii="Calibri" w:hAnsi="Calibri" w:cs="Calibri"/>
                <w:i/>
                <w:color w:val="000000"/>
                <w:sz w:val="22"/>
              </w:rPr>
            </w:pPr>
            <w:r>
              <w:rPr>
                <w:rFonts w:ascii="Calibri" w:hAnsi="Calibri" w:cs="Calibri"/>
              </w:rPr>
              <w:t>远期利率协议、利率互换、货币掉期</w:t>
            </w:r>
          </w:p>
        </w:tc>
      </w:tr>
    </w:tbl>
    <w:p w14:paraId="7ACE6940" w14:textId="77777777" w:rsidR="000B40BC" w:rsidRDefault="000B40BC">
      <w:pPr>
        <w:adjustRightInd w:val="0"/>
        <w:snapToGrid w:val="0"/>
        <w:jc w:val="center"/>
        <w:rPr>
          <w:rFonts w:ascii="Calibri" w:eastAsia="黑体" w:hAnsi="Calibri" w:cs="Calibri"/>
          <w:szCs w:val="21"/>
        </w:rPr>
      </w:pPr>
    </w:p>
    <w:p w14:paraId="7ACE6941" w14:textId="77777777" w:rsidR="000B40BC" w:rsidRDefault="00C42DDE">
      <w:pPr>
        <w:adjustRightInd w:val="0"/>
        <w:snapToGrid w:val="0"/>
        <w:spacing w:line="560" w:lineRule="atLeast"/>
        <w:ind w:firstLineChars="200" w:firstLine="664"/>
        <w:rPr>
          <w:rFonts w:ascii="仿宋" w:eastAsia="仿宋" w:hAnsi="仿宋"/>
          <w:spacing w:val="12"/>
          <w:sz w:val="32"/>
          <w:szCs w:val="32"/>
        </w:rPr>
      </w:pPr>
      <w:r>
        <w:rPr>
          <w:rFonts w:ascii="仿宋" w:eastAsia="仿宋" w:hAnsi="仿宋"/>
          <w:spacing w:val="12"/>
          <w:sz w:val="32"/>
          <w:szCs w:val="32"/>
        </w:rPr>
        <w:t>4</w:t>
      </w:r>
      <w:r w:rsidR="001403DD">
        <w:rPr>
          <w:rFonts w:ascii="仿宋" w:eastAsia="仿宋" w:hAnsi="仿宋"/>
          <w:spacing w:val="12"/>
          <w:sz w:val="32"/>
          <w:szCs w:val="32"/>
        </w:rPr>
        <w:t>.外币司库业务</w:t>
      </w:r>
    </w:p>
    <w:p w14:paraId="7ACE6942" w14:textId="77777777" w:rsidR="000B40BC" w:rsidRDefault="000B40BC">
      <w:pPr>
        <w:adjustRightInd w:val="0"/>
        <w:snapToGrid w:val="0"/>
        <w:jc w:val="center"/>
        <w:rPr>
          <w:rFonts w:ascii="Calibri" w:eastAsia="黑体" w:hAnsi="Calibri" w:cs="Calibri"/>
          <w:szCs w:val="21"/>
        </w:rPr>
      </w:pPr>
    </w:p>
    <w:tbl>
      <w:tblPr>
        <w:tblW w:w="93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1"/>
      </w:tblGrid>
      <w:tr w:rsidR="000B40BC" w14:paraId="7ACE6944" w14:textId="77777777">
        <w:trPr>
          <w:tblHeader/>
          <w:jc w:val="center"/>
        </w:trPr>
        <w:tc>
          <w:tcPr>
            <w:tcW w:w="9321" w:type="dxa"/>
            <w:vAlign w:val="center"/>
          </w:tcPr>
          <w:p w14:paraId="7ACE6943" w14:textId="77777777" w:rsidR="000B40BC" w:rsidRDefault="001403DD">
            <w:pPr>
              <w:spacing w:line="320" w:lineRule="exact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产品准入</w:t>
            </w:r>
          </w:p>
        </w:tc>
      </w:tr>
      <w:tr w:rsidR="000B40BC" w14:paraId="7ACE694A" w14:textId="77777777">
        <w:trPr>
          <w:trHeight w:val="556"/>
          <w:jc w:val="center"/>
        </w:trPr>
        <w:tc>
          <w:tcPr>
            <w:tcW w:w="9321" w:type="dxa"/>
            <w:vAlign w:val="center"/>
          </w:tcPr>
          <w:p w14:paraId="7ACE6945" w14:textId="77777777" w:rsidR="000B40BC" w:rsidRDefault="001403DD">
            <w:pPr>
              <w:pStyle w:val="1"/>
              <w:widowControl w:val="0"/>
              <w:numPr>
                <w:ilvl w:val="0"/>
                <w:numId w:val="3"/>
              </w:numPr>
              <w:spacing w:after="12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资金拆借内部交易</w:t>
            </w:r>
          </w:p>
          <w:p w14:paraId="7ACE6946" w14:textId="1B617544" w:rsidR="000B40BC" w:rsidRDefault="001403DD">
            <w:pPr>
              <w:pStyle w:val="1"/>
              <w:widowControl w:val="0"/>
              <w:numPr>
                <w:ilvl w:val="0"/>
                <w:numId w:val="3"/>
              </w:numPr>
              <w:spacing w:after="12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授信范围内的同业拆借、外汇即、远</w:t>
            </w:r>
            <w:r w:rsidR="001E04BA">
              <w:rPr>
                <w:rFonts w:ascii="Calibri" w:eastAsia="宋体" w:hAnsi="Calibri" w:cs="Calibri" w:hint="eastAsia"/>
              </w:rPr>
              <w:t>、</w:t>
            </w:r>
            <w:r>
              <w:rPr>
                <w:rFonts w:ascii="Calibri" w:hAnsi="Calibri" w:cs="Calibri"/>
              </w:rPr>
              <w:t>掉期</w:t>
            </w:r>
          </w:p>
          <w:p w14:paraId="7ACE6947" w14:textId="158A0E3D" w:rsidR="000B40BC" w:rsidRDefault="001403DD">
            <w:pPr>
              <w:pStyle w:val="1"/>
              <w:widowControl w:val="0"/>
              <w:numPr>
                <w:ilvl w:val="0"/>
                <w:numId w:val="3"/>
              </w:numPr>
              <w:spacing w:after="12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债券回购、期限</w:t>
            </w:r>
            <w:r w:rsidR="001E04BA">
              <w:rPr>
                <w:rFonts w:ascii="Calibri" w:eastAsia="宋体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年以内美国国债投资、</w:t>
            </w:r>
            <w:r>
              <w:rPr>
                <w:rFonts w:ascii="Calibri" w:hAnsi="Calibri" w:cs="Calibri"/>
              </w:rPr>
              <w:t>CD/</w:t>
            </w:r>
            <w:r>
              <w:rPr>
                <w:rFonts w:ascii="Calibri" w:hAnsi="Calibri" w:cs="Calibri"/>
              </w:rPr>
              <w:t>商业票据投资、短期公司债券</w:t>
            </w:r>
            <w:r>
              <w:rPr>
                <w:rFonts w:ascii="Calibri" w:hAnsi="Calibri" w:cs="Calibri" w:hint="eastAsia"/>
              </w:rPr>
              <w:t>、英国国债、德国国债</w:t>
            </w:r>
          </w:p>
          <w:p w14:paraId="7ACE6948" w14:textId="77777777" w:rsidR="000B40BC" w:rsidRDefault="001403DD">
            <w:pPr>
              <w:pStyle w:val="1"/>
              <w:widowControl w:val="0"/>
              <w:numPr>
                <w:ilvl w:val="0"/>
                <w:numId w:val="3"/>
              </w:numPr>
              <w:spacing w:after="12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外币同业存单发行</w:t>
            </w:r>
          </w:p>
          <w:p w14:paraId="7ACE6949" w14:textId="77777777" w:rsidR="000B40BC" w:rsidRDefault="001403DD">
            <w:pPr>
              <w:pStyle w:val="1"/>
              <w:widowControl w:val="0"/>
              <w:numPr>
                <w:ilvl w:val="0"/>
                <w:numId w:val="3"/>
              </w:numPr>
              <w:spacing w:after="12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远期利率协议、利率互换</w:t>
            </w:r>
            <w:r>
              <w:rPr>
                <w:rFonts w:ascii="Calibri" w:hAnsi="Calibri" w:cs="Calibri" w:hint="eastAsia"/>
              </w:rPr>
              <w:t>、交叉货币掉期</w:t>
            </w:r>
          </w:p>
        </w:tc>
      </w:tr>
    </w:tbl>
    <w:p w14:paraId="7ACE694B" w14:textId="77777777" w:rsidR="00C42DDE" w:rsidRPr="00C42DDE" w:rsidRDefault="00C42DDE" w:rsidP="00C42DDE">
      <w:pPr>
        <w:adjustRightInd w:val="0"/>
        <w:snapToGrid w:val="0"/>
        <w:jc w:val="center"/>
        <w:rPr>
          <w:rFonts w:ascii="Calibri" w:eastAsia="黑体" w:hAnsi="Calibri" w:cs="Calibri"/>
          <w:szCs w:val="21"/>
        </w:rPr>
      </w:pPr>
    </w:p>
    <w:p w14:paraId="7ACE694C" w14:textId="77777777" w:rsidR="000B40BC" w:rsidRDefault="001403DD">
      <w:pPr>
        <w:widowControl w:val="0"/>
        <w:adjustRightInd w:val="0"/>
        <w:snapToGrid w:val="0"/>
        <w:spacing w:line="560" w:lineRule="atLeast"/>
        <w:ind w:firstLineChars="200" w:firstLine="664"/>
        <w:jc w:val="both"/>
        <w:rPr>
          <w:rFonts w:ascii="楷体" w:eastAsia="楷体" w:hAnsi="楷体" w:cs="Times New Roman"/>
          <w:spacing w:val="12"/>
          <w:sz w:val="32"/>
          <w:szCs w:val="32"/>
        </w:rPr>
      </w:pPr>
      <w:r>
        <w:rPr>
          <w:rFonts w:ascii="楷体" w:eastAsia="楷体" w:hAnsi="楷体" w:cs="Times New Roman" w:hint="eastAsia"/>
          <w:spacing w:val="12"/>
          <w:sz w:val="32"/>
          <w:szCs w:val="32"/>
        </w:rPr>
        <w:t>（二）业务管理要求</w:t>
      </w:r>
    </w:p>
    <w:p w14:paraId="7ACE694D" w14:textId="77777777" w:rsidR="000B40BC" w:rsidRPr="003647EE" w:rsidRDefault="001403DD">
      <w:pPr>
        <w:widowControl w:val="0"/>
        <w:adjustRightInd w:val="0"/>
        <w:snapToGrid w:val="0"/>
        <w:spacing w:line="560" w:lineRule="atLeast"/>
        <w:ind w:firstLineChars="200" w:firstLine="664"/>
        <w:jc w:val="both"/>
        <w:rPr>
          <w:rFonts w:ascii="仿宋" w:eastAsia="仿宋" w:hAnsi="仿宋" w:cs="Times New Roman"/>
          <w:spacing w:val="12"/>
          <w:sz w:val="32"/>
          <w:szCs w:val="32"/>
        </w:rPr>
      </w:pPr>
      <w:r w:rsidRPr="003647EE">
        <w:rPr>
          <w:rFonts w:ascii="仿宋" w:eastAsia="仿宋" w:hAnsi="仿宋" w:cs="Times New Roman"/>
          <w:spacing w:val="12"/>
          <w:sz w:val="32"/>
          <w:szCs w:val="32"/>
        </w:rPr>
        <w:t>1.1人民币对外币货币掉期交易</w:t>
      </w:r>
      <w:r w:rsidRPr="003647EE">
        <w:rPr>
          <w:rFonts w:ascii="仿宋" w:eastAsia="仿宋" w:hAnsi="仿宋" w:cs="Times New Roman" w:hint="eastAsia"/>
          <w:spacing w:val="12"/>
          <w:sz w:val="32"/>
          <w:szCs w:val="32"/>
        </w:rPr>
        <w:t>（不包含</w:t>
      </w:r>
      <w:r w:rsidRPr="003647EE">
        <w:rPr>
          <w:rFonts w:ascii="仿宋" w:eastAsia="仿宋" w:hAnsi="仿宋" w:cs="Times New Roman"/>
          <w:spacing w:val="12"/>
          <w:sz w:val="32"/>
          <w:szCs w:val="32"/>
        </w:rPr>
        <w:t>政策性</w:t>
      </w:r>
      <w:r w:rsidRPr="003647EE">
        <w:rPr>
          <w:rFonts w:ascii="仿宋" w:eastAsia="仿宋" w:hAnsi="仿宋" w:cs="Times New Roman" w:hint="eastAsia"/>
          <w:spacing w:val="12"/>
          <w:sz w:val="32"/>
          <w:szCs w:val="32"/>
        </w:rPr>
        <w:t>交易）</w:t>
      </w:r>
      <w:r w:rsidRPr="003647EE">
        <w:rPr>
          <w:rFonts w:ascii="仿宋" w:eastAsia="仿宋" w:hAnsi="仿宋" w:cs="Times New Roman"/>
          <w:spacing w:val="12"/>
          <w:sz w:val="32"/>
          <w:szCs w:val="32"/>
        </w:rPr>
        <w:t>，采用背对背方式或拆分为人民币兑外币外汇掉期+人民币利率互换交易+外币利率互换交易方式进行平盘</w:t>
      </w:r>
      <w:r w:rsidRPr="003647EE">
        <w:rPr>
          <w:rFonts w:ascii="仿宋" w:eastAsia="仿宋" w:hAnsi="仿宋" w:cs="Times New Roman" w:hint="eastAsia"/>
          <w:spacing w:val="12"/>
          <w:sz w:val="32"/>
          <w:szCs w:val="32"/>
        </w:rPr>
        <w:t>。</w:t>
      </w:r>
    </w:p>
    <w:p w14:paraId="7ACE694E" w14:textId="77777777" w:rsidR="000B40BC" w:rsidRDefault="001403DD">
      <w:pPr>
        <w:widowControl w:val="0"/>
        <w:adjustRightInd w:val="0"/>
        <w:snapToGrid w:val="0"/>
        <w:spacing w:line="560" w:lineRule="atLeast"/>
        <w:ind w:firstLineChars="200" w:firstLine="664"/>
        <w:jc w:val="both"/>
        <w:rPr>
          <w:rFonts w:ascii="仿宋" w:eastAsia="仿宋" w:hAnsi="仿宋" w:cs="Times New Roman"/>
          <w:spacing w:val="12"/>
          <w:kern w:val="2"/>
          <w:sz w:val="32"/>
          <w:szCs w:val="32"/>
        </w:rPr>
      </w:pPr>
      <w:r w:rsidRPr="003647EE">
        <w:rPr>
          <w:rFonts w:ascii="仿宋" w:eastAsia="仿宋" w:hAnsi="仿宋" w:cs="Times New Roman" w:hint="eastAsia"/>
          <w:spacing w:val="12"/>
          <w:sz w:val="32"/>
          <w:szCs w:val="32"/>
        </w:rPr>
        <w:t>1.</w:t>
      </w:r>
      <w:r w:rsidRPr="003647EE">
        <w:rPr>
          <w:rFonts w:ascii="仿宋" w:eastAsia="仿宋" w:hAnsi="仿宋" w:cs="Times New Roman"/>
          <w:spacing w:val="12"/>
          <w:sz w:val="32"/>
          <w:szCs w:val="32"/>
        </w:rPr>
        <w:t>2投资次级类公司债需单独审批</w:t>
      </w:r>
      <w:r w:rsidRPr="003647EE">
        <w:rPr>
          <w:rFonts w:ascii="仿宋" w:eastAsia="仿宋" w:hAnsi="仿宋" w:cs="Times New Roman" w:hint="eastAsia"/>
          <w:spacing w:val="12"/>
          <w:sz w:val="32"/>
          <w:szCs w:val="32"/>
        </w:rPr>
        <w:t>。</w:t>
      </w:r>
    </w:p>
    <w:p w14:paraId="7ACE694F" w14:textId="77777777" w:rsidR="000B40BC" w:rsidRDefault="001403DD">
      <w:pPr>
        <w:widowControl w:val="0"/>
        <w:adjustRightInd w:val="0"/>
        <w:snapToGrid w:val="0"/>
        <w:spacing w:line="560" w:lineRule="atLeast"/>
        <w:ind w:firstLineChars="192" w:firstLine="637"/>
        <w:jc w:val="both"/>
        <w:rPr>
          <w:rFonts w:ascii="黑体" w:eastAsia="黑体" w:hAnsi="黑体" w:cs="Times New Roman"/>
          <w:spacing w:val="12"/>
          <w:kern w:val="2"/>
          <w:sz w:val="32"/>
          <w:szCs w:val="32"/>
        </w:rPr>
      </w:pPr>
      <w:r>
        <w:rPr>
          <w:rFonts w:ascii="黑体" w:eastAsia="黑体" w:hAnsi="黑体" w:cs="Times New Roman" w:hint="eastAsia"/>
          <w:spacing w:val="12"/>
          <w:kern w:val="2"/>
          <w:sz w:val="32"/>
          <w:szCs w:val="32"/>
        </w:rPr>
        <w:t>二</w:t>
      </w:r>
      <w:r>
        <w:rPr>
          <w:rFonts w:ascii="黑体" w:eastAsia="黑体" w:hAnsi="黑体" w:cs="Times New Roman"/>
          <w:spacing w:val="12"/>
          <w:kern w:val="2"/>
          <w:sz w:val="32"/>
          <w:szCs w:val="32"/>
        </w:rPr>
        <w:t>、</w:t>
      </w:r>
      <w:r>
        <w:rPr>
          <w:rFonts w:ascii="黑体" w:eastAsia="黑体" w:hAnsi="黑体" w:cs="Times New Roman" w:hint="eastAsia"/>
          <w:spacing w:val="12"/>
          <w:kern w:val="2"/>
          <w:sz w:val="32"/>
          <w:szCs w:val="32"/>
        </w:rPr>
        <w:t>风险限额</w:t>
      </w:r>
    </w:p>
    <w:p w14:paraId="7ACE6951" w14:textId="209D4592" w:rsidR="000B40BC" w:rsidRPr="00E716E0" w:rsidRDefault="00E716E0" w:rsidP="00E716E0">
      <w:pPr>
        <w:widowControl w:val="0"/>
        <w:adjustRightInd w:val="0"/>
        <w:snapToGrid w:val="0"/>
        <w:spacing w:line="560" w:lineRule="atLeast"/>
        <w:ind w:firstLineChars="200" w:firstLine="664"/>
        <w:jc w:val="both"/>
        <w:rPr>
          <w:rFonts w:ascii="楷体" w:eastAsia="楷体" w:hAnsi="楷体" w:cs="Times New Roman"/>
          <w:spacing w:val="12"/>
          <w:kern w:val="2"/>
          <w:sz w:val="32"/>
          <w:szCs w:val="32"/>
        </w:rPr>
      </w:pPr>
      <w:r>
        <w:rPr>
          <w:rFonts w:ascii="楷体" w:eastAsia="楷体" w:hAnsi="楷体" w:cs="Times New Roman" w:hint="eastAsia"/>
          <w:spacing w:val="12"/>
          <w:kern w:val="2"/>
          <w:sz w:val="32"/>
          <w:szCs w:val="32"/>
        </w:rPr>
        <w:t>（一）</w:t>
      </w:r>
      <w:r w:rsidR="001403DD" w:rsidRPr="00E716E0">
        <w:rPr>
          <w:rFonts w:ascii="楷体" w:eastAsia="楷体" w:hAnsi="楷体" w:cs="Times New Roman" w:hint="eastAsia"/>
          <w:spacing w:val="12"/>
          <w:kern w:val="2"/>
          <w:sz w:val="32"/>
          <w:szCs w:val="32"/>
        </w:rPr>
        <w:t>交易业务</w:t>
      </w:r>
    </w:p>
    <w:p w14:paraId="7ACE6952" w14:textId="77777777" w:rsidR="000B40BC" w:rsidRDefault="001403DD">
      <w:pPr>
        <w:widowControl w:val="0"/>
        <w:numPr>
          <w:ilvl w:val="0"/>
          <w:numId w:val="5"/>
        </w:numPr>
        <w:adjustRightInd w:val="0"/>
        <w:snapToGrid w:val="0"/>
        <w:spacing w:line="560" w:lineRule="exact"/>
        <w:ind w:left="0" w:firstLineChars="200" w:firstLine="640"/>
        <w:jc w:val="both"/>
        <w:rPr>
          <w:rFonts w:ascii="仿宋" w:eastAsia="仿宋" w:hAnsi="仿宋" w:cs="Times New Roman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利率交易业务</w:t>
      </w:r>
    </w:p>
    <w:p w14:paraId="7ACE6953" w14:textId="3B5BD54A" w:rsidR="000B40BC" w:rsidRDefault="00E716E0">
      <w:pPr>
        <w:adjustRightInd w:val="0"/>
        <w:snapToGrid w:val="0"/>
        <w:spacing w:line="560" w:lineRule="exact"/>
        <w:ind w:firstLineChars="200" w:firstLine="64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</w:t>
      </w:r>
      <w:r>
        <w:rPr>
          <w:rFonts w:ascii="仿宋" w:eastAsia="仿宋" w:hAnsi="仿宋"/>
          <w:sz w:val="32"/>
          <w:szCs w:val="32"/>
        </w:rPr>
        <w:t>.</w:t>
      </w:r>
      <w:r w:rsidR="00D43140" w:rsidRPr="00D43140">
        <w:rPr>
          <w:rFonts w:ascii="仿宋" w:eastAsia="仿宋" w:hAnsi="仿宋" w:hint="eastAsia"/>
          <w:sz w:val="32"/>
          <w:szCs w:val="32"/>
        </w:rPr>
        <w:t>代客外币利率衍生品平盘业务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4"/>
        <w:gridCol w:w="2976"/>
        <w:gridCol w:w="2976"/>
      </w:tblGrid>
      <w:tr w:rsidR="00F050C5" w:rsidRPr="00C42DDE" w14:paraId="7ACE6958" w14:textId="77777777" w:rsidTr="003647EE">
        <w:tc>
          <w:tcPr>
            <w:tcW w:w="5950" w:type="dxa"/>
            <w:gridSpan w:val="2"/>
            <w:shd w:val="clear" w:color="auto" w:fill="auto"/>
            <w:vAlign w:val="center"/>
          </w:tcPr>
          <w:p w14:paraId="7ACE6956" w14:textId="77777777" w:rsidR="00F050C5" w:rsidRPr="00C42DDE" w:rsidRDefault="00F050C5">
            <w:pPr>
              <w:spacing w:after="120"/>
              <w:jc w:val="center"/>
              <w:rPr>
                <w:rFonts w:ascii="宋体" w:eastAsia="宋体" w:hAnsi="宋体" w:cs="仿宋_GB2312"/>
                <w:b/>
                <w:color w:val="000000"/>
              </w:rPr>
            </w:pPr>
            <w:r w:rsidRPr="00C42DDE">
              <w:rPr>
                <w:rFonts w:ascii="宋体" w:eastAsia="宋体" w:hAnsi="宋体" w:cs="仿宋_GB2312" w:hint="eastAsia"/>
                <w:b/>
                <w:color w:val="000000"/>
              </w:rPr>
              <w:t>伦敦</w:t>
            </w:r>
            <w:r w:rsidRPr="00C42DDE">
              <w:rPr>
                <w:rFonts w:ascii="宋体" w:eastAsia="宋体" w:hAnsi="宋体" w:cs="仿宋_GB2312"/>
                <w:b/>
                <w:color w:val="000000"/>
              </w:rPr>
              <w:t>分行分管行领导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14:paraId="7ACE6957" w14:textId="77777777" w:rsidR="00F050C5" w:rsidRPr="00C42DDE" w:rsidRDefault="00F050C5">
            <w:pPr>
              <w:spacing w:after="120"/>
              <w:jc w:val="center"/>
              <w:rPr>
                <w:rFonts w:ascii="宋体" w:eastAsia="宋体" w:hAnsi="宋体" w:cs="仿宋_GB2312"/>
                <w:b/>
                <w:color w:val="000000"/>
              </w:rPr>
            </w:pPr>
            <w:r w:rsidRPr="00C42DDE">
              <w:rPr>
                <w:rFonts w:ascii="宋体" w:eastAsia="宋体" w:hAnsi="宋体" w:cs="仿宋_GB2312" w:hint="eastAsia"/>
                <w:b/>
                <w:color w:val="000000"/>
              </w:rPr>
              <w:t>伦敦分行金融市场部负责人</w:t>
            </w:r>
          </w:p>
        </w:tc>
      </w:tr>
      <w:tr w:rsidR="00F050C5" w:rsidRPr="00C42DDE" w14:paraId="7ACE695D" w14:textId="77777777" w:rsidTr="003647EE">
        <w:tc>
          <w:tcPr>
            <w:tcW w:w="2974" w:type="dxa"/>
            <w:shd w:val="clear" w:color="auto" w:fill="auto"/>
            <w:vAlign w:val="center"/>
          </w:tcPr>
          <w:p w14:paraId="7ACE695A" w14:textId="77777777" w:rsidR="00F050C5" w:rsidRPr="00C42DDE" w:rsidRDefault="00F050C5">
            <w:pPr>
              <w:spacing w:after="120"/>
              <w:jc w:val="center"/>
              <w:rPr>
                <w:rFonts w:ascii="宋体" w:eastAsia="宋体" w:hAnsi="宋体"/>
                <w:b/>
              </w:rPr>
            </w:pPr>
            <w:r w:rsidRPr="00C42DDE">
              <w:rPr>
                <w:rFonts w:ascii="宋体" w:eastAsia="宋体" w:hAnsi="宋体" w:cs="仿宋_GB2312" w:hint="eastAsia"/>
                <w:b/>
                <w:color w:val="000000"/>
              </w:rPr>
              <w:t>分行行长</w:t>
            </w:r>
            <w:r w:rsidRPr="00C42DDE">
              <w:rPr>
                <w:rFonts w:ascii="宋体" w:eastAsia="宋体" w:hAnsi="宋体" w:cs="仿宋_GB2312"/>
                <w:b/>
                <w:color w:val="000000"/>
              </w:rPr>
              <w:t>级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7ACE695B" w14:textId="77777777" w:rsidR="00F050C5" w:rsidRPr="00C42DDE" w:rsidRDefault="00F050C5">
            <w:pPr>
              <w:spacing w:after="120"/>
              <w:jc w:val="center"/>
              <w:rPr>
                <w:rFonts w:ascii="宋体" w:eastAsia="宋体" w:hAnsi="宋体" w:cs="仿宋_GB2312"/>
                <w:b/>
                <w:color w:val="000000"/>
              </w:rPr>
            </w:pPr>
            <w:r w:rsidRPr="00C42DDE">
              <w:rPr>
                <w:rFonts w:ascii="宋体" w:eastAsia="宋体" w:hAnsi="宋体" w:cs="仿宋_GB2312" w:hint="eastAsia"/>
                <w:b/>
                <w:color w:val="000000"/>
              </w:rPr>
              <w:t>分行副行长</w:t>
            </w:r>
            <w:r w:rsidRPr="00C42DDE">
              <w:rPr>
                <w:rFonts w:ascii="宋体" w:eastAsia="宋体" w:hAnsi="宋体" w:cs="仿宋_GB2312"/>
                <w:b/>
                <w:color w:val="000000"/>
              </w:rPr>
              <w:t>级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14:paraId="7ACE695C" w14:textId="77777777" w:rsidR="00F050C5" w:rsidRPr="00C42DDE" w:rsidRDefault="00F050C5">
            <w:pPr>
              <w:spacing w:after="120"/>
              <w:jc w:val="center"/>
              <w:rPr>
                <w:rFonts w:ascii="宋体" w:eastAsia="宋体" w:hAnsi="宋体" w:cs="仿宋_GB2312"/>
                <w:b/>
                <w:color w:val="000000"/>
              </w:rPr>
            </w:pPr>
          </w:p>
        </w:tc>
      </w:tr>
      <w:tr w:rsidR="00F050C5" w:rsidRPr="00C42DDE" w14:paraId="7ACE6962" w14:textId="77777777" w:rsidTr="003647EE">
        <w:tc>
          <w:tcPr>
            <w:tcW w:w="2974" w:type="dxa"/>
            <w:shd w:val="clear" w:color="auto" w:fill="auto"/>
            <w:vAlign w:val="center"/>
          </w:tcPr>
          <w:p w14:paraId="7ACE695F" w14:textId="77777777" w:rsidR="00F050C5" w:rsidRPr="00C42DDE" w:rsidRDefault="00F050C5">
            <w:pPr>
              <w:spacing w:after="120"/>
              <w:jc w:val="center"/>
              <w:rPr>
                <w:rFonts w:ascii="宋体" w:eastAsia="宋体" w:hAnsi="宋体"/>
              </w:rPr>
            </w:pPr>
            <w:r w:rsidRPr="00C42DDE">
              <w:rPr>
                <w:rFonts w:ascii="宋体" w:eastAsia="宋体" w:hAnsi="宋体" w:hint="eastAsia"/>
              </w:rPr>
              <w:lastRenderedPageBreak/>
              <w:t>许金雷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7ACE6960" w14:textId="77777777" w:rsidR="00F050C5" w:rsidRPr="00C42DDE" w:rsidRDefault="00F050C5">
            <w:pPr>
              <w:spacing w:after="120"/>
              <w:jc w:val="center"/>
              <w:rPr>
                <w:rFonts w:ascii="宋体" w:eastAsia="宋体" w:hAnsi="宋体"/>
              </w:rPr>
            </w:pPr>
            <w:r w:rsidRPr="00C42DDE">
              <w:rPr>
                <w:rFonts w:ascii="宋体" w:eastAsia="宋体" w:hAnsi="宋体" w:cs="宋体" w:hint="eastAsia"/>
              </w:rPr>
              <w:t>赵钢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7ACE6961" w14:textId="77777777" w:rsidR="00F050C5" w:rsidRPr="00C42DDE" w:rsidRDefault="00F050C5">
            <w:pPr>
              <w:spacing w:after="120"/>
              <w:jc w:val="center"/>
              <w:rPr>
                <w:rFonts w:ascii="宋体" w:eastAsia="宋体" w:hAnsi="宋体"/>
              </w:rPr>
            </w:pPr>
            <w:r w:rsidRPr="00C42DDE">
              <w:rPr>
                <w:rFonts w:ascii="宋体" w:eastAsia="宋体" w:hAnsi="宋体" w:cs="宋体"/>
              </w:rPr>
              <w:t>Richard Thaiss</w:t>
            </w:r>
          </w:p>
        </w:tc>
      </w:tr>
      <w:tr w:rsidR="00F050C5" w:rsidRPr="00C42DDE" w14:paraId="7ACE696D" w14:textId="77777777" w:rsidTr="003647EE">
        <w:tc>
          <w:tcPr>
            <w:tcW w:w="2974" w:type="dxa"/>
            <w:shd w:val="clear" w:color="auto" w:fill="auto"/>
            <w:vAlign w:val="center"/>
          </w:tcPr>
          <w:p w14:paraId="7ACE6964" w14:textId="6F4167B7" w:rsidR="00F050C5" w:rsidRPr="00C42DDE" w:rsidRDefault="00F050C5">
            <w:pPr>
              <w:pStyle w:val="1"/>
              <w:numPr>
                <w:ilvl w:val="0"/>
                <w:numId w:val="6"/>
              </w:numPr>
              <w:ind w:left="153" w:hanging="227"/>
              <w:rPr>
                <w:rFonts w:ascii="宋体" w:eastAsia="宋体" w:hAnsi="宋体"/>
                <w:lang w:val="en-GB"/>
              </w:rPr>
            </w:pPr>
            <w:r w:rsidRPr="00C42DDE">
              <w:rPr>
                <w:rFonts w:ascii="宋体" w:eastAsia="宋体" w:hAnsi="宋体"/>
                <w:lang w:val="en-GB"/>
              </w:rPr>
              <w:t>一年期以上未平盘敞口≤</w:t>
            </w:r>
            <w:r w:rsidR="00D43140">
              <w:rPr>
                <w:rFonts w:ascii="宋体" w:eastAsia="宋体" w:hAnsi="宋体"/>
                <w:lang w:val="en-GB"/>
              </w:rPr>
              <w:t>190</w:t>
            </w:r>
            <w:r w:rsidR="00D43140">
              <w:rPr>
                <w:rFonts w:ascii="宋体" w:eastAsia="宋体" w:hAnsi="宋体" w:hint="eastAsia"/>
                <w:lang w:val="en-GB"/>
              </w:rPr>
              <w:t>万美元</w:t>
            </w:r>
          </w:p>
          <w:p w14:paraId="7ACE6965" w14:textId="6F7312E4" w:rsidR="00F050C5" w:rsidRPr="00C42DDE" w:rsidRDefault="00D43140">
            <w:pPr>
              <w:pStyle w:val="1"/>
              <w:numPr>
                <w:ilvl w:val="0"/>
                <w:numId w:val="6"/>
              </w:numPr>
              <w:ind w:left="153" w:hanging="227"/>
              <w:rPr>
                <w:rFonts w:ascii="宋体" w:eastAsia="宋体" w:hAnsi="宋体"/>
                <w:lang w:val="en-GB"/>
              </w:rPr>
            </w:pPr>
            <w:r>
              <w:rPr>
                <w:rFonts w:ascii="宋体" w:eastAsia="宋体" w:hAnsi="宋体"/>
                <w:lang w:val="en-GB"/>
              </w:rPr>
              <w:t>PVBP≤1.9</w:t>
            </w:r>
            <w:r>
              <w:rPr>
                <w:rFonts w:ascii="宋体" w:eastAsia="宋体" w:hAnsi="宋体" w:hint="eastAsia"/>
                <w:lang w:val="en-GB"/>
              </w:rPr>
              <w:t>万美元</w:t>
            </w:r>
          </w:p>
          <w:p w14:paraId="7ACE6966" w14:textId="2A867CA5" w:rsidR="00F050C5" w:rsidRPr="00C42DDE" w:rsidRDefault="00D43140" w:rsidP="00D43140">
            <w:pPr>
              <w:pStyle w:val="1"/>
              <w:numPr>
                <w:ilvl w:val="0"/>
                <w:numId w:val="6"/>
              </w:numPr>
              <w:ind w:left="153" w:hanging="227"/>
              <w:rPr>
                <w:rFonts w:ascii="宋体" w:eastAsia="宋体" w:hAnsi="宋体"/>
                <w:lang w:val="en-GB"/>
              </w:rPr>
            </w:pPr>
            <w:r>
              <w:rPr>
                <w:rFonts w:ascii="宋体" w:eastAsia="宋体" w:hAnsi="宋体"/>
                <w:lang w:val="en-GB"/>
              </w:rPr>
              <w:t>月度</w:t>
            </w:r>
            <w:r>
              <w:rPr>
                <w:rFonts w:ascii="宋体" w:eastAsia="宋体" w:hAnsi="宋体" w:hint="eastAsia"/>
                <w:lang w:val="en-GB"/>
              </w:rPr>
              <w:t>损失预警≤</w:t>
            </w:r>
            <w:r>
              <w:rPr>
                <w:rFonts w:ascii="宋体" w:eastAsia="宋体" w:hAnsi="宋体"/>
                <w:lang w:val="en-GB"/>
              </w:rPr>
              <w:t>9.5</w:t>
            </w:r>
            <w:r>
              <w:rPr>
                <w:rFonts w:ascii="宋体" w:eastAsia="宋体" w:hAnsi="宋体" w:hint="eastAsia"/>
                <w:lang w:val="en-GB"/>
              </w:rPr>
              <w:t>万美元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1FFEAA61" w14:textId="77777777" w:rsidR="00D43140" w:rsidRPr="00C42DDE" w:rsidRDefault="00D43140" w:rsidP="00D43140">
            <w:pPr>
              <w:pStyle w:val="1"/>
              <w:numPr>
                <w:ilvl w:val="0"/>
                <w:numId w:val="6"/>
              </w:numPr>
              <w:ind w:left="153" w:hanging="227"/>
              <w:rPr>
                <w:rFonts w:ascii="宋体" w:eastAsia="宋体" w:hAnsi="宋体"/>
                <w:lang w:val="en-GB"/>
              </w:rPr>
            </w:pPr>
            <w:r w:rsidRPr="00C42DDE">
              <w:rPr>
                <w:rFonts w:ascii="宋体" w:eastAsia="宋体" w:hAnsi="宋体"/>
                <w:lang w:val="en-GB"/>
              </w:rPr>
              <w:t>一年期以上未平盘敞口≤</w:t>
            </w:r>
            <w:r>
              <w:rPr>
                <w:rFonts w:ascii="宋体" w:eastAsia="宋体" w:hAnsi="宋体"/>
                <w:lang w:val="en-GB"/>
              </w:rPr>
              <w:t>190</w:t>
            </w:r>
            <w:r>
              <w:rPr>
                <w:rFonts w:ascii="宋体" w:eastAsia="宋体" w:hAnsi="宋体" w:hint="eastAsia"/>
                <w:lang w:val="en-GB"/>
              </w:rPr>
              <w:t>万美元</w:t>
            </w:r>
          </w:p>
          <w:p w14:paraId="07DB065C" w14:textId="2CA8A36C" w:rsidR="00D43140" w:rsidRPr="00C42DDE" w:rsidRDefault="00D43140" w:rsidP="00D43140">
            <w:pPr>
              <w:pStyle w:val="1"/>
              <w:numPr>
                <w:ilvl w:val="0"/>
                <w:numId w:val="6"/>
              </w:numPr>
              <w:ind w:left="153" w:hanging="227"/>
              <w:rPr>
                <w:rFonts w:ascii="宋体" w:eastAsia="宋体" w:hAnsi="宋体"/>
                <w:lang w:val="en-GB"/>
              </w:rPr>
            </w:pPr>
            <w:r>
              <w:rPr>
                <w:rFonts w:ascii="宋体" w:eastAsia="宋体" w:hAnsi="宋体"/>
                <w:lang w:val="en-GB"/>
              </w:rPr>
              <w:t>PVBP≤1.9</w:t>
            </w:r>
            <w:r>
              <w:rPr>
                <w:rFonts w:ascii="宋体" w:eastAsia="宋体" w:hAnsi="宋体" w:hint="eastAsia"/>
                <w:lang w:val="en-GB"/>
              </w:rPr>
              <w:t>万美元</w:t>
            </w:r>
          </w:p>
          <w:p w14:paraId="7ACE6969" w14:textId="788FB6F5" w:rsidR="00F050C5" w:rsidRPr="00C42DDE" w:rsidRDefault="00D43140" w:rsidP="00D43140">
            <w:pPr>
              <w:pStyle w:val="1"/>
              <w:numPr>
                <w:ilvl w:val="0"/>
                <w:numId w:val="6"/>
              </w:numPr>
              <w:spacing w:after="120"/>
              <w:ind w:left="153" w:hanging="227"/>
              <w:rPr>
                <w:rFonts w:ascii="宋体" w:eastAsia="宋体" w:hAnsi="宋体"/>
                <w:lang w:val="en-GB"/>
              </w:rPr>
            </w:pPr>
            <w:r>
              <w:rPr>
                <w:rFonts w:ascii="宋体" w:eastAsia="宋体" w:hAnsi="宋体"/>
                <w:lang w:val="en-GB"/>
              </w:rPr>
              <w:t>月度</w:t>
            </w:r>
            <w:r>
              <w:rPr>
                <w:rFonts w:ascii="宋体" w:eastAsia="宋体" w:hAnsi="宋体" w:hint="eastAsia"/>
                <w:lang w:val="en-GB"/>
              </w:rPr>
              <w:t>损失预警≤</w:t>
            </w:r>
            <w:r>
              <w:rPr>
                <w:rFonts w:ascii="宋体" w:eastAsia="宋体" w:hAnsi="宋体"/>
                <w:lang w:val="en-GB"/>
              </w:rPr>
              <w:t>9.5</w:t>
            </w:r>
            <w:r>
              <w:rPr>
                <w:rFonts w:ascii="宋体" w:eastAsia="宋体" w:hAnsi="宋体" w:hint="eastAsia"/>
                <w:lang w:val="en-GB"/>
              </w:rPr>
              <w:t>万美元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9B021EE" w14:textId="59B82FCC" w:rsidR="00D43140" w:rsidRPr="00C42DDE" w:rsidRDefault="00D43140" w:rsidP="00D43140">
            <w:pPr>
              <w:pStyle w:val="1"/>
              <w:numPr>
                <w:ilvl w:val="0"/>
                <w:numId w:val="6"/>
              </w:numPr>
              <w:ind w:left="153" w:hanging="227"/>
              <w:rPr>
                <w:rFonts w:ascii="宋体" w:eastAsia="宋体" w:hAnsi="宋体"/>
                <w:lang w:val="en-GB"/>
              </w:rPr>
            </w:pPr>
            <w:r w:rsidRPr="00C42DDE">
              <w:rPr>
                <w:rFonts w:ascii="宋体" w:eastAsia="宋体" w:hAnsi="宋体"/>
                <w:lang w:val="en-GB"/>
              </w:rPr>
              <w:t>一年期以上未平盘敞口≤</w:t>
            </w:r>
            <w:r>
              <w:rPr>
                <w:rFonts w:ascii="宋体" w:eastAsia="宋体" w:hAnsi="宋体"/>
                <w:lang w:val="en-GB"/>
              </w:rPr>
              <w:t>160</w:t>
            </w:r>
            <w:r>
              <w:rPr>
                <w:rFonts w:ascii="宋体" w:eastAsia="宋体" w:hAnsi="宋体" w:hint="eastAsia"/>
                <w:lang w:val="en-GB"/>
              </w:rPr>
              <w:t>万美元</w:t>
            </w:r>
          </w:p>
          <w:p w14:paraId="2512929C" w14:textId="6C6A9C71" w:rsidR="00D43140" w:rsidRPr="00C42DDE" w:rsidRDefault="00D43140" w:rsidP="00D43140">
            <w:pPr>
              <w:pStyle w:val="1"/>
              <w:numPr>
                <w:ilvl w:val="0"/>
                <w:numId w:val="6"/>
              </w:numPr>
              <w:ind w:left="153" w:hanging="227"/>
              <w:rPr>
                <w:rFonts w:ascii="宋体" w:eastAsia="宋体" w:hAnsi="宋体"/>
                <w:lang w:val="en-GB"/>
              </w:rPr>
            </w:pPr>
            <w:r>
              <w:rPr>
                <w:rFonts w:ascii="宋体" w:eastAsia="宋体" w:hAnsi="宋体"/>
                <w:lang w:val="en-GB"/>
              </w:rPr>
              <w:t>PVBP≤1.6</w:t>
            </w:r>
            <w:r>
              <w:rPr>
                <w:rFonts w:ascii="宋体" w:eastAsia="宋体" w:hAnsi="宋体" w:hint="eastAsia"/>
                <w:lang w:val="en-GB"/>
              </w:rPr>
              <w:t>万美元</w:t>
            </w:r>
            <w:r w:rsidRPr="00C42DDE">
              <w:rPr>
                <w:rFonts w:ascii="宋体" w:eastAsia="宋体" w:hAnsi="宋体"/>
                <w:lang w:val="en-GB"/>
              </w:rPr>
              <w:t xml:space="preserve"> </w:t>
            </w:r>
          </w:p>
          <w:p w14:paraId="7ACE696C" w14:textId="1E5F693A" w:rsidR="00F050C5" w:rsidRPr="00C42DDE" w:rsidRDefault="00D43140" w:rsidP="00D43140">
            <w:pPr>
              <w:pStyle w:val="1"/>
              <w:numPr>
                <w:ilvl w:val="0"/>
                <w:numId w:val="6"/>
              </w:numPr>
              <w:ind w:left="153" w:hanging="227"/>
              <w:rPr>
                <w:rFonts w:ascii="宋体" w:eastAsia="宋体" w:hAnsi="宋体"/>
                <w:lang w:val="en-GB"/>
              </w:rPr>
            </w:pPr>
            <w:r>
              <w:rPr>
                <w:rFonts w:ascii="宋体" w:eastAsia="宋体" w:hAnsi="宋体"/>
                <w:lang w:val="en-GB"/>
              </w:rPr>
              <w:t>月度</w:t>
            </w:r>
            <w:r>
              <w:rPr>
                <w:rFonts w:ascii="宋体" w:eastAsia="宋体" w:hAnsi="宋体" w:hint="eastAsia"/>
                <w:lang w:val="en-GB"/>
              </w:rPr>
              <w:t>损失预警≤</w:t>
            </w:r>
            <w:r>
              <w:rPr>
                <w:rFonts w:ascii="宋体" w:eastAsia="宋体" w:hAnsi="宋体"/>
                <w:lang w:val="en-GB"/>
              </w:rPr>
              <w:t>8</w:t>
            </w:r>
            <w:r>
              <w:rPr>
                <w:rFonts w:ascii="宋体" w:eastAsia="宋体" w:hAnsi="宋体" w:hint="eastAsia"/>
                <w:lang w:val="en-GB"/>
              </w:rPr>
              <w:t>万美元</w:t>
            </w:r>
          </w:p>
        </w:tc>
      </w:tr>
    </w:tbl>
    <w:p w14:paraId="7ACE696E" w14:textId="77777777" w:rsidR="000B40BC" w:rsidRDefault="001403DD">
      <w:pPr>
        <w:widowControl w:val="0"/>
        <w:numPr>
          <w:ilvl w:val="0"/>
          <w:numId w:val="5"/>
        </w:numPr>
        <w:adjustRightInd w:val="0"/>
        <w:snapToGrid w:val="0"/>
        <w:spacing w:line="560" w:lineRule="exact"/>
        <w:ind w:left="0" w:firstLineChars="200" w:firstLine="640"/>
        <w:jc w:val="both"/>
        <w:rPr>
          <w:rFonts w:ascii="仿宋" w:eastAsia="仿宋" w:hAnsi="仿宋" w:cs="Times New Roman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外汇交易业务</w:t>
      </w:r>
    </w:p>
    <w:p w14:paraId="7ACE696F" w14:textId="71584BA0" w:rsidR="000B40BC" w:rsidRDefault="00E716E0">
      <w:pPr>
        <w:adjustRightInd w:val="0"/>
        <w:snapToGrid w:val="0"/>
        <w:spacing w:line="560" w:lineRule="exact"/>
        <w:ind w:firstLineChars="200" w:firstLine="640"/>
        <w:jc w:val="both"/>
        <w:rPr>
          <w:rFonts w:ascii="仿宋" w:eastAsia="仿宋" w:hAnsi="仿宋" w:cs="Times New Roman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</w:t>
      </w:r>
      <w:r>
        <w:rPr>
          <w:rFonts w:ascii="仿宋" w:eastAsia="仿宋" w:hAnsi="仿宋"/>
          <w:sz w:val="32"/>
          <w:szCs w:val="32"/>
        </w:rPr>
        <w:t>.</w:t>
      </w:r>
      <w:r w:rsidR="001C1ACF">
        <w:rPr>
          <w:rFonts w:ascii="仿宋" w:eastAsia="仿宋" w:hAnsi="仿宋" w:cs="Times New Roman" w:hint="eastAsia"/>
          <w:sz w:val="32"/>
          <w:szCs w:val="32"/>
        </w:rPr>
        <w:t>即</w:t>
      </w:r>
      <w:r w:rsidR="008162DD">
        <w:rPr>
          <w:rFonts w:ascii="仿宋" w:eastAsia="仿宋" w:hAnsi="仿宋" w:cs="Times New Roman"/>
          <w:sz w:val="32"/>
          <w:szCs w:val="32"/>
        </w:rPr>
        <w:t>远掉期</w:t>
      </w:r>
      <w:r w:rsidR="008162DD">
        <w:rPr>
          <w:rFonts w:ascii="仿宋" w:eastAsia="仿宋" w:hAnsi="仿宋" w:cs="Times New Roman" w:hint="eastAsia"/>
          <w:sz w:val="32"/>
          <w:szCs w:val="32"/>
        </w:rPr>
        <w:t>业务</w:t>
      </w:r>
      <w:r w:rsidR="008162DD">
        <w:rPr>
          <w:rFonts w:ascii="仿宋" w:eastAsia="仿宋" w:hAnsi="仿宋" w:cs="Times New Roman"/>
          <w:sz w:val="32"/>
          <w:szCs w:val="32"/>
        </w:rPr>
        <w:t>限额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2977"/>
        <w:gridCol w:w="2977"/>
      </w:tblGrid>
      <w:tr w:rsidR="008162DD" w:rsidRPr="00C42DDE" w14:paraId="7ACE6973" w14:textId="77777777" w:rsidTr="00F050C5">
        <w:tc>
          <w:tcPr>
            <w:tcW w:w="5949" w:type="dxa"/>
            <w:gridSpan w:val="2"/>
            <w:shd w:val="clear" w:color="auto" w:fill="auto"/>
            <w:vAlign w:val="center"/>
          </w:tcPr>
          <w:p w14:paraId="7ACE6971" w14:textId="77777777" w:rsidR="008162DD" w:rsidRPr="00C42DDE" w:rsidRDefault="008162DD">
            <w:pPr>
              <w:spacing w:after="120"/>
              <w:jc w:val="center"/>
              <w:rPr>
                <w:rFonts w:ascii="宋体" w:eastAsia="宋体" w:hAnsi="宋体" w:cs="仿宋_GB2312"/>
                <w:b/>
                <w:color w:val="000000"/>
              </w:rPr>
            </w:pPr>
            <w:r w:rsidRPr="00C42DDE">
              <w:rPr>
                <w:rFonts w:ascii="宋体" w:eastAsia="宋体" w:hAnsi="宋体" w:cs="仿宋_GB2312" w:hint="eastAsia"/>
                <w:b/>
                <w:color w:val="000000"/>
              </w:rPr>
              <w:t>伦敦</w:t>
            </w:r>
            <w:r w:rsidRPr="00C42DDE">
              <w:rPr>
                <w:rFonts w:ascii="宋体" w:eastAsia="宋体" w:hAnsi="宋体" w:cs="仿宋_GB2312"/>
                <w:b/>
                <w:color w:val="000000"/>
              </w:rPr>
              <w:t>分行分管行领导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14:paraId="7ACE6972" w14:textId="77777777" w:rsidR="008162DD" w:rsidRPr="00C42DDE" w:rsidRDefault="008162DD">
            <w:pPr>
              <w:spacing w:after="120"/>
              <w:jc w:val="center"/>
              <w:rPr>
                <w:rFonts w:ascii="宋体" w:eastAsia="宋体" w:hAnsi="宋体" w:cs="仿宋_GB2312"/>
                <w:b/>
                <w:color w:val="000000"/>
              </w:rPr>
            </w:pPr>
            <w:r w:rsidRPr="00C42DDE">
              <w:rPr>
                <w:rFonts w:ascii="宋体" w:eastAsia="宋体" w:hAnsi="宋体" w:cs="仿宋_GB2312" w:hint="eastAsia"/>
                <w:b/>
                <w:color w:val="000000"/>
              </w:rPr>
              <w:t>伦敦分行金融市场部负责人</w:t>
            </w:r>
          </w:p>
        </w:tc>
      </w:tr>
      <w:tr w:rsidR="008162DD" w:rsidRPr="00C42DDE" w14:paraId="7ACE6978" w14:textId="77777777" w:rsidTr="00F050C5">
        <w:tc>
          <w:tcPr>
            <w:tcW w:w="2972" w:type="dxa"/>
            <w:shd w:val="clear" w:color="auto" w:fill="auto"/>
            <w:vAlign w:val="center"/>
          </w:tcPr>
          <w:p w14:paraId="7ACE6975" w14:textId="77777777" w:rsidR="008162DD" w:rsidRPr="00C42DDE" w:rsidRDefault="008162DD">
            <w:pPr>
              <w:spacing w:after="120"/>
              <w:jc w:val="center"/>
              <w:rPr>
                <w:rFonts w:ascii="宋体" w:eastAsia="宋体" w:hAnsi="宋体"/>
                <w:b/>
              </w:rPr>
            </w:pPr>
            <w:r w:rsidRPr="00C42DDE">
              <w:rPr>
                <w:rFonts w:ascii="宋体" w:eastAsia="宋体" w:hAnsi="宋体" w:cs="仿宋_GB2312" w:hint="eastAsia"/>
                <w:b/>
                <w:color w:val="000000"/>
              </w:rPr>
              <w:t>分行行长</w:t>
            </w:r>
            <w:r w:rsidRPr="00C42DDE">
              <w:rPr>
                <w:rFonts w:ascii="宋体" w:eastAsia="宋体" w:hAnsi="宋体" w:cs="仿宋_GB2312"/>
                <w:b/>
                <w:color w:val="000000"/>
              </w:rPr>
              <w:t>级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ACE6976" w14:textId="77777777" w:rsidR="008162DD" w:rsidRPr="00C42DDE" w:rsidRDefault="008162DD">
            <w:pPr>
              <w:spacing w:after="120"/>
              <w:jc w:val="center"/>
              <w:rPr>
                <w:rFonts w:ascii="宋体" w:eastAsia="宋体" w:hAnsi="宋体" w:cs="仿宋_GB2312"/>
                <w:b/>
                <w:color w:val="000000"/>
              </w:rPr>
            </w:pPr>
            <w:r w:rsidRPr="00C42DDE">
              <w:rPr>
                <w:rFonts w:ascii="宋体" w:eastAsia="宋体" w:hAnsi="宋体" w:cs="仿宋_GB2312" w:hint="eastAsia"/>
                <w:b/>
                <w:color w:val="000000"/>
              </w:rPr>
              <w:t>分行副行长</w:t>
            </w:r>
            <w:r w:rsidRPr="00C42DDE">
              <w:rPr>
                <w:rFonts w:ascii="宋体" w:eastAsia="宋体" w:hAnsi="宋体" w:cs="仿宋_GB2312"/>
                <w:b/>
                <w:color w:val="000000"/>
              </w:rPr>
              <w:t>级</w:t>
            </w:r>
          </w:p>
        </w:tc>
        <w:tc>
          <w:tcPr>
            <w:tcW w:w="2977" w:type="dxa"/>
            <w:vMerge/>
            <w:shd w:val="clear" w:color="auto" w:fill="auto"/>
            <w:vAlign w:val="center"/>
          </w:tcPr>
          <w:p w14:paraId="7ACE6977" w14:textId="77777777" w:rsidR="008162DD" w:rsidRPr="00C42DDE" w:rsidRDefault="008162DD">
            <w:pPr>
              <w:spacing w:after="120"/>
              <w:jc w:val="center"/>
              <w:rPr>
                <w:rFonts w:ascii="宋体" w:eastAsia="宋体" w:hAnsi="宋体"/>
                <w:b/>
              </w:rPr>
            </w:pPr>
          </w:p>
        </w:tc>
      </w:tr>
      <w:tr w:rsidR="008162DD" w:rsidRPr="00C42DDE" w14:paraId="7ACE697D" w14:textId="77777777" w:rsidTr="00F050C5">
        <w:tc>
          <w:tcPr>
            <w:tcW w:w="2972" w:type="dxa"/>
            <w:shd w:val="clear" w:color="auto" w:fill="auto"/>
            <w:vAlign w:val="center"/>
          </w:tcPr>
          <w:p w14:paraId="7ACE697A" w14:textId="77777777" w:rsidR="008162DD" w:rsidRPr="00C42DDE" w:rsidRDefault="008162DD">
            <w:pPr>
              <w:spacing w:after="120"/>
              <w:jc w:val="center"/>
              <w:rPr>
                <w:rFonts w:ascii="宋体" w:eastAsia="宋体" w:hAnsi="宋体"/>
              </w:rPr>
            </w:pPr>
            <w:r w:rsidRPr="00C42DDE">
              <w:rPr>
                <w:rFonts w:ascii="宋体" w:eastAsia="宋体" w:hAnsi="宋体" w:hint="eastAsia"/>
              </w:rPr>
              <w:t>许金雷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ACE697B" w14:textId="77777777" w:rsidR="008162DD" w:rsidRPr="00C42DDE" w:rsidRDefault="008162DD">
            <w:pPr>
              <w:spacing w:after="120"/>
              <w:jc w:val="center"/>
              <w:rPr>
                <w:rFonts w:ascii="宋体" w:eastAsia="宋体" w:hAnsi="宋体"/>
              </w:rPr>
            </w:pPr>
            <w:r w:rsidRPr="00C42DDE">
              <w:rPr>
                <w:rFonts w:ascii="宋体" w:eastAsia="宋体" w:hAnsi="宋体" w:cs="宋体" w:hint="eastAsia"/>
              </w:rPr>
              <w:t>赵钢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ACE697C" w14:textId="77777777" w:rsidR="008162DD" w:rsidRPr="00C42DDE" w:rsidRDefault="008162DD">
            <w:pPr>
              <w:spacing w:after="120"/>
              <w:jc w:val="center"/>
              <w:rPr>
                <w:rFonts w:ascii="宋体" w:eastAsia="宋体" w:hAnsi="宋体"/>
              </w:rPr>
            </w:pPr>
            <w:r w:rsidRPr="00C42DDE">
              <w:rPr>
                <w:rFonts w:ascii="宋体" w:eastAsia="宋体" w:hAnsi="宋体" w:cs="宋体"/>
              </w:rPr>
              <w:t>Richard Thaiss</w:t>
            </w:r>
          </w:p>
        </w:tc>
      </w:tr>
      <w:tr w:rsidR="008162DD" w:rsidRPr="00C42DDE" w14:paraId="7ACE6985" w14:textId="77777777" w:rsidTr="00F050C5">
        <w:tc>
          <w:tcPr>
            <w:tcW w:w="2972" w:type="dxa"/>
            <w:shd w:val="clear" w:color="auto" w:fill="auto"/>
            <w:vAlign w:val="center"/>
          </w:tcPr>
          <w:p w14:paraId="7ACE697F" w14:textId="054BF859" w:rsidR="008162DD" w:rsidRPr="00C42DDE" w:rsidRDefault="008162DD">
            <w:pPr>
              <w:pStyle w:val="1"/>
              <w:numPr>
                <w:ilvl w:val="0"/>
                <w:numId w:val="6"/>
              </w:numPr>
              <w:ind w:left="153" w:hanging="227"/>
              <w:rPr>
                <w:rFonts w:ascii="宋体" w:eastAsia="宋体" w:hAnsi="宋体"/>
                <w:lang w:val="en-GB"/>
              </w:rPr>
            </w:pPr>
            <w:r>
              <w:rPr>
                <w:rFonts w:ascii="宋体" w:eastAsia="宋体" w:hAnsi="宋体" w:hint="eastAsia"/>
                <w:lang w:val="en-GB"/>
              </w:rPr>
              <w:t>外汇</w:t>
            </w:r>
            <w:r w:rsidRPr="00C42DDE">
              <w:rPr>
                <w:rFonts w:ascii="宋体" w:eastAsia="宋体" w:hAnsi="宋体" w:hint="eastAsia"/>
                <w:lang w:val="en-GB"/>
              </w:rPr>
              <w:t>敞口≤</w:t>
            </w:r>
            <w:r>
              <w:rPr>
                <w:rFonts w:ascii="宋体" w:eastAsia="宋体" w:hAnsi="宋体"/>
                <w:lang w:val="en-GB"/>
              </w:rPr>
              <w:t>475</w:t>
            </w:r>
            <w:r>
              <w:rPr>
                <w:rFonts w:ascii="宋体" w:eastAsia="宋体" w:hAnsi="宋体" w:hint="eastAsia"/>
                <w:lang w:val="en-GB"/>
              </w:rPr>
              <w:t>万</w:t>
            </w:r>
            <w:r>
              <w:rPr>
                <w:rFonts w:ascii="宋体" w:eastAsia="宋体" w:hAnsi="宋体"/>
                <w:lang w:val="en-GB"/>
              </w:rPr>
              <w:t>美元</w:t>
            </w:r>
            <w:r>
              <w:rPr>
                <w:rFonts w:ascii="宋体" w:eastAsia="宋体" w:hAnsi="宋体" w:hint="eastAsia"/>
                <w:lang w:val="en-GB"/>
              </w:rPr>
              <w:t>，</w:t>
            </w:r>
            <w:r>
              <w:rPr>
                <w:rFonts w:ascii="宋体" w:eastAsia="宋体" w:hAnsi="宋体"/>
                <w:lang w:val="en-GB"/>
              </w:rPr>
              <w:t>其中非美元敞口≤</w:t>
            </w:r>
            <w:r>
              <w:rPr>
                <w:rFonts w:ascii="宋体" w:eastAsia="宋体" w:hAnsi="宋体" w:hint="eastAsia"/>
                <w:lang w:val="en-GB"/>
              </w:rPr>
              <w:t>190万</w:t>
            </w:r>
            <w:r>
              <w:rPr>
                <w:rFonts w:ascii="宋体" w:eastAsia="宋体" w:hAnsi="宋体"/>
                <w:lang w:val="en-GB"/>
              </w:rPr>
              <w:t>美元</w:t>
            </w:r>
          </w:p>
          <w:p w14:paraId="4E8322C8" w14:textId="5B88217D" w:rsidR="008162DD" w:rsidRDefault="008162DD">
            <w:pPr>
              <w:pStyle w:val="1"/>
              <w:numPr>
                <w:ilvl w:val="0"/>
                <w:numId w:val="6"/>
              </w:numPr>
              <w:ind w:left="153" w:hanging="227"/>
              <w:rPr>
                <w:rFonts w:ascii="宋体" w:eastAsia="宋体" w:hAnsi="宋体"/>
                <w:lang w:val="en-GB"/>
              </w:rPr>
            </w:pPr>
            <w:r>
              <w:rPr>
                <w:rFonts w:ascii="宋体" w:eastAsia="宋体" w:hAnsi="宋体" w:hint="eastAsia"/>
                <w:lang w:val="en-GB"/>
              </w:rPr>
              <w:t>期限</w:t>
            </w:r>
            <w:r>
              <w:rPr>
                <w:rFonts w:ascii="宋体" w:eastAsia="宋体" w:hAnsi="宋体"/>
                <w:lang w:val="en-GB"/>
              </w:rPr>
              <w:t>≤5</w:t>
            </w:r>
            <w:r>
              <w:rPr>
                <w:rFonts w:ascii="宋体" w:eastAsia="宋体" w:hAnsi="宋体" w:hint="eastAsia"/>
                <w:lang w:val="en-GB"/>
              </w:rPr>
              <w:t>年</w:t>
            </w:r>
          </w:p>
          <w:p w14:paraId="1079AB6E" w14:textId="2E84572E" w:rsidR="008162DD" w:rsidRDefault="008162DD">
            <w:pPr>
              <w:pStyle w:val="1"/>
              <w:numPr>
                <w:ilvl w:val="0"/>
                <w:numId w:val="6"/>
              </w:numPr>
              <w:ind w:left="153" w:hanging="227"/>
              <w:rPr>
                <w:rFonts w:ascii="宋体" w:eastAsia="宋体" w:hAnsi="宋体"/>
                <w:lang w:val="en-GB"/>
              </w:rPr>
            </w:pPr>
            <w:r>
              <w:rPr>
                <w:rFonts w:ascii="宋体" w:eastAsia="宋体" w:hAnsi="宋体" w:hint="eastAsia"/>
                <w:lang w:val="en-GB"/>
              </w:rPr>
              <w:t>单边</w:t>
            </w:r>
            <w:r>
              <w:rPr>
                <w:rFonts w:ascii="宋体" w:eastAsia="宋体" w:hAnsi="宋体"/>
                <w:lang w:val="en-GB"/>
              </w:rPr>
              <w:t>PVBP</w:t>
            </w:r>
            <w:r>
              <w:rPr>
                <w:rFonts w:ascii="宋体" w:eastAsia="宋体" w:hAnsi="宋体" w:hint="eastAsia"/>
                <w:lang w:val="en-GB"/>
              </w:rPr>
              <w:t>≤4.75万</w:t>
            </w:r>
            <w:r>
              <w:rPr>
                <w:rFonts w:ascii="宋体" w:eastAsia="宋体" w:hAnsi="宋体"/>
                <w:lang w:val="en-GB"/>
              </w:rPr>
              <w:t>元</w:t>
            </w:r>
          </w:p>
          <w:p w14:paraId="7ACE6980" w14:textId="458E7CC5" w:rsidR="008162DD" w:rsidRPr="00C42DDE" w:rsidRDefault="008162DD" w:rsidP="001C1ACF">
            <w:pPr>
              <w:pStyle w:val="1"/>
              <w:numPr>
                <w:ilvl w:val="0"/>
                <w:numId w:val="6"/>
              </w:numPr>
              <w:ind w:left="153" w:hanging="227"/>
              <w:rPr>
                <w:rFonts w:ascii="宋体" w:eastAsia="宋体" w:hAnsi="宋体"/>
                <w:lang w:val="en-GB"/>
              </w:rPr>
            </w:pPr>
            <w:r w:rsidRPr="00C42DDE">
              <w:rPr>
                <w:rFonts w:ascii="宋体" w:eastAsia="宋体" w:hAnsi="宋体" w:hint="eastAsia"/>
                <w:lang w:val="en-GB"/>
              </w:rPr>
              <w:t>月度</w:t>
            </w:r>
            <w:r>
              <w:rPr>
                <w:rFonts w:ascii="宋体" w:eastAsia="宋体" w:hAnsi="宋体" w:hint="eastAsia"/>
                <w:lang w:val="en-GB"/>
              </w:rPr>
              <w:t>损失</w:t>
            </w:r>
            <w:r w:rsidR="001C1ACF">
              <w:rPr>
                <w:rFonts w:ascii="宋体" w:eastAsia="宋体" w:hAnsi="宋体" w:hint="eastAsia"/>
                <w:lang w:val="en-GB"/>
              </w:rPr>
              <w:t>预警</w:t>
            </w:r>
            <w:r>
              <w:rPr>
                <w:rFonts w:ascii="宋体" w:eastAsia="宋体" w:hAnsi="宋体" w:hint="eastAsia"/>
                <w:lang w:val="en-GB"/>
              </w:rPr>
              <w:t>≤</w:t>
            </w:r>
            <w:r w:rsidR="001C1ACF">
              <w:rPr>
                <w:rFonts w:ascii="宋体" w:eastAsia="宋体" w:hAnsi="宋体" w:hint="eastAsia"/>
                <w:lang w:val="en-GB"/>
              </w:rPr>
              <w:t>142.5万元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4EB0F7F" w14:textId="77777777" w:rsidR="001C1ACF" w:rsidRPr="00C42DDE" w:rsidRDefault="001C1ACF" w:rsidP="001C1ACF">
            <w:pPr>
              <w:pStyle w:val="1"/>
              <w:numPr>
                <w:ilvl w:val="0"/>
                <w:numId w:val="6"/>
              </w:numPr>
              <w:ind w:left="153" w:hanging="227"/>
              <w:rPr>
                <w:rFonts w:ascii="宋体" w:eastAsia="宋体" w:hAnsi="宋体"/>
                <w:lang w:val="en-GB"/>
              </w:rPr>
            </w:pPr>
            <w:r>
              <w:rPr>
                <w:rFonts w:ascii="宋体" w:eastAsia="宋体" w:hAnsi="宋体" w:hint="eastAsia"/>
                <w:lang w:val="en-GB"/>
              </w:rPr>
              <w:t>外汇</w:t>
            </w:r>
            <w:r w:rsidRPr="00C42DDE">
              <w:rPr>
                <w:rFonts w:ascii="宋体" w:eastAsia="宋体" w:hAnsi="宋体" w:hint="eastAsia"/>
                <w:lang w:val="en-GB"/>
              </w:rPr>
              <w:t>敞口≤</w:t>
            </w:r>
            <w:r>
              <w:rPr>
                <w:rFonts w:ascii="宋体" w:eastAsia="宋体" w:hAnsi="宋体"/>
                <w:lang w:val="en-GB"/>
              </w:rPr>
              <w:t>475</w:t>
            </w:r>
            <w:r>
              <w:rPr>
                <w:rFonts w:ascii="宋体" w:eastAsia="宋体" w:hAnsi="宋体" w:hint="eastAsia"/>
                <w:lang w:val="en-GB"/>
              </w:rPr>
              <w:t>万</w:t>
            </w:r>
            <w:r>
              <w:rPr>
                <w:rFonts w:ascii="宋体" w:eastAsia="宋体" w:hAnsi="宋体"/>
                <w:lang w:val="en-GB"/>
              </w:rPr>
              <w:t>美元</w:t>
            </w:r>
            <w:r>
              <w:rPr>
                <w:rFonts w:ascii="宋体" w:eastAsia="宋体" w:hAnsi="宋体" w:hint="eastAsia"/>
                <w:lang w:val="en-GB"/>
              </w:rPr>
              <w:t>，</w:t>
            </w:r>
            <w:r>
              <w:rPr>
                <w:rFonts w:ascii="宋体" w:eastAsia="宋体" w:hAnsi="宋体"/>
                <w:lang w:val="en-GB"/>
              </w:rPr>
              <w:t>其中非美元敞口≤</w:t>
            </w:r>
            <w:r>
              <w:rPr>
                <w:rFonts w:ascii="宋体" w:eastAsia="宋体" w:hAnsi="宋体" w:hint="eastAsia"/>
                <w:lang w:val="en-GB"/>
              </w:rPr>
              <w:t>190万</w:t>
            </w:r>
            <w:r>
              <w:rPr>
                <w:rFonts w:ascii="宋体" w:eastAsia="宋体" w:hAnsi="宋体"/>
                <w:lang w:val="en-GB"/>
              </w:rPr>
              <w:t>美元</w:t>
            </w:r>
          </w:p>
          <w:p w14:paraId="18BE2A92" w14:textId="77777777" w:rsidR="001C1ACF" w:rsidRDefault="001C1ACF" w:rsidP="001C1ACF">
            <w:pPr>
              <w:pStyle w:val="1"/>
              <w:numPr>
                <w:ilvl w:val="0"/>
                <w:numId w:val="6"/>
              </w:numPr>
              <w:ind w:left="153" w:hanging="227"/>
              <w:rPr>
                <w:rFonts w:ascii="宋体" w:eastAsia="宋体" w:hAnsi="宋体"/>
                <w:lang w:val="en-GB"/>
              </w:rPr>
            </w:pPr>
            <w:r>
              <w:rPr>
                <w:rFonts w:ascii="宋体" w:eastAsia="宋体" w:hAnsi="宋体" w:hint="eastAsia"/>
                <w:lang w:val="en-GB"/>
              </w:rPr>
              <w:t>期限</w:t>
            </w:r>
            <w:r>
              <w:rPr>
                <w:rFonts w:ascii="宋体" w:eastAsia="宋体" w:hAnsi="宋体"/>
                <w:lang w:val="en-GB"/>
              </w:rPr>
              <w:t>≤5</w:t>
            </w:r>
            <w:r>
              <w:rPr>
                <w:rFonts w:ascii="宋体" w:eastAsia="宋体" w:hAnsi="宋体" w:hint="eastAsia"/>
                <w:lang w:val="en-GB"/>
              </w:rPr>
              <w:t>年</w:t>
            </w:r>
          </w:p>
          <w:p w14:paraId="5273D5B1" w14:textId="77777777" w:rsidR="001C1ACF" w:rsidRDefault="001C1ACF" w:rsidP="001C1ACF">
            <w:pPr>
              <w:pStyle w:val="1"/>
              <w:numPr>
                <w:ilvl w:val="0"/>
                <w:numId w:val="6"/>
              </w:numPr>
              <w:ind w:left="153" w:hanging="227"/>
              <w:rPr>
                <w:rFonts w:ascii="宋体" w:eastAsia="宋体" w:hAnsi="宋体"/>
                <w:lang w:val="en-GB"/>
              </w:rPr>
            </w:pPr>
            <w:r>
              <w:rPr>
                <w:rFonts w:ascii="宋体" w:eastAsia="宋体" w:hAnsi="宋体" w:hint="eastAsia"/>
                <w:lang w:val="en-GB"/>
              </w:rPr>
              <w:t>单边</w:t>
            </w:r>
            <w:r>
              <w:rPr>
                <w:rFonts w:ascii="宋体" w:eastAsia="宋体" w:hAnsi="宋体"/>
                <w:lang w:val="en-GB"/>
              </w:rPr>
              <w:t>PVBP</w:t>
            </w:r>
            <w:r>
              <w:rPr>
                <w:rFonts w:ascii="宋体" w:eastAsia="宋体" w:hAnsi="宋体" w:hint="eastAsia"/>
                <w:lang w:val="en-GB"/>
              </w:rPr>
              <w:t>≤4.75万</w:t>
            </w:r>
            <w:r>
              <w:rPr>
                <w:rFonts w:ascii="宋体" w:eastAsia="宋体" w:hAnsi="宋体"/>
                <w:lang w:val="en-GB"/>
              </w:rPr>
              <w:t>元</w:t>
            </w:r>
          </w:p>
          <w:p w14:paraId="7ACE6982" w14:textId="40D9B90C" w:rsidR="008162DD" w:rsidRPr="00C42DDE" w:rsidRDefault="001C1ACF" w:rsidP="001C1ACF">
            <w:pPr>
              <w:pStyle w:val="1"/>
              <w:numPr>
                <w:ilvl w:val="0"/>
                <w:numId w:val="6"/>
              </w:numPr>
              <w:spacing w:after="120"/>
              <w:ind w:left="153" w:hanging="227"/>
              <w:rPr>
                <w:rFonts w:ascii="宋体" w:eastAsia="宋体" w:hAnsi="宋体"/>
                <w:lang w:val="en-GB"/>
              </w:rPr>
            </w:pPr>
            <w:r w:rsidRPr="00C42DDE">
              <w:rPr>
                <w:rFonts w:ascii="宋体" w:eastAsia="宋体" w:hAnsi="宋体" w:hint="eastAsia"/>
                <w:lang w:val="en-GB"/>
              </w:rPr>
              <w:t>月度</w:t>
            </w:r>
            <w:r>
              <w:rPr>
                <w:rFonts w:ascii="宋体" w:eastAsia="宋体" w:hAnsi="宋体" w:hint="eastAsia"/>
                <w:lang w:val="en-GB"/>
              </w:rPr>
              <w:t>损失预警≤142.5万元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C8C19F3" w14:textId="59AFA63B" w:rsidR="001C1ACF" w:rsidRPr="00C42DDE" w:rsidRDefault="001C1ACF" w:rsidP="001C1ACF">
            <w:pPr>
              <w:pStyle w:val="1"/>
              <w:numPr>
                <w:ilvl w:val="0"/>
                <w:numId w:val="6"/>
              </w:numPr>
              <w:ind w:left="153" w:hanging="227"/>
              <w:rPr>
                <w:rFonts w:ascii="宋体" w:eastAsia="宋体" w:hAnsi="宋体"/>
                <w:lang w:val="en-GB"/>
              </w:rPr>
            </w:pPr>
            <w:r>
              <w:rPr>
                <w:rFonts w:ascii="宋体" w:eastAsia="宋体" w:hAnsi="宋体" w:hint="eastAsia"/>
                <w:lang w:val="en-GB"/>
              </w:rPr>
              <w:t>外汇</w:t>
            </w:r>
            <w:r w:rsidRPr="00C42DDE">
              <w:rPr>
                <w:rFonts w:ascii="宋体" w:eastAsia="宋体" w:hAnsi="宋体" w:hint="eastAsia"/>
                <w:lang w:val="en-GB"/>
              </w:rPr>
              <w:t>敞口≤</w:t>
            </w:r>
            <w:r>
              <w:rPr>
                <w:rFonts w:ascii="宋体" w:eastAsia="宋体" w:hAnsi="宋体"/>
                <w:lang w:val="en-GB"/>
              </w:rPr>
              <w:t>400</w:t>
            </w:r>
            <w:r>
              <w:rPr>
                <w:rFonts w:ascii="宋体" w:eastAsia="宋体" w:hAnsi="宋体" w:hint="eastAsia"/>
                <w:lang w:val="en-GB"/>
              </w:rPr>
              <w:t>万</w:t>
            </w:r>
            <w:r>
              <w:rPr>
                <w:rFonts w:ascii="宋体" w:eastAsia="宋体" w:hAnsi="宋体"/>
                <w:lang w:val="en-GB"/>
              </w:rPr>
              <w:t>美元</w:t>
            </w:r>
            <w:r>
              <w:rPr>
                <w:rFonts w:ascii="宋体" w:eastAsia="宋体" w:hAnsi="宋体" w:hint="eastAsia"/>
                <w:lang w:val="en-GB"/>
              </w:rPr>
              <w:t>，</w:t>
            </w:r>
            <w:r>
              <w:rPr>
                <w:rFonts w:ascii="宋体" w:eastAsia="宋体" w:hAnsi="宋体"/>
                <w:lang w:val="en-GB"/>
              </w:rPr>
              <w:t>其中非美元敞口≤</w:t>
            </w:r>
            <w:r>
              <w:rPr>
                <w:rFonts w:ascii="宋体" w:eastAsia="宋体" w:hAnsi="宋体" w:hint="eastAsia"/>
                <w:lang w:val="en-GB"/>
              </w:rPr>
              <w:t>1</w:t>
            </w:r>
            <w:r>
              <w:rPr>
                <w:rFonts w:ascii="宋体" w:eastAsia="宋体" w:hAnsi="宋体"/>
                <w:lang w:val="en-GB"/>
              </w:rPr>
              <w:t>6</w:t>
            </w:r>
            <w:r>
              <w:rPr>
                <w:rFonts w:ascii="宋体" w:eastAsia="宋体" w:hAnsi="宋体" w:hint="eastAsia"/>
                <w:lang w:val="en-GB"/>
              </w:rPr>
              <w:t>0万</w:t>
            </w:r>
            <w:r>
              <w:rPr>
                <w:rFonts w:ascii="宋体" w:eastAsia="宋体" w:hAnsi="宋体"/>
                <w:lang w:val="en-GB"/>
              </w:rPr>
              <w:t>美元</w:t>
            </w:r>
          </w:p>
          <w:p w14:paraId="35CC4B7B" w14:textId="77777777" w:rsidR="001C1ACF" w:rsidRDefault="001C1ACF" w:rsidP="001C1ACF">
            <w:pPr>
              <w:pStyle w:val="1"/>
              <w:numPr>
                <w:ilvl w:val="0"/>
                <w:numId w:val="6"/>
              </w:numPr>
              <w:ind w:left="153" w:hanging="227"/>
              <w:rPr>
                <w:rFonts w:ascii="宋体" w:eastAsia="宋体" w:hAnsi="宋体"/>
                <w:lang w:val="en-GB"/>
              </w:rPr>
            </w:pPr>
            <w:r>
              <w:rPr>
                <w:rFonts w:ascii="宋体" w:eastAsia="宋体" w:hAnsi="宋体" w:hint="eastAsia"/>
                <w:lang w:val="en-GB"/>
              </w:rPr>
              <w:t>期限</w:t>
            </w:r>
            <w:r>
              <w:rPr>
                <w:rFonts w:ascii="宋体" w:eastAsia="宋体" w:hAnsi="宋体"/>
                <w:lang w:val="en-GB"/>
              </w:rPr>
              <w:t>≤5</w:t>
            </w:r>
            <w:r>
              <w:rPr>
                <w:rFonts w:ascii="宋体" w:eastAsia="宋体" w:hAnsi="宋体" w:hint="eastAsia"/>
                <w:lang w:val="en-GB"/>
              </w:rPr>
              <w:t>年</w:t>
            </w:r>
          </w:p>
          <w:p w14:paraId="79787D1B" w14:textId="1D6B09F5" w:rsidR="001C1ACF" w:rsidRDefault="001C1ACF" w:rsidP="001C1ACF">
            <w:pPr>
              <w:pStyle w:val="1"/>
              <w:numPr>
                <w:ilvl w:val="0"/>
                <w:numId w:val="6"/>
              </w:numPr>
              <w:ind w:left="153" w:hanging="227"/>
              <w:rPr>
                <w:rFonts w:ascii="宋体" w:eastAsia="宋体" w:hAnsi="宋体"/>
                <w:lang w:val="en-GB"/>
              </w:rPr>
            </w:pPr>
            <w:r>
              <w:rPr>
                <w:rFonts w:ascii="宋体" w:eastAsia="宋体" w:hAnsi="宋体" w:hint="eastAsia"/>
                <w:lang w:val="en-GB"/>
              </w:rPr>
              <w:t>单边</w:t>
            </w:r>
            <w:r>
              <w:rPr>
                <w:rFonts w:ascii="宋体" w:eastAsia="宋体" w:hAnsi="宋体"/>
                <w:lang w:val="en-GB"/>
              </w:rPr>
              <w:t>PVBP</w:t>
            </w:r>
            <w:r>
              <w:rPr>
                <w:rFonts w:ascii="宋体" w:eastAsia="宋体" w:hAnsi="宋体" w:hint="eastAsia"/>
                <w:lang w:val="en-GB"/>
              </w:rPr>
              <w:t>≤4万</w:t>
            </w:r>
            <w:r>
              <w:rPr>
                <w:rFonts w:ascii="宋体" w:eastAsia="宋体" w:hAnsi="宋体"/>
                <w:lang w:val="en-GB"/>
              </w:rPr>
              <w:t>元</w:t>
            </w:r>
          </w:p>
          <w:p w14:paraId="7ACE6984" w14:textId="4E36E118" w:rsidR="008162DD" w:rsidRPr="00C42DDE" w:rsidRDefault="001C1ACF" w:rsidP="001C1ACF">
            <w:pPr>
              <w:pStyle w:val="1"/>
              <w:numPr>
                <w:ilvl w:val="0"/>
                <w:numId w:val="6"/>
              </w:numPr>
              <w:ind w:left="153" w:hanging="227"/>
              <w:rPr>
                <w:rFonts w:ascii="宋体" w:eastAsia="宋体" w:hAnsi="宋体"/>
                <w:lang w:val="en-GB"/>
              </w:rPr>
            </w:pPr>
            <w:r w:rsidRPr="00C42DDE">
              <w:rPr>
                <w:rFonts w:ascii="宋体" w:eastAsia="宋体" w:hAnsi="宋体" w:hint="eastAsia"/>
                <w:lang w:val="en-GB"/>
              </w:rPr>
              <w:t>月度</w:t>
            </w:r>
            <w:r>
              <w:rPr>
                <w:rFonts w:ascii="宋体" w:eastAsia="宋体" w:hAnsi="宋体" w:hint="eastAsia"/>
                <w:lang w:val="en-GB"/>
              </w:rPr>
              <w:t>损失预警≤1</w:t>
            </w:r>
            <w:r>
              <w:rPr>
                <w:rFonts w:ascii="宋体" w:eastAsia="宋体" w:hAnsi="宋体"/>
                <w:lang w:val="en-GB"/>
              </w:rPr>
              <w:t>20</w:t>
            </w:r>
            <w:r>
              <w:rPr>
                <w:rFonts w:ascii="宋体" w:eastAsia="宋体" w:hAnsi="宋体" w:hint="eastAsia"/>
                <w:lang w:val="en-GB"/>
              </w:rPr>
              <w:t>万元</w:t>
            </w:r>
          </w:p>
        </w:tc>
      </w:tr>
    </w:tbl>
    <w:p w14:paraId="7ACE69DD" w14:textId="4CB16C1A" w:rsidR="000B40BC" w:rsidRDefault="00E716E0">
      <w:pPr>
        <w:adjustRightInd w:val="0"/>
        <w:snapToGrid w:val="0"/>
        <w:ind w:left="720"/>
        <w:rPr>
          <w:rFonts w:ascii="仿宋" w:eastAsia="仿宋" w:hAnsi="仿宋" w:cs="Times New Roman"/>
          <w:sz w:val="32"/>
          <w:szCs w:val="32"/>
        </w:rPr>
      </w:pPr>
      <w:r>
        <w:rPr>
          <w:rFonts w:ascii="仿宋" w:eastAsia="仿宋" w:hAnsi="仿宋" w:cs="Times New Roman" w:hint="eastAsia"/>
          <w:sz w:val="32"/>
          <w:szCs w:val="32"/>
        </w:rPr>
        <w:t>3</w:t>
      </w:r>
      <w:r>
        <w:rPr>
          <w:rFonts w:ascii="仿宋" w:eastAsia="仿宋" w:hAnsi="仿宋" w:cs="Times New Roman"/>
          <w:sz w:val="32"/>
          <w:szCs w:val="32"/>
        </w:rPr>
        <w:t>.</w:t>
      </w:r>
      <w:r w:rsidR="001403DD">
        <w:rPr>
          <w:rFonts w:ascii="仿宋" w:eastAsia="仿宋" w:hAnsi="仿宋" w:cs="Times New Roman" w:hint="eastAsia"/>
          <w:sz w:val="32"/>
          <w:szCs w:val="32"/>
        </w:rPr>
        <w:t>跨境外汇价差交易</w:t>
      </w:r>
      <w:r w:rsidR="001403DD">
        <w:rPr>
          <w:rStyle w:val="ad"/>
          <w:rFonts w:ascii="仿宋" w:eastAsia="仿宋" w:hAnsi="仿宋"/>
          <w:sz w:val="32"/>
          <w:szCs w:val="32"/>
        </w:rPr>
        <w:footnoteReference w:id="1"/>
      </w:r>
    </w:p>
    <w:tbl>
      <w:tblPr>
        <w:tblW w:w="8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3"/>
        <w:gridCol w:w="2904"/>
        <w:gridCol w:w="3018"/>
      </w:tblGrid>
      <w:tr w:rsidR="000B40BC" w:rsidRPr="00C42DDE" w14:paraId="7ACE69E0" w14:textId="77777777" w:rsidTr="00130AE3">
        <w:trPr>
          <w:jc w:val="center"/>
        </w:trPr>
        <w:tc>
          <w:tcPr>
            <w:tcW w:w="5807" w:type="dxa"/>
            <w:gridSpan w:val="2"/>
            <w:shd w:val="clear" w:color="auto" w:fill="auto"/>
            <w:vAlign w:val="center"/>
          </w:tcPr>
          <w:p w14:paraId="7ACE69DE" w14:textId="77777777" w:rsidR="000B40BC" w:rsidRPr="00C42DDE" w:rsidRDefault="001403DD">
            <w:pPr>
              <w:spacing w:after="120"/>
              <w:jc w:val="center"/>
              <w:rPr>
                <w:rFonts w:ascii="宋体" w:eastAsia="宋体" w:hAnsi="宋体" w:cs="仿宋_GB2312"/>
                <w:b/>
                <w:color w:val="000000"/>
              </w:rPr>
            </w:pPr>
            <w:r w:rsidRPr="00C42DDE">
              <w:rPr>
                <w:rFonts w:ascii="宋体" w:eastAsia="宋体" w:hAnsi="宋体" w:cs="仿宋_GB2312" w:hint="eastAsia"/>
                <w:b/>
                <w:color w:val="000000"/>
              </w:rPr>
              <w:t>伦敦</w:t>
            </w:r>
            <w:r w:rsidRPr="00C42DDE">
              <w:rPr>
                <w:rFonts w:ascii="宋体" w:eastAsia="宋体" w:hAnsi="宋体" w:cs="仿宋_GB2312"/>
                <w:b/>
                <w:color w:val="000000"/>
              </w:rPr>
              <w:t>分行分管行领导</w:t>
            </w:r>
          </w:p>
        </w:tc>
        <w:tc>
          <w:tcPr>
            <w:tcW w:w="3018" w:type="dxa"/>
            <w:vMerge w:val="restart"/>
            <w:shd w:val="clear" w:color="auto" w:fill="auto"/>
            <w:vAlign w:val="center"/>
          </w:tcPr>
          <w:p w14:paraId="7ACE69DF" w14:textId="77777777" w:rsidR="000B40BC" w:rsidRPr="00C42DDE" w:rsidRDefault="001403DD">
            <w:pPr>
              <w:spacing w:after="120"/>
              <w:jc w:val="center"/>
              <w:rPr>
                <w:rFonts w:ascii="宋体" w:eastAsia="宋体" w:hAnsi="宋体" w:cs="仿宋_GB2312"/>
                <w:b/>
                <w:color w:val="000000"/>
              </w:rPr>
            </w:pPr>
            <w:r w:rsidRPr="00C42DDE">
              <w:rPr>
                <w:rFonts w:ascii="宋体" w:eastAsia="宋体" w:hAnsi="宋体" w:cs="仿宋_GB2312" w:hint="eastAsia"/>
                <w:b/>
                <w:color w:val="000000"/>
              </w:rPr>
              <w:t>伦敦分行金融市场部负责人</w:t>
            </w:r>
          </w:p>
        </w:tc>
      </w:tr>
      <w:tr w:rsidR="000B40BC" w:rsidRPr="00C42DDE" w14:paraId="7ACE69E4" w14:textId="77777777" w:rsidTr="00130AE3">
        <w:trPr>
          <w:jc w:val="center"/>
        </w:trPr>
        <w:tc>
          <w:tcPr>
            <w:tcW w:w="2903" w:type="dxa"/>
            <w:shd w:val="clear" w:color="auto" w:fill="auto"/>
            <w:vAlign w:val="center"/>
          </w:tcPr>
          <w:p w14:paraId="7ACE69E1" w14:textId="77777777" w:rsidR="000B40BC" w:rsidRPr="00C42DDE" w:rsidRDefault="001403DD">
            <w:pPr>
              <w:spacing w:after="120"/>
              <w:jc w:val="center"/>
              <w:rPr>
                <w:rFonts w:ascii="宋体" w:eastAsia="宋体" w:hAnsi="宋体"/>
                <w:b/>
              </w:rPr>
            </w:pPr>
            <w:r w:rsidRPr="00C42DDE">
              <w:rPr>
                <w:rFonts w:ascii="宋体" w:eastAsia="宋体" w:hAnsi="宋体" w:cs="仿宋_GB2312" w:hint="eastAsia"/>
                <w:b/>
                <w:color w:val="000000"/>
              </w:rPr>
              <w:t>分行行长</w:t>
            </w:r>
            <w:r w:rsidRPr="00C42DDE">
              <w:rPr>
                <w:rFonts w:ascii="宋体" w:eastAsia="宋体" w:hAnsi="宋体" w:cs="仿宋_GB2312"/>
                <w:b/>
                <w:color w:val="000000"/>
              </w:rPr>
              <w:t>级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7ACE69E2" w14:textId="77777777" w:rsidR="000B40BC" w:rsidRPr="00C42DDE" w:rsidRDefault="001403DD">
            <w:pPr>
              <w:spacing w:after="120"/>
              <w:jc w:val="center"/>
              <w:rPr>
                <w:rFonts w:ascii="宋体" w:eastAsia="宋体" w:hAnsi="宋体" w:cs="仿宋_GB2312"/>
                <w:b/>
                <w:color w:val="000000"/>
              </w:rPr>
            </w:pPr>
            <w:r w:rsidRPr="00C42DDE">
              <w:rPr>
                <w:rFonts w:ascii="宋体" w:eastAsia="宋体" w:hAnsi="宋体" w:cs="仿宋_GB2312" w:hint="eastAsia"/>
                <w:b/>
                <w:color w:val="000000"/>
              </w:rPr>
              <w:t>分行副行长</w:t>
            </w:r>
            <w:r w:rsidRPr="00C42DDE">
              <w:rPr>
                <w:rFonts w:ascii="宋体" w:eastAsia="宋体" w:hAnsi="宋体" w:cs="仿宋_GB2312"/>
                <w:b/>
                <w:color w:val="000000"/>
              </w:rPr>
              <w:t>级</w:t>
            </w:r>
          </w:p>
        </w:tc>
        <w:tc>
          <w:tcPr>
            <w:tcW w:w="3018" w:type="dxa"/>
            <w:vMerge/>
            <w:shd w:val="clear" w:color="auto" w:fill="auto"/>
            <w:vAlign w:val="center"/>
          </w:tcPr>
          <w:p w14:paraId="7ACE69E3" w14:textId="77777777" w:rsidR="000B40BC" w:rsidRPr="00C42DDE" w:rsidRDefault="000B40BC">
            <w:pPr>
              <w:spacing w:after="120"/>
              <w:jc w:val="center"/>
              <w:rPr>
                <w:rFonts w:ascii="宋体" w:eastAsia="宋体" w:hAnsi="宋体"/>
                <w:b/>
              </w:rPr>
            </w:pPr>
          </w:p>
        </w:tc>
      </w:tr>
      <w:tr w:rsidR="000B40BC" w:rsidRPr="00C42DDE" w14:paraId="7ACE69E8" w14:textId="77777777" w:rsidTr="00130AE3">
        <w:trPr>
          <w:jc w:val="center"/>
        </w:trPr>
        <w:tc>
          <w:tcPr>
            <w:tcW w:w="2903" w:type="dxa"/>
            <w:shd w:val="clear" w:color="auto" w:fill="auto"/>
            <w:vAlign w:val="center"/>
          </w:tcPr>
          <w:p w14:paraId="7ACE69E5" w14:textId="77777777" w:rsidR="000B40BC" w:rsidRPr="00C42DDE" w:rsidRDefault="001403DD">
            <w:pPr>
              <w:spacing w:after="120"/>
              <w:jc w:val="center"/>
              <w:rPr>
                <w:rFonts w:ascii="宋体" w:eastAsia="宋体" w:hAnsi="宋体"/>
              </w:rPr>
            </w:pPr>
            <w:r w:rsidRPr="00C42DDE">
              <w:rPr>
                <w:rFonts w:ascii="宋体" w:eastAsia="宋体" w:hAnsi="宋体" w:hint="eastAsia"/>
              </w:rPr>
              <w:t>许金雷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7ACE69E6" w14:textId="77777777" w:rsidR="000B40BC" w:rsidRPr="00C42DDE" w:rsidRDefault="001403DD">
            <w:pPr>
              <w:spacing w:after="120"/>
              <w:jc w:val="center"/>
              <w:rPr>
                <w:rFonts w:ascii="宋体" w:eastAsia="宋体" w:hAnsi="宋体"/>
              </w:rPr>
            </w:pPr>
            <w:r w:rsidRPr="00C42DDE">
              <w:rPr>
                <w:rFonts w:ascii="宋体" w:eastAsia="宋体" w:hAnsi="宋体" w:cs="宋体" w:hint="eastAsia"/>
              </w:rPr>
              <w:t>赵钢</w:t>
            </w:r>
          </w:p>
        </w:tc>
        <w:tc>
          <w:tcPr>
            <w:tcW w:w="3018" w:type="dxa"/>
            <w:shd w:val="clear" w:color="auto" w:fill="auto"/>
            <w:vAlign w:val="center"/>
          </w:tcPr>
          <w:p w14:paraId="7ACE69E7" w14:textId="77777777" w:rsidR="000B40BC" w:rsidRPr="00C42DDE" w:rsidRDefault="001403DD">
            <w:pPr>
              <w:spacing w:after="120"/>
              <w:jc w:val="center"/>
              <w:rPr>
                <w:rFonts w:ascii="宋体" w:eastAsia="宋体" w:hAnsi="宋体"/>
              </w:rPr>
            </w:pPr>
            <w:r w:rsidRPr="00C42DDE">
              <w:rPr>
                <w:rFonts w:ascii="宋体" w:eastAsia="宋体" w:hAnsi="宋体" w:cs="宋体"/>
              </w:rPr>
              <w:t>Richard Thaiss</w:t>
            </w:r>
          </w:p>
        </w:tc>
      </w:tr>
      <w:tr w:rsidR="000B40BC" w:rsidRPr="00C42DDE" w14:paraId="7ACE69F2" w14:textId="77777777" w:rsidTr="00130AE3">
        <w:trPr>
          <w:jc w:val="center"/>
        </w:trPr>
        <w:tc>
          <w:tcPr>
            <w:tcW w:w="2903" w:type="dxa"/>
            <w:shd w:val="clear" w:color="auto" w:fill="auto"/>
            <w:vAlign w:val="center"/>
          </w:tcPr>
          <w:p w14:paraId="7ACE69E9" w14:textId="477008A9" w:rsidR="000B40BC" w:rsidRPr="00C42DDE" w:rsidRDefault="001403DD">
            <w:pPr>
              <w:pStyle w:val="1"/>
              <w:numPr>
                <w:ilvl w:val="0"/>
                <w:numId w:val="6"/>
              </w:numPr>
              <w:ind w:left="153" w:hanging="227"/>
              <w:rPr>
                <w:rFonts w:ascii="宋体" w:eastAsia="宋体" w:hAnsi="宋体"/>
                <w:lang w:val="en-GB"/>
              </w:rPr>
            </w:pPr>
            <w:r w:rsidRPr="00C42DDE">
              <w:rPr>
                <w:rFonts w:ascii="宋体" w:eastAsia="宋体" w:hAnsi="宋体" w:hint="eastAsia"/>
                <w:lang w:val="en-GB"/>
              </w:rPr>
              <w:t>单边</w:t>
            </w:r>
            <w:r w:rsidR="001C1ACF">
              <w:rPr>
                <w:rFonts w:ascii="宋体" w:eastAsia="宋体" w:hAnsi="宋体" w:hint="eastAsia"/>
                <w:lang w:val="en-GB"/>
              </w:rPr>
              <w:t>外汇敞口</w:t>
            </w:r>
            <w:r w:rsidRPr="00C42DDE">
              <w:rPr>
                <w:rFonts w:ascii="宋体" w:eastAsia="宋体" w:hAnsi="宋体" w:hint="eastAsia"/>
                <w:lang w:val="en-GB"/>
              </w:rPr>
              <w:t>≤</w:t>
            </w:r>
            <w:r w:rsidR="00DC153E">
              <w:rPr>
                <w:rFonts w:ascii="宋体" w:eastAsia="宋体" w:hAnsi="宋体"/>
                <w:lang w:val="en-GB"/>
              </w:rPr>
              <w:t>2.85</w:t>
            </w:r>
            <w:r w:rsidR="001C1ACF">
              <w:rPr>
                <w:rFonts w:ascii="宋体" w:eastAsia="宋体" w:hAnsi="宋体" w:hint="eastAsia"/>
                <w:lang w:val="en-GB"/>
              </w:rPr>
              <w:t>亿</w:t>
            </w:r>
            <w:r w:rsidR="001C1ACF">
              <w:rPr>
                <w:rFonts w:ascii="宋体" w:eastAsia="宋体" w:hAnsi="宋体"/>
                <w:lang w:val="en-GB"/>
              </w:rPr>
              <w:t>美元</w:t>
            </w:r>
          </w:p>
          <w:p w14:paraId="7ACE69EA" w14:textId="790ABA91" w:rsidR="000B40BC" w:rsidRPr="00C42DDE" w:rsidRDefault="001C1ACF">
            <w:pPr>
              <w:pStyle w:val="1"/>
              <w:numPr>
                <w:ilvl w:val="0"/>
                <w:numId w:val="6"/>
              </w:numPr>
              <w:ind w:left="153" w:hanging="227"/>
              <w:rPr>
                <w:rFonts w:ascii="宋体" w:eastAsia="宋体" w:hAnsi="宋体"/>
                <w:lang w:val="en-GB"/>
              </w:rPr>
            </w:pPr>
            <w:r>
              <w:rPr>
                <w:rFonts w:ascii="宋体" w:eastAsia="宋体" w:hAnsi="宋体" w:hint="eastAsia"/>
                <w:lang w:val="en-GB"/>
              </w:rPr>
              <w:t>年度</w:t>
            </w:r>
            <w:r w:rsidR="001403DD" w:rsidRPr="00C42DDE">
              <w:rPr>
                <w:rFonts w:ascii="宋体" w:eastAsia="宋体" w:hAnsi="宋体" w:hint="eastAsia"/>
                <w:lang w:val="en-GB"/>
              </w:rPr>
              <w:t>损失</w:t>
            </w:r>
            <w:r>
              <w:rPr>
                <w:rFonts w:ascii="宋体" w:eastAsia="宋体" w:hAnsi="宋体" w:hint="eastAsia"/>
                <w:lang w:val="en-GB"/>
              </w:rPr>
              <w:t>预警</w:t>
            </w:r>
            <w:r w:rsidR="001403DD" w:rsidRPr="00C42DDE">
              <w:rPr>
                <w:rFonts w:ascii="宋体" w:eastAsia="宋体" w:hAnsi="宋体" w:hint="eastAsia"/>
                <w:lang w:val="en-GB"/>
              </w:rPr>
              <w:t>≤</w:t>
            </w:r>
            <w:r w:rsidR="00DC153E">
              <w:rPr>
                <w:rFonts w:ascii="宋体" w:eastAsia="宋体" w:hAnsi="宋体"/>
                <w:lang w:val="en-GB"/>
              </w:rPr>
              <w:t>2850</w:t>
            </w:r>
            <w:r>
              <w:rPr>
                <w:rFonts w:ascii="宋体" w:eastAsia="宋体" w:hAnsi="宋体" w:hint="eastAsia"/>
                <w:lang w:val="en-GB"/>
              </w:rPr>
              <w:t>万元</w:t>
            </w:r>
          </w:p>
          <w:p w14:paraId="7ACE69EB" w14:textId="029EFDD7" w:rsidR="000B40BC" w:rsidRPr="00C42DDE" w:rsidRDefault="001403DD">
            <w:pPr>
              <w:pStyle w:val="1"/>
              <w:numPr>
                <w:ilvl w:val="0"/>
                <w:numId w:val="6"/>
              </w:numPr>
              <w:ind w:left="153" w:hanging="227"/>
              <w:rPr>
                <w:rFonts w:ascii="宋体" w:eastAsia="宋体" w:hAnsi="宋体"/>
                <w:lang w:val="en-GB"/>
              </w:rPr>
            </w:pPr>
            <w:r w:rsidRPr="00C42DDE">
              <w:rPr>
                <w:rFonts w:ascii="宋体" w:eastAsia="宋体" w:hAnsi="宋体" w:hint="eastAsia"/>
                <w:lang w:val="en-GB"/>
              </w:rPr>
              <w:t>期限≤3年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3D27F6CC" w14:textId="0DE7821D" w:rsidR="001C1ACF" w:rsidRPr="00C42DDE" w:rsidRDefault="001C1ACF" w:rsidP="001C1ACF">
            <w:pPr>
              <w:pStyle w:val="1"/>
              <w:numPr>
                <w:ilvl w:val="0"/>
                <w:numId w:val="6"/>
              </w:numPr>
              <w:ind w:left="153" w:hanging="227"/>
              <w:rPr>
                <w:rFonts w:ascii="宋体" w:eastAsia="宋体" w:hAnsi="宋体"/>
                <w:lang w:val="en-GB"/>
              </w:rPr>
            </w:pPr>
            <w:r w:rsidRPr="00C42DDE">
              <w:rPr>
                <w:rFonts w:ascii="宋体" w:eastAsia="宋体" w:hAnsi="宋体" w:hint="eastAsia"/>
                <w:lang w:val="en-GB"/>
              </w:rPr>
              <w:t>单边</w:t>
            </w:r>
            <w:r>
              <w:rPr>
                <w:rFonts w:ascii="宋体" w:eastAsia="宋体" w:hAnsi="宋体" w:hint="eastAsia"/>
                <w:lang w:val="en-GB"/>
              </w:rPr>
              <w:t>外汇敞口</w:t>
            </w:r>
            <w:r w:rsidRPr="00C42DDE">
              <w:rPr>
                <w:rFonts w:ascii="宋体" w:eastAsia="宋体" w:hAnsi="宋体" w:hint="eastAsia"/>
                <w:lang w:val="en-GB"/>
              </w:rPr>
              <w:t>≤</w:t>
            </w:r>
            <w:r w:rsidR="00DC153E">
              <w:rPr>
                <w:rFonts w:ascii="宋体" w:eastAsia="宋体" w:hAnsi="宋体"/>
                <w:lang w:val="en-GB"/>
              </w:rPr>
              <w:t>2.</w:t>
            </w:r>
            <w:r w:rsidR="00FB57B6">
              <w:rPr>
                <w:rFonts w:ascii="宋体" w:eastAsia="宋体" w:hAnsi="宋体"/>
                <w:lang w:val="en-GB"/>
              </w:rPr>
              <w:t>8</w:t>
            </w:r>
            <w:r w:rsidR="00DC153E">
              <w:rPr>
                <w:rFonts w:ascii="宋体" w:eastAsia="宋体" w:hAnsi="宋体"/>
                <w:lang w:val="en-GB"/>
              </w:rPr>
              <w:t>5</w:t>
            </w:r>
            <w:r>
              <w:rPr>
                <w:rFonts w:ascii="宋体" w:eastAsia="宋体" w:hAnsi="宋体" w:hint="eastAsia"/>
                <w:lang w:val="en-GB"/>
              </w:rPr>
              <w:t>亿</w:t>
            </w:r>
            <w:r>
              <w:rPr>
                <w:rFonts w:ascii="宋体" w:eastAsia="宋体" w:hAnsi="宋体"/>
                <w:lang w:val="en-GB"/>
              </w:rPr>
              <w:t>美元</w:t>
            </w:r>
          </w:p>
          <w:p w14:paraId="4133BBDD" w14:textId="41F1D369" w:rsidR="001C1ACF" w:rsidRPr="00C42DDE" w:rsidRDefault="001C1ACF" w:rsidP="001C1ACF">
            <w:pPr>
              <w:pStyle w:val="1"/>
              <w:numPr>
                <w:ilvl w:val="0"/>
                <w:numId w:val="6"/>
              </w:numPr>
              <w:ind w:left="153" w:hanging="227"/>
              <w:rPr>
                <w:rFonts w:ascii="宋体" w:eastAsia="宋体" w:hAnsi="宋体"/>
                <w:lang w:val="en-GB"/>
              </w:rPr>
            </w:pPr>
            <w:r>
              <w:rPr>
                <w:rFonts w:ascii="宋体" w:eastAsia="宋体" w:hAnsi="宋体" w:hint="eastAsia"/>
                <w:lang w:val="en-GB"/>
              </w:rPr>
              <w:t>年度</w:t>
            </w:r>
            <w:r w:rsidRPr="00C42DDE">
              <w:rPr>
                <w:rFonts w:ascii="宋体" w:eastAsia="宋体" w:hAnsi="宋体" w:hint="eastAsia"/>
                <w:lang w:val="en-GB"/>
              </w:rPr>
              <w:t>损失</w:t>
            </w:r>
            <w:r>
              <w:rPr>
                <w:rFonts w:ascii="宋体" w:eastAsia="宋体" w:hAnsi="宋体" w:hint="eastAsia"/>
                <w:lang w:val="en-GB"/>
              </w:rPr>
              <w:t>预警</w:t>
            </w:r>
            <w:r w:rsidRPr="00C42DDE">
              <w:rPr>
                <w:rFonts w:ascii="宋体" w:eastAsia="宋体" w:hAnsi="宋体" w:hint="eastAsia"/>
                <w:lang w:val="en-GB"/>
              </w:rPr>
              <w:t>≤</w:t>
            </w:r>
            <w:r w:rsidR="00DC153E">
              <w:rPr>
                <w:rFonts w:ascii="宋体" w:eastAsia="宋体" w:hAnsi="宋体"/>
                <w:lang w:val="en-GB"/>
              </w:rPr>
              <w:t>2850</w:t>
            </w:r>
            <w:r>
              <w:rPr>
                <w:rFonts w:ascii="宋体" w:eastAsia="宋体" w:hAnsi="宋体" w:hint="eastAsia"/>
                <w:lang w:val="en-GB"/>
              </w:rPr>
              <w:t>万元</w:t>
            </w:r>
          </w:p>
          <w:p w14:paraId="7ACE69EE" w14:textId="78BAD942" w:rsidR="000B40BC" w:rsidRPr="00C42DDE" w:rsidRDefault="001C1ACF" w:rsidP="001C1ACF">
            <w:pPr>
              <w:pStyle w:val="1"/>
              <w:numPr>
                <w:ilvl w:val="0"/>
                <w:numId w:val="6"/>
              </w:numPr>
              <w:spacing w:after="120"/>
              <w:ind w:left="153" w:hanging="227"/>
              <w:rPr>
                <w:rFonts w:ascii="宋体" w:eastAsia="宋体" w:hAnsi="宋体"/>
                <w:lang w:val="en-GB"/>
              </w:rPr>
            </w:pPr>
            <w:r w:rsidRPr="00C42DDE">
              <w:rPr>
                <w:rFonts w:ascii="宋体" w:eastAsia="宋体" w:hAnsi="宋体" w:hint="eastAsia"/>
                <w:lang w:val="en-GB"/>
              </w:rPr>
              <w:t>期限≤3年</w:t>
            </w:r>
          </w:p>
        </w:tc>
        <w:tc>
          <w:tcPr>
            <w:tcW w:w="3018" w:type="dxa"/>
            <w:shd w:val="clear" w:color="auto" w:fill="auto"/>
            <w:vAlign w:val="center"/>
          </w:tcPr>
          <w:p w14:paraId="7D341F4C" w14:textId="369689FA" w:rsidR="001C1ACF" w:rsidRPr="00C42DDE" w:rsidRDefault="001C1ACF" w:rsidP="001C1ACF">
            <w:pPr>
              <w:pStyle w:val="1"/>
              <w:numPr>
                <w:ilvl w:val="0"/>
                <w:numId w:val="6"/>
              </w:numPr>
              <w:ind w:left="153" w:hanging="227"/>
              <w:rPr>
                <w:rFonts w:ascii="宋体" w:eastAsia="宋体" w:hAnsi="宋体"/>
                <w:lang w:val="en-GB"/>
              </w:rPr>
            </w:pPr>
            <w:r w:rsidRPr="00C42DDE">
              <w:rPr>
                <w:rFonts w:ascii="宋体" w:eastAsia="宋体" w:hAnsi="宋体" w:hint="eastAsia"/>
                <w:lang w:val="en-GB"/>
              </w:rPr>
              <w:t>单边</w:t>
            </w:r>
            <w:r>
              <w:rPr>
                <w:rFonts w:ascii="宋体" w:eastAsia="宋体" w:hAnsi="宋体" w:hint="eastAsia"/>
                <w:lang w:val="en-GB"/>
              </w:rPr>
              <w:t>外汇敞口</w:t>
            </w:r>
            <w:r w:rsidRPr="00C42DDE">
              <w:rPr>
                <w:rFonts w:ascii="宋体" w:eastAsia="宋体" w:hAnsi="宋体" w:hint="eastAsia"/>
                <w:lang w:val="en-GB"/>
              </w:rPr>
              <w:t>≤</w:t>
            </w:r>
            <w:r>
              <w:rPr>
                <w:rFonts w:ascii="宋体" w:eastAsia="宋体" w:hAnsi="宋体"/>
                <w:lang w:val="en-GB"/>
              </w:rPr>
              <w:t>2.4</w:t>
            </w:r>
            <w:r>
              <w:rPr>
                <w:rFonts w:ascii="宋体" w:eastAsia="宋体" w:hAnsi="宋体" w:hint="eastAsia"/>
                <w:lang w:val="en-GB"/>
              </w:rPr>
              <w:t>亿</w:t>
            </w:r>
            <w:r>
              <w:rPr>
                <w:rFonts w:ascii="宋体" w:eastAsia="宋体" w:hAnsi="宋体"/>
                <w:lang w:val="en-GB"/>
              </w:rPr>
              <w:t>美元</w:t>
            </w:r>
          </w:p>
          <w:p w14:paraId="53A1A995" w14:textId="6A55AC0E" w:rsidR="001C1ACF" w:rsidRPr="00C42DDE" w:rsidRDefault="001C1ACF" w:rsidP="001C1ACF">
            <w:pPr>
              <w:pStyle w:val="1"/>
              <w:numPr>
                <w:ilvl w:val="0"/>
                <w:numId w:val="6"/>
              </w:numPr>
              <w:ind w:left="153" w:hanging="227"/>
              <w:rPr>
                <w:rFonts w:ascii="宋体" w:eastAsia="宋体" w:hAnsi="宋体"/>
                <w:lang w:val="en-GB"/>
              </w:rPr>
            </w:pPr>
            <w:r>
              <w:rPr>
                <w:rFonts w:ascii="宋体" w:eastAsia="宋体" w:hAnsi="宋体" w:hint="eastAsia"/>
                <w:lang w:val="en-GB"/>
              </w:rPr>
              <w:t>年度</w:t>
            </w:r>
            <w:r w:rsidRPr="00C42DDE">
              <w:rPr>
                <w:rFonts w:ascii="宋体" w:eastAsia="宋体" w:hAnsi="宋体" w:hint="eastAsia"/>
                <w:lang w:val="en-GB"/>
              </w:rPr>
              <w:t>损失</w:t>
            </w:r>
            <w:r>
              <w:rPr>
                <w:rFonts w:ascii="宋体" w:eastAsia="宋体" w:hAnsi="宋体" w:hint="eastAsia"/>
                <w:lang w:val="en-GB"/>
              </w:rPr>
              <w:t>预警</w:t>
            </w:r>
            <w:r w:rsidRPr="00C42DDE">
              <w:rPr>
                <w:rFonts w:ascii="宋体" w:eastAsia="宋体" w:hAnsi="宋体" w:hint="eastAsia"/>
                <w:lang w:val="en-GB"/>
              </w:rPr>
              <w:t>≤</w:t>
            </w:r>
            <w:r>
              <w:rPr>
                <w:rFonts w:ascii="宋体" w:eastAsia="宋体" w:hAnsi="宋体"/>
                <w:lang w:val="en-GB"/>
              </w:rPr>
              <w:t>2400</w:t>
            </w:r>
            <w:r>
              <w:rPr>
                <w:rFonts w:ascii="宋体" w:eastAsia="宋体" w:hAnsi="宋体" w:hint="eastAsia"/>
                <w:lang w:val="en-GB"/>
              </w:rPr>
              <w:t>万元</w:t>
            </w:r>
          </w:p>
          <w:p w14:paraId="7ACE69F1" w14:textId="7BF3A672" w:rsidR="000B40BC" w:rsidRPr="00C42DDE" w:rsidRDefault="001C1ACF" w:rsidP="001C1ACF">
            <w:pPr>
              <w:pStyle w:val="1"/>
              <w:numPr>
                <w:ilvl w:val="0"/>
                <w:numId w:val="6"/>
              </w:numPr>
              <w:spacing w:after="120"/>
              <w:ind w:left="153" w:hanging="227"/>
              <w:rPr>
                <w:rFonts w:ascii="宋体" w:eastAsia="宋体" w:hAnsi="宋体"/>
                <w:lang w:val="en-GB"/>
              </w:rPr>
            </w:pPr>
            <w:r w:rsidRPr="00C42DDE">
              <w:rPr>
                <w:rFonts w:ascii="宋体" w:eastAsia="宋体" w:hAnsi="宋体" w:hint="eastAsia"/>
                <w:lang w:val="en-GB"/>
              </w:rPr>
              <w:t>期限≤3年</w:t>
            </w:r>
          </w:p>
        </w:tc>
      </w:tr>
    </w:tbl>
    <w:p w14:paraId="7ACE69F3" w14:textId="613F0341" w:rsidR="000B40BC" w:rsidRDefault="001403DD">
      <w:pPr>
        <w:adjustRightInd w:val="0"/>
        <w:snapToGrid w:val="0"/>
        <w:rPr>
          <w:rFonts w:ascii="宋体" w:hAnsi="宋体" w:cs="Calibri"/>
          <w:sz w:val="22"/>
          <w:szCs w:val="22"/>
        </w:rPr>
      </w:pPr>
      <w:r>
        <w:rPr>
          <w:rFonts w:ascii="宋体" w:hAnsi="宋体" w:cs="Calibri" w:hint="eastAsia"/>
          <w:sz w:val="22"/>
          <w:szCs w:val="22"/>
        </w:rPr>
        <w:t>注：</w:t>
      </w:r>
      <w:r>
        <w:rPr>
          <w:rFonts w:ascii="宋体" w:eastAsia="宋体" w:hAnsi="宋体" w:cs="Calibri" w:hint="eastAsia"/>
          <w:sz w:val="22"/>
          <w:szCs w:val="22"/>
        </w:rPr>
        <w:t>限</w:t>
      </w:r>
      <w:r>
        <w:rPr>
          <w:rFonts w:ascii="宋体" w:eastAsia="宋体" w:hAnsi="宋体" w:cs="Calibri"/>
          <w:sz w:val="22"/>
          <w:szCs w:val="22"/>
        </w:rPr>
        <w:t>额</w:t>
      </w:r>
      <w:r>
        <w:rPr>
          <w:rFonts w:ascii="宋体" w:hAnsi="宋体" w:cs="Calibri" w:hint="eastAsia"/>
          <w:sz w:val="22"/>
          <w:szCs w:val="22"/>
        </w:rPr>
        <w:t>与总行金融市场部</w:t>
      </w:r>
      <w:r>
        <w:rPr>
          <w:rFonts w:ascii="宋体" w:eastAsia="宋体" w:hAnsi="宋体" w:cs="Calibri"/>
          <w:sz w:val="22"/>
          <w:szCs w:val="22"/>
        </w:rPr>
        <w:t>合并计算</w:t>
      </w:r>
      <w:r>
        <w:rPr>
          <w:rFonts w:ascii="宋体" w:hAnsi="宋体" w:cs="Calibri" w:hint="eastAsia"/>
          <w:sz w:val="22"/>
          <w:szCs w:val="22"/>
        </w:rPr>
        <w:t>。</w:t>
      </w:r>
    </w:p>
    <w:p w14:paraId="7ACE69F4" w14:textId="1AE3D326" w:rsidR="00C42DDE" w:rsidRPr="00E716E0" w:rsidRDefault="00E716E0" w:rsidP="00E716E0">
      <w:pPr>
        <w:widowControl w:val="0"/>
        <w:adjustRightInd w:val="0"/>
        <w:snapToGrid w:val="0"/>
        <w:spacing w:line="560" w:lineRule="atLeast"/>
        <w:ind w:firstLineChars="200" w:firstLine="664"/>
        <w:jc w:val="both"/>
        <w:rPr>
          <w:rFonts w:ascii="楷体" w:eastAsia="楷体" w:hAnsi="楷体" w:cs="Times New Roman"/>
          <w:spacing w:val="12"/>
          <w:kern w:val="2"/>
          <w:sz w:val="32"/>
          <w:szCs w:val="32"/>
        </w:rPr>
      </w:pPr>
      <w:r>
        <w:rPr>
          <w:rFonts w:ascii="楷体" w:eastAsia="楷体" w:hAnsi="楷体" w:cs="Times New Roman" w:hint="eastAsia"/>
          <w:spacing w:val="12"/>
          <w:kern w:val="2"/>
          <w:sz w:val="32"/>
          <w:szCs w:val="32"/>
        </w:rPr>
        <w:t>（二）</w:t>
      </w:r>
      <w:r w:rsidR="00C42DDE" w:rsidRPr="00E716E0">
        <w:rPr>
          <w:rFonts w:ascii="楷体" w:eastAsia="楷体" w:hAnsi="楷体" w:cs="Times New Roman" w:hint="eastAsia"/>
          <w:spacing w:val="12"/>
          <w:kern w:val="2"/>
          <w:sz w:val="32"/>
          <w:szCs w:val="32"/>
        </w:rPr>
        <w:t>人民币</w:t>
      </w:r>
      <w:r w:rsidR="00C42DDE" w:rsidRPr="00E716E0">
        <w:rPr>
          <w:rFonts w:ascii="楷体" w:eastAsia="楷体" w:hAnsi="楷体" w:cs="Times New Roman"/>
          <w:spacing w:val="12"/>
          <w:kern w:val="2"/>
          <w:sz w:val="32"/>
          <w:szCs w:val="32"/>
        </w:rPr>
        <w:t>债券投资业务</w:t>
      </w:r>
    </w:p>
    <w:tbl>
      <w:tblPr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4"/>
      </w:tblGrid>
      <w:tr w:rsidR="00F050C5" w:rsidRPr="00C42DDE" w14:paraId="7ACE69FE" w14:textId="77777777" w:rsidTr="00F050C5">
        <w:trPr>
          <w:trHeight w:val="866"/>
          <w:jc w:val="center"/>
        </w:trPr>
        <w:tc>
          <w:tcPr>
            <w:tcW w:w="8784" w:type="dxa"/>
            <w:vAlign w:val="center"/>
          </w:tcPr>
          <w:p w14:paraId="2B498F52" w14:textId="1A448A28" w:rsidR="00F050C5" w:rsidRDefault="00F050C5" w:rsidP="00C42DDE">
            <w:pPr>
              <w:pStyle w:val="1"/>
              <w:numPr>
                <w:ilvl w:val="0"/>
                <w:numId w:val="6"/>
              </w:numPr>
              <w:spacing w:after="120"/>
              <w:ind w:left="153" w:hanging="227"/>
              <w:rPr>
                <w:rFonts w:ascii="宋体" w:eastAsia="宋体" w:hAnsi="宋体"/>
                <w:lang w:val="en-GB"/>
              </w:rPr>
            </w:pPr>
            <w:r>
              <w:rPr>
                <w:rFonts w:ascii="宋体" w:eastAsia="宋体" w:hAnsi="宋体" w:hint="eastAsia"/>
                <w:lang w:val="en-GB"/>
              </w:rPr>
              <w:t>FVOCI</w:t>
            </w:r>
            <w:r>
              <w:rPr>
                <w:rFonts w:ascii="宋体" w:eastAsia="宋体" w:hAnsi="宋体"/>
                <w:lang w:val="en-GB"/>
              </w:rPr>
              <w:t>类债券久期≤4.2</w:t>
            </w:r>
            <w:r>
              <w:rPr>
                <w:rFonts w:ascii="宋体" w:eastAsia="宋体" w:hAnsi="宋体" w:hint="eastAsia"/>
                <w:lang w:val="en-GB"/>
              </w:rPr>
              <w:t>年</w:t>
            </w:r>
          </w:p>
          <w:p w14:paraId="5274F1D4" w14:textId="17D70162" w:rsidR="00F050C5" w:rsidRDefault="00F050C5" w:rsidP="00C42DDE">
            <w:pPr>
              <w:pStyle w:val="1"/>
              <w:numPr>
                <w:ilvl w:val="0"/>
                <w:numId w:val="6"/>
              </w:numPr>
              <w:spacing w:after="120"/>
              <w:ind w:left="153" w:hanging="227"/>
              <w:rPr>
                <w:rFonts w:ascii="宋体" w:eastAsia="宋体" w:hAnsi="宋体"/>
                <w:lang w:val="en-GB"/>
              </w:rPr>
            </w:pPr>
            <w:r>
              <w:rPr>
                <w:rFonts w:ascii="宋体" w:eastAsia="宋体" w:hAnsi="宋体" w:hint="eastAsia"/>
                <w:lang w:val="en-GB"/>
              </w:rPr>
              <w:t>综合</w:t>
            </w:r>
            <w:r>
              <w:rPr>
                <w:rFonts w:ascii="宋体" w:eastAsia="宋体" w:hAnsi="宋体"/>
                <w:lang w:val="en-GB"/>
              </w:rPr>
              <w:t>久期≤4</w:t>
            </w:r>
            <w:r>
              <w:rPr>
                <w:rFonts w:ascii="宋体" w:eastAsia="宋体" w:hAnsi="宋体" w:hint="eastAsia"/>
                <w:lang w:val="en-GB"/>
              </w:rPr>
              <w:t>年</w:t>
            </w:r>
          </w:p>
          <w:p w14:paraId="2E5CD429" w14:textId="5B6E7417" w:rsidR="00F050C5" w:rsidRDefault="00F050C5" w:rsidP="00C42DDE">
            <w:pPr>
              <w:pStyle w:val="1"/>
              <w:numPr>
                <w:ilvl w:val="0"/>
                <w:numId w:val="6"/>
              </w:numPr>
              <w:spacing w:after="120"/>
              <w:ind w:left="153" w:hanging="227"/>
              <w:rPr>
                <w:rFonts w:ascii="宋体" w:eastAsia="宋体" w:hAnsi="宋体"/>
                <w:lang w:val="en-GB"/>
              </w:rPr>
            </w:pPr>
            <w:r>
              <w:rPr>
                <w:rFonts w:ascii="宋体" w:eastAsia="宋体" w:hAnsi="宋体" w:hint="eastAsia"/>
                <w:lang w:val="en-GB"/>
              </w:rPr>
              <w:t>人民币信用债</w:t>
            </w:r>
            <w:r>
              <w:rPr>
                <w:rFonts w:ascii="宋体" w:eastAsia="宋体" w:hAnsi="宋体"/>
                <w:lang w:val="en-GB"/>
              </w:rPr>
              <w:t>占比≤30%</w:t>
            </w:r>
          </w:p>
          <w:p w14:paraId="193B2271" w14:textId="37687D9C" w:rsidR="00F050C5" w:rsidRDefault="00F050C5" w:rsidP="00C42DDE">
            <w:pPr>
              <w:pStyle w:val="1"/>
              <w:numPr>
                <w:ilvl w:val="0"/>
                <w:numId w:val="6"/>
              </w:numPr>
              <w:spacing w:after="120"/>
              <w:ind w:left="153" w:hanging="227"/>
              <w:rPr>
                <w:rFonts w:ascii="宋体" w:eastAsia="宋体" w:hAnsi="宋体"/>
                <w:lang w:val="en-GB"/>
              </w:rPr>
            </w:pPr>
            <w:r>
              <w:rPr>
                <w:rFonts w:ascii="宋体" w:eastAsia="宋体" w:hAnsi="宋体" w:hint="eastAsia"/>
                <w:lang w:val="en-GB"/>
              </w:rPr>
              <w:t>人民币信用债</w:t>
            </w:r>
            <w:r>
              <w:rPr>
                <w:rFonts w:ascii="宋体" w:eastAsia="宋体" w:hAnsi="宋体"/>
                <w:lang w:val="en-GB"/>
              </w:rPr>
              <w:t>AA级及以下（</w:t>
            </w:r>
            <w:r>
              <w:rPr>
                <w:rFonts w:ascii="宋体" w:eastAsia="宋体" w:hAnsi="宋体" w:hint="eastAsia"/>
                <w:lang w:val="en-GB"/>
              </w:rPr>
              <w:t>含</w:t>
            </w:r>
            <w:r>
              <w:rPr>
                <w:rFonts w:ascii="宋体" w:eastAsia="宋体" w:hAnsi="宋体"/>
                <w:lang w:val="en-GB"/>
              </w:rPr>
              <w:t>无评级）</w:t>
            </w:r>
            <w:r>
              <w:rPr>
                <w:rFonts w:ascii="宋体" w:eastAsia="宋体" w:hAnsi="宋体" w:hint="eastAsia"/>
                <w:lang w:val="en-GB"/>
              </w:rPr>
              <w:t>占比</w:t>
            </w:r>
            <w:r>
              <w:rPr>
                <w:rFonts w:ascii="宋体" w:eastAsia="宋体" w:hAnsi="宋体"/>
                <w:lang w:val="en-GB"/>
              </w:rPr>
              <w:t>≤5%</w:t>
            </w:r>
          </w:p>
          <w:p w14:paraId="40751ECA" w14:textId="70A41177" w:rsidR="00F050C5" w:rsidRPr="00F050C5" w:rsidRDefault="00F050C5" w:rsidP="00F050C5">
            <w:pPr>
              <w:pStyle w:val="1"/>
              <w:spacing w:after="120"/>
              <w:ind w:left="-74"/>
              <w:rPr>
                <w:rFonts w:ascii="宋体" w:eastAsia="宋体" w:hAnsi="宋体"/>
                <w:i/>
                <w:lang w:val="en-GB"/>
              </w:rPr>
            </w:pPr>
            <w:r w:rsidRPr="00F050C5">
              <w:rPr>
                <w:rFonts w:ascii="宋体" w:eastAsia="宋体" w:hAnsi="宋体" w:hint="eastAsia"/>
                <w:i/>
                <w:lang w:val="en-GB"/>
              </w:rPr>
              <w:lastRenderedPageBreak/>
              <w:t>上述</w:t>
            </w:r>
            <w:r w:rsidRPr="00F050C5">
              <w:rPr>
                <w:rFonts w:ascii="宋体" w:eastAsia="宋体" w:hAnsi="宋体"/>
                <w:i/>
                <w:lang w:val="en-GB"/>
              </w:rPr>
              <w:t>限额和总行金融市场部合并计算</w:t>
            </w:r>
          </w:p>
          <w:p w14:paraId="7ACE69FA" w14:textId="2CA045C8" w:rsidR="00F050C5" w:rsidRPr="00C42DDE" w:rsidRDefault="00F050C5" w:rsidP="00C42DDE">
            <w:pPr>
              <w:pStyle w:val="1"/>
              <w:numPr>
                <w:ilvl w:val="0"/>
                <w:numId w:val="6"/>
              </w:numPr>
              <w:spacing w:after="120"/>
              <w:ind w:left="153" w:hanging="227"/>
              <w:rPr>
                <w:rFonts w:ascii="宋体" w:eastAsia="宋体" w:hAnsi="宋体"/>
                <w:lang w:val="en-GB"/>
              </w:rPr>
            </w:pPr>
            <w:r w:rsidRPr="00C42DDE">
              <w:rPr>
                <w:rFonts w:ascii="宋体" w:eastAsia="宋体" w:hAnsi="宋体" w:hint="eastAsia"/>
                <w:lang w:val="en-GB"/>
              </w:rPr>
              <w:t>规模≤</w:t>
            </w:r>
            <w:r>
              <w:rPr>
                <w:rFonts w:ascii="宋体" w:eastAsia="宋体" w:hAnsi="宋体"/>
                <w:lang w:val="en-GB"/>
              </w:rPr>
              <w:t>1.5</w:t>
            </w:r>
            <w:r w:rsidRPr="00C42DDE">
              <w:rPr>
                <w:rFonts w:ascii="宋体" w:eastAsia="宋体" w:hAnsi="宋体" w:hint="eastAsia"/>
                <w:lang w:val="en-GB"/>
              </w:rPr>
              <w:t>亿美元（与外币信用债券投资规模合并计算）</w:t>
            </w:r>
          </w:p>
          <w:p w14:paraId="7ACE69FB" w14:textId="1BA1D5DC" w:rsidR="00F050C5" w:rsidRDefault="00F050C5" w:rsidP="00C42DDE">
            <w:pPr>
              <w:pStyle w:val="1"/>
              <w:numPr>
                <w:ilvl w:val="0"/>
                <w:numId w:val="6"/>
              </w:numPr>
              <w:spacing w:after="120"/>
              <w:ind w:left="153" w:hanging="227"/>
              <w:rPr>
                <w:rFonts w:ascii="宋体" w:eastAsia="宋体" w:hAnsi="宋体"/>
                <w:lang w:val="en-GB"/>
              </w:rPr>
            </w:pPr>
            <w:r w:rsidRPr="00C42DDE">
              <w:rPr>
                <w:rFonts w:ascii="宋体" w:eastAsia="宋体" w:hAnsi="宋体" w:hint="eastAsia"/>
                <w:lang w:val="en-GB"/>
              </w:rPr>
              <w:t>单个信用债发行人投资规模超过1000万美元</w:t>
            </w:r>
            <w:r>
              <w:rPr>
                <w:rFonts w:ascii="宋体" w:eastAsia="宋体" w:hAnsi="宋体" w:hint="eastAsia"/>
                <w:lang w:val="en-GB"/>
              </w:rPr>
              <w:t>，</w:t>
            </w:r>
            <w:r w:rsidRPr="00C42DDE">
              <w:rPr>
                <w:rFonts w:ascii="宋体" w:eastAsia="宋体" w:hAnsi="宋体" w:hint="eastAsia"/>
                <w:lang w:val="en-GB"/>
              </w:rPr>
              <w:t>需提交总行金融市场部审批</w:t>
            </w:r>
          </w:p>
          <w:p w14:paraId="5D96A67D" w14:textId="3B0D81B6" w:rsidR="00F050C5" w:rsidRDefault="00F050C5" w:rsidP="00C42DDE">
            <w:pPr>
              <w:pStyle w:val="1"/>
              <w:numPr>
                <w:ilvl w:val="0"/>
                <w:numId w:val="6"/>
              </w:numPr>
              <w:spacing w:after="120"/>
              <w:ind w:left="153" w:hanging="227"/>
              <w:rPr>
                <w:rFonts w:ascii="宋体" w:eastAsia="宋体" w:hAnsi="宋体"/>
                <w:lang w:val="en-GB"/>
              </w:rPr>
            </w:pPr>
            <w:r>
              <w:rPr>
                <w:rFonts w:ascii="宋体" w:eastAsia="宋体" w:hAnsi="宋体" w:hint="eastAsia"/>
                <w:lang w:val="en-GB"/>
              </w:rPr>
              <w:t>非</w:t>
            </w:r>
            <w:r>
              <w:rPr>
                <w:rFonts w:ascii="宋体" w:eastAsia="宋体" w:hAnsi="宋体"/>
                <w:lang w:val="en-GB"/>
              </w:rPr>
              <w:t>公开融资工具限额</w:t>
            </w:r>
          </w:p>
          <w:p w14:paraId="7AD0876D" w14:textId="77777777" w:rsidR="00F050C5" w:rsidRPr="00C42DDE" w:rsidRDefault="00F050C5" w:rsidP="00F050C5">
            <w:pPr>
              <w:pStyle w:val="1"/>
              <w:numPr>
                <w:ilvl w:val="0"/>
                <w:numId w:val="6"/>
              </w:numPr>
              <w:spacing w:after="120"/>
              <w:ind w:left="454" w:hanging="227"/>
              <w:rPr>
                <w:rFonts w:ascii="宋体" w:eastAsia="宋体" w:hAnsi="宋体"/>
                <w:lang w:val="en-GB"/>
              </w:rPr>
            </w:pPr>
            <w:r w:rsidRPr="00C42DDE">
              <w:rPr>
                <w:rFonts w:ascii="宋体" w:eastAsia="宋体" w:hAnsi="宋体" w:hint="eastAsia"/>
                <w:lang w:val="en-GB"/>
              </w:rPr>
              <w:t>债券发行人评级不低于AA+</w:t>
            </w:r>
          </w:p>
          <w:p w14:paraId="2CE86586" w14:textId="77777777" w:rsidR="00F050C5" w:rsidRPr="00C42DDE" w:rsidRDefault="00F050C5" w:rsidP="00F050C5">
            <w:pPr>
              <w:pStyle w:val="1"/>
              <w:numPr>
                <w:ilvl w:val="0"/>
                <w:numId w:val="6"/>
              </w:numPr>
              <w:spacing w:after="120"/>
              <w:ind w:left="454" w:hanging="227"/>
              <w:rPr>
                <w:rFonts w:ascii="宋体" w:eastAsia="宋体" w:hAnsi="宋体"/>
                <w:lang w:val="en-GB"/>
              </w:rPr>
            </w:pPr>
            <w:r w:rsidRPr="00C42DDE">
              <w:rPr>
                <w:rFonts w:ascii="宋体" w:eastAsia="宋体" w:hAnsi="宋体" w:hint="eastAsia"/>
                <w:lang w:val="en-GB"/>
              </w:rPr>
              <w:t>规模≤1亿元（与总行合计规模≤500亿元）</w:t>
            </w:r>
          </w:p>
          <w:p w14:paraId="6A8B8225" w14:textId="77777777" w:rsidR="00F050C5" w:rsidRPr="00C42DDE" w:rsidRDefault="00F050C5" w:rsidP="00F050C5">
            <w:pPr>
              <w:pStyle w:val="1"/>
              <w:numPr>
                <w:ilvl w:val="0"/>
                <w:numId w:val="6"/>
              </w:numPr>
              <w:spacing w:after="120"/>
              <w:ind w:left="454" w:hanging="227"/>
              <w:rPr>
                <w:rFonts w:ascii="宋体" w:eastAsia="宋体" w:hAnsi="宋体"/>
                <w:lang w:val="en-GB"/>
              </w:rPr>
            </w:pPr>
            <w:r w:rsidRPr="00C42DDE">
              <w:rPr>
                <w:rFonts w:ascii="宋体" w:eastAsia="宋体" w:hAnsi="宋体" w:hint="eastAsia"/>
                <w:lang w:val="en-GB"/>
              </w:rPr>
              <w:t>期限≤</w:t>
            </w:r>
            <w:r w:rsidRPr="00C42DDE">
              <w:rPr>
                <w:rFonts w:ascii="宋体" w:eastAsia="宋体" w:hAnsi="宋体"/>
                <w:lang w:val="en-GB"/>
              </w:rPr>
              <w:t>5</w:t>
            </w:r>
            <w:r w:rsidRPr="00C42DDE">
              <w:rPr>
                <w:rFonts w:ascii="宋体" w:eastAsia="宋体" w:hAnsi="宋体" w:hint="eastAsia"/>
                <w:lang w:val="en-GB"/>
              </w:rPr>
              <w:t>年</w:t>
            </w:r>
          </w:p>
          <w:p w14:paraId="7ACE69FD" w14:textId="36EFE26D" w:rsidR="00F050C5" w:rsidRPr="00F050C5" w:rsidRDefault="00F050C5" w:rsidP="00F050C5">
            <w:pPr>
              <w:pStyle w:val="1"/>
              <w:numPr>
                <w:ilvl w:val="0"/>
                <w:numId w:val="6"/>
              </w:numPr>
              <w:spacing w:after="120"/>
              <w:ind w:left="454" w:hanging="227"/>
              <w:rPr>
                <w:rFonts w:ascii="宋体" w:eastAsia="宋体" w:hAnsi="宋体"/>
                <w:lang w:val="en-GB"/>
              </w:rPr>
            </w:pPr>
            <w:r w:rsidRPr="00C42DDE">
              <w:rPr>
                <w:rFonts w:ascii="宋体" w:eastAsia="宋体" w:hAnsi="宋体" w:hint="eastAsia"/>
                <w:lang w:val="en-GB"/>
              </w:rPr>
              <w:t>单期余额占发行额比例≤50%，对于我行主承销债券，该比例不得高于20%</w:t>
            </w:r>
          </w:p>
        </w:tc>
      </w:tr>
    </w:tbl>
    <w:p w14:paraId="7ACE6A05" w14:textId="532FC524" w:rsidR="000B40BC" w:rsidRPr="00E716E0" w:rsidRDefault="00E716E0" w:rsidP="00E716E0">
      <w:pPr>
        <w:widowControl w:val="0"/>
        <w:adjustRightInd w:val="0"/>
        <w:snapToGrid w:val="0"/>
        <w:spacing w:line="560" w:lineRule="atLeast"/>
        <w:ind w:firstLineChars="200" w:firstLine="664"/>
        <w:jc w:val="both"/>
        <w:rPr>
          <w:rFonts w:ascii="楷体" w:eastAsia="楷体" w:hAnsi="楷体" w:cs="Times New Roman"/>
          <w:spacing w:val="12"/>
          <w:kern w:val="2"/>
          <w:sz w:val="32"/>
          <w:szCs w:val="32"/>
        </w:rPr>
      </w:pPr>
      <w:r>
        <w:rPr>
          <w:rFonts w:ascii="楷体" w:eastAsia="楷体" w:hAnsi="楷体" w:cs="Times New Roman" w:hint="eastAsia"/>
          <w:spacing w:val="12"/>
          <w:kern w:val="2"/>
          <w:sz w:val="32"/>
          <w:szCs w:val="32"/>
        </w:rPr>
        <w:lastRenderedPageBreak/>
        <w:t>（三）</w:t>
      </w:r>
      <w:r w:rsidR="001403DD" w:rsidRPr="00E716E0">
        <w:rPr>
          <w:rFonts w:ascii="楷体" w:eastAsia="楷体" w:hAnsi="楷体" w:cs="Times New Roman" w:hint="eastAsia"/>
          <w:spacing w:val="12"/>
          <w:kern w:val="2"/>
          <w:sz w:val="32"/>
          <w:szCs w:val="32"/>
        </w:rPr>
        <w:t>外币债券投资业务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4"/>
      </w:tblGrid>
      <w:tr w:rsidR="000B40BC" w:rsidRPr="00C42DDE" w14:paraId="7ACE6A10" w14:textId="77777777" w:rsidTr="00F050C5">
        <w:trPr>
          <w:jc w:val="center"/>
        </w:trPr>
        <w:tc>
          <w:tcPr>
            <w:tcW w:w="8784" w:type="dxa"/>
            <w:shd w:val="clear" w:color="auto" w:fill="auto"/>
          </w:tcPr>
          <w:p w14:paraId="7ACE6A06" w14:textId="77777777" w:rsidR="000B40BC" w:rsidRPr="00C42DDE" w:rsidRDefault="001403DD">
            <w:pPr>
              <w:pStyle w:val="1"/>
              <w:numPr>
                <w:ilvl w:val="0"/>
                <w:numId w:val="6"/>
              </w:numPr>
              <w:spacing w:after="120"/>
              <w:ind w:left="153" w:hanging="227"/>
              <w:rPr>
                <w:rFonts w:ascii="宋体" w:eastAsia="宋体" w:hAnsi="宋体"/>
                <w:lang w:val="en-GB"/>
              </w:rPr>
            </w:pPr>
            <w:r w:rsidRPr="00C42DDE">
              <w:rPr>
                <w:rFonts w:ascii="宋体" w:eastAsia="宋体" w:hAnsi="宋体"/>
                <w:lang w:val="en-GB"/>
              </w:rPr>
              <w:t>FVOCI类债券久期≤2.5年</w:t>
            </w:r>
          </w:p>
          <w:p w14:paraId="7ACE6A07" w14:textId="77777777" w:rsidR="000B40BC" w:rsidRPr="00C42DDE" w:rsidRDefault="001403DD">
            <w:pPr>
              <w:pStyle w:val="1"/>
              <w:numPr>
                <w:ilvl w:val="0"/>
                <w:numId w:val="6"/>
              </w:numPr>
              <w:spacing w:after="120"/>
              <w:ind w:left="153" w:hanging="227"/>
              <w:rPr>
                <w:rFonts w:ascii="宋体" w:eastAsia="宋体" w:hAnsi="宋体"/>
                <w:lang w:val="en-GB"/>
              </w:rPr>
            </w:pPr>
            <w:r w:rsidRPr="00C42DDE">
              <w:rPr>
                <w:rFonts w:ascii="宋体" w:eastAsia="宋体" w:hAnsi="宋体"/>
                <w:lang w:val="en-GB"/>
              </w:rPr>
              <w:t>综合久期≤2.5年</w:t>
            </w:r>
          </w:p>
          <w:p w14:paraId="7ACE6A09" w14:textId="6F1E817C" w:rsidR="000B40BC" w:rsidRPr="00C42DDE" w:rsidRDefault="001403DD">
            <w:pPr>
              <w:pStyle w:val="1"/>
              <w:numPr>
                <w:ilvl w:val="0"/>
                <w:numId w:val="6"/>
              </w:numPr>
              <w:spacing w:after="120"/>
              <w:ind w:left="153" w:hanging="227"/>
              <w:rPr>
                <w:rFonts w:ascii="宋体" w:eastAsia="宋体" w:hAnsi="宋体"/>
                <w:lang w:val="en-GB"/>
              </w:rPr>
            </w:pPr>
            <w:r w:rsidRPr="00C42DDE">
              <w:rPr>
                <w:rFonts w:ascii="宋体" w:eastAsia="宋体" w:hAnsi="宋体"/>
                <w:lang w:val="en-GB"/>
              </w:rPr>
              <w:t>平均评级≥BBB-</w:t>
            </w:r>
            <w:r w:rsidR="00130AE3" w:rsidRPr="005E6470">
              <w:rPr>
                <w:rStyle w:val="ad"/>
                <w:sz w:val="21"/>
                <w:szCs w:val="21"/>
              </w:rPr>
              <w:footnoteReference w:id="2"/>
            </w:r>
          </w:p>
          <w:p w14:paraId="3A2C69A1" w14:textId="6A947088" w:rsidR="00E716E0" w:rsidRDefault="00E716E0">
            <w:pPr>
              <w:pStyle w:val="1"/>
              <w:numPr>
                <w:ilvl w:val="0"/>
                <w:numId w:val="6"/>
              </w:numPr>
              <w:spacing w:after="120"/>
              <w:ind w:left="153" w:hanging="227"/>
              <w:rPr>
                <w:rFonts w:ascii="宋体" w:eastAsia="宋体" w:hAnsi="宋体"/>
                <w:lang w:val="en-GB"/>
              </w:rPr>
            </w:pPr>
            <w:r>
              <w:rPr>
                <w:rFonts w:ascii="宋体" w:eastAsia="宋体" w:hAnsi="宋体" w:hint="eastAsia"/>
                <w:lang w:val="en-GB"/>
              </w:rPr>
              <w:t>外币</w:t>
            </w:r>
            <w:r>
              <w:rPr>
                <w:rFonts w:ascii="宋体" w:eastAsia="宋体" w:hAnsi="宋体"/>
                <w:lang w:val="en-GB"/>
              </w:rPr>
              <w:t>信用债BB及以下（</w:t>
            </w:r>
            <w:r>
              <w:rPr>
                <w:rFonts w:ascii="宋体" w:eastAsia="宋体" w:hAnsi="宋体" w:hint="eastAsia"/>
                <w:lang w:val="en-GB"/>
              </w:rPr>
              <w:t>含</w:t>
            </w:r>
            <w:r>
              <w:rPr>
                <w:rFonts w:ascii="宋体" w:eastAsia="宋体" w:hAnsi="宋体"/>
                <w:lang w:val="en-GB"/>
              </w:rPr>
              <w:t>无评级）</w:t>
            </w:r>
            <w:r>
              <w:rPr>
                <w:rFonts w:ascii="宋体" w:eastAsia="宋体" w:hAnsi="宋体" w:hint="eastAsia"/>
                <w:lang w:val="en-GB"/>
              </w:rPr>
              <w:t>≤5</w:t>
            </w:r>
            <w:r>
              <w:rPr>
                <w:rFonts w:ascii="宋体" w:eastAsia="宋体" w:hAnsi="宋体"/>
                <w:lang w:val="en-GB"/>
              </w:rPr>
              <w:t>%</w:t>
            </w:r>
          </w:p>
          <w:p w14:paraId="7ACE6A0B" w14:textId="2B781D5D" w:rsidR="000B40BC" w:rsidRPr="00C42DDE" w:rsidRDefault="001403DD">
            <w:pPr>
              <w:pStyle w:val="1"/>
              <w:numPr>
                <w:ilvl w:val="0"/>
                <w:numId w:val="6"/>
              </w:numPr>
              <w:spacing w:after="120"/>
              <w:ind w:left="153" w:hanging="227"/>
              <w:rPr>
                <w:rFonts w:ascii="宋体" w:eastAsia="宋体" w:hAnsi="宋体"/>
                <w:lang w:val="en-GB"/>
              </w:rPr>
            </w:pPr>
            <w:r w:rsidRPr="00C42DDE">
              <w:rPr>
                <w:rFonts w:ascii="宋体" w:eastAsia="宋体" w:hAnsi="宋体"/>
                <w:lang w:val="en-GB"/>
              </w:rPr>
              <w:t>单只信用债（不含私募债、结构化债券和CD</w:t>
            </w:r>
            <w:r w:rsidR="00D43140" w:rsidRPr="00D43140">
              <w:rPr>
                <w:rFonts w:ascii="宋体" w:eastAsia="宋体" w:hAnsi="宋体" w:hint="eastAsia"/>
              </w:rPr>
              <w:t>，与外币债券交易业务合并计算</w:t>
            </w:r>
            <w:r w:rsidRPr="00C42DDE">
              <w:rPr>
                <w:rFonts w:ascii="宋体" w:eastAsia="宋体" w:hAnsi="宋体"/>
                <w:lang w:val="en-GB"/>
              </w:rPr>
              <w:t>）持有规模占发行量的比例≤30%</w:t>
            </w:r>
          </w:p>
          <w:p w14:paraId="7ACE6A0C" w14:textId="60AB7CC9" w:rsidR="000B40BC" w:rsidRPr="00C42DDE" w:rsidRDefault="001403DD">
            <w:pPr>
              <w:pStyle w:val="1"/>
              <w:numPr>
                <w:ilvl w:val="0"/>
                <w:numId w:val="6"/>
              </w:numPr>
              <w:spacing w:after="120"/>
              <w:ind w:left="153" w:hanging="227"/>
              <w:rPr>
                <w:rFonts w:ascii="宋体" w:eastAsia="宋体" w:hAnsi="宋体"/>
                <w:lang w:val="en-GB"/>
              </w:rPr>
            </w:pPr>
            <w:r w:rsidRPr="00C42DDE">
              <w:rPr>
                <w:rFonts w:ascii="宋体" w:eastAsia="宋体" w:hAnsi="宋体"/>
                <w:lang w:val="en-GB"/>
              </w:rPr>
              <w:t>出具维好协议的债券规模占外币债券投资余额的比例≤</w:t>
            </w:r>
            <w:r w:rsidR="00D43140">
              <w:rPr>
                <w:rFonts w:ascii="宋体" w:eastAsia="宋体" w:hAnsi="宋体"/>
                <w:lang w:val="en-GB"/>
              </w:rPr>
              <w:t>2</w:t>
            </w:r>
            <w:r w:rsidRPr="00C42DDE">
              <w:rPr>
                <w:rFonts w:ascii="宋体" w:eastAsia="宋体" w:hAnsi="宋体"/>
                <w:lang w:val="en-GB"/>
              </w:rPr>
              <w:t>0%</w:t>
            </w:r>
          </w:p>
          <w:p w14:paraId="7ACE6A0D" w14:textId="5D00EF55" w:rsidR="000B40BC" w:rsidRPr="00C42DDE" w:rsidRDefault="001403DD" w:rsidP="00E716E0">
            <w:pPr>
              <w:pStyle w:val="1"/>
              <w:spacing w:after="120"/>
              <w:ind w:left="-74"/>
              <w:rPr>
                <w:rFonts w:ascii="宋体" w:eastAsia="宋体" w:hAnsi="宋体"/>
                <w:i/>
                <w:lang w:val="en-GB"/>
              </w:rPr>
            </w:pPr>
            <w:r w:rsidRPr="00E716E0">
              <w:rPr>
                <w:rFonts w:ascii="宋体" w:eastAsia="宋体" w:hAnsi="宋体" w:hint="eastAsia"/>
                <w:i/>
                <w:lang w:val="en-GB"/>
              </w:rPr>
              <w:t>上述限额与总行</w:t>
            </w:r>
            <w:r w:rsidR="00E716E0" w:rsidRPr="00E716E0">
              <w:rPr>
                <w:rFonts w:ascii="宋体" w:eastAsia="宋体" w:hAnsi="宋体" w:hint="eastAsia"/>
                <w:i/>
                <w:lang w:val="en-GB"/>
              </w:rPr>
              <w:t>金融市场部</w:t>
            </w:r>
            <w:r w:rsidRPr="00E716E0">
              <w:rPr>
                <w:rFonts w:ascii="宋体" w:eastAsia="宋体" w:hAnsi="宋体" w:hint="eastAsia"/>
                <w:i/>
                <w:lang w:val="en-GB"/>
              </w:rPr>
              <w:t>合并计算</w:t>
            </w:r>
          </w:p>
          <w:p w14:paraId="7ACE6A0E" w14:textId="60BEE3DD" w:rsidR="000B40BC" w:rsidRPr="00C42DDE" w:rsidRDefault="001403DD">
            <w:pPr>
              <w:pStyle w:val="1"/>
              <w:numPr>
                <w:ilvl w:val="0"/>
                <w:numId w:val="6"/>
              </w:numPr>
              <w:spacing w:after="120"/>
              <w:ind w:left="153" w:hanging="227"/>
              <w:rPr>
                <w:rFonts w:ascii="宋体" w:eastAsia="宋体" w:hAnsi="宋体"/>
                <w:lang w:val="en-GB"/>
              </w:rPr>
            </w:pPr>
            <w:r w:rsidRPr="00C42DDE">
              <w:rPr>
                <w:rFonts w:ascii="宋体" w:eastAsia="宋体" w:hAnsi="宋体" w:cs="宋体" w:hint="eastAsia"/>
                <w:lang w:val="en-GB"/>
              </w:rPr>
              <w:t>外</w:t>
            </w:r>
            <w:r w:rsidRPr="00C42DDE">
              <w:rPr>
                <w:rFonts w:ascii="宋体" w:eastAsia="宋体" w:hAnsi="宋体"/>
                <w:lang w:val="en-GB"/>
              </w:rPr>
              <w:t>币信用债券投资规模≤</w:t>
            </w:r>
            <w:r w:rsidR="00E716E0">
              <w:rPr>
                <w:rFonts w:ascii="宋体" w:eastAsia="宋体" w:hAnsi="宋体"/>
                <w:lang w:val="en-GB"/>
              </w:rPr>
              <w:t>1.5</w:t>
            </w:r>
            <w:r w:rsidR="00E716E0">
              <w:rPr>
                <w:rFonts w:ascii="宋体" w:eastAsia="宋体" w:hAnsi="宋体" w:hint="eastAsia"/>
                <w:lang w:val="en-GB"/>
              </w:rPr>
              <w:t>亿</w:t>
            </w:r>
            <w:r w:rsidR="00E716E0">
              <w:rPr>
                <w:rFonts w:ascii="宋体" w:eastAsia="宋体" w:hAnsi="宋体"/>
                <w:lang w:val="en-GB"/>
              </w:rPr>
              <w:t>美元</w:t>
            </w:r>
          </w:p>
          <w:p w14:paraId="7ACE6A0F" w14:textId="77777777" w:rsidR="000B40BC" w:rsidRPr="00C42DDE" w:rsidRDefault="001403DD">
            <w:pPr>
              <w:pStyle w:val="1"/>
              <w:numPr>
                <w:ilvl w:val="0"/>
                <w:numId w:val="6"/>
              </w:numPr>
              <w:spacing w:after="120"/>
              <w:ind w:left="153" w:hanging="227"/>
              <w:rPr>
                <w:rFonts w:ascii="宋体" w:eastAsia="宋体" w:hAnsi="宋体"/>
                <w:lang w:val="en-GB"/>
              </w:rPr>
            </w:pPr>
            <w:r w:rsidRPr="00C42DDE">
              <w:rPr>
                <w:rFonts w:ascii="宋体" w:eastAsia="宋体" w:hAnsi="宋体"/>
                <w:lang w:val="en-GB"/>
              </w:rPr>
              <w:t>单个信用债发行人投资规模超过1000万美元，需提交总行金融市场部审批</w:t>
            </w:r>
          </w:p>
        </w:tc>
      </w:tr>
    </w:tbl>
    <w:p w14:paraId="7ACE6A11" w14:textId="2B64375C" w:rsidR="000B40BC" w:rsidRPr="00E716E0" w:rsidRDefault="00E716E0" w:rsidP="00E716E0">
      <w:pPr>
        <w:widowControl w:val="0"/>
        <w:adjustRightInd w:val="0"/>
        <w:snapToGrid w:val="0"/>
        <w:spacing w:line="560" w:lineRule="atLeast"/>
        <w:ind w:firstLineChars="200" w:firstLine="664"/>
        <w:jc w:val="both"/>
        <w:rPr>
          <w:rFonts w:ascii="楷体" w:eastAsia="楷体" w:hAnsi="楷体" w:cs="Times New Roman"/>
          <w:spacing w:val="12"/>
          <w:kern w:val="2"/>
          <w:sz w:val="32"/>
          <w:szCs w:val="32"/>
        </w:rPr>
      </w:pPr>
      <w:r>
        <w:rPr>
          <w:rFonts w:ascii="楷体" w:eastAsia="楷体" w:hAnsi="楷体" w:cs="Times New Roman" w:hint="eastAsia"/>
          <w:spacing w:val="12"/>
          <w:kern w:val="2"/>
          <w:sz w:val="32"/>
          <w:szCs w:val="32"/>
        </w:rPr>
        <w:t>（四）</w:t>
      </w:r>
      <w:r w:rsidR="001403DD" w:rsidRPr="00E716E0">
        <w:rPr>
          <w:rFonts w:ascii="楷体" w:eastAsia="楷体" w:hAnsi="楷体" w:cs="Times New Roman" w:hint="eastAsia"/>
          <w:spacing w:val="12"/>
          <w:kern w:val="2"/>
          <w:sz w:val="32"/>
          <w:szCs w:val="32"/>
        </w:rPr>
        <w:t>外币司库业务</w:t>
      </w:r>
    </w:p>
    <w:p w14:paraId="7ACE6A12" w14:textId="77777777" w:rsidR="000B40BC" w:rsidRDefault="001403DD">
      <w:pPr>
        <w:adjustRightInd w:val="0"/>
        <w:snapToGrid w:val="0"/>
        <w:spacing w:line="560" w:lineRule="atLeast"/>
        <w:ind w:firstLineChars="200" w:firstLine="664"/>
        <w:jc w:val="both"/>
        <w:rPr>
          <w:rFonts w:ascii="仿宋" w:eastAsia="仿宋" w:hAnsi="仿宋" w:cs="Times New Roman"/>
          <w:spacing w:val="12"/>
          <w:sz w:val="32"/>
          <w:szCs w:val="32"/>
        </w:rPr>
      </w:pPr>
      <w:r>
        <w:rPr>
          <w:rFonts w:ascii="仿宋" w:eastAsia="仿宋" w:hAnsi="仿宋" w:cs="Times New Roman" w:hint="eastAsia"/>
          <w:spacing w:val="12"/>
          <w:sz w:val="32"/>
          <w:szCs w:val="32"/>
        </w:rPr>
        <w:t>外币短期债券投资业务限额与外币债券投资业务合并计算</w:t>
      </w:r>
      <w:r>
        <w:rPr>
          <w:rFonts w:ascii="仿宋" w:eastAsia="仿宋" w:hAnsi="仿宋" w:hint="eastAsia"/>
          <w:spacing w:val="12"/>
          <w:sz w:val="32"/>
          <w:szCs w:val="32"/>
        </w:rPr>
        <w:t>。</w:t>
      </w:r>
    </w:p>
    <w:p w14:paraId="7ACE6A17" w14:textId="77777777" w:rsidR="000B40BC" w:rsidRDefault="001403DD">
      <w:pPr>
        <w:widowControl w:val="0"/>
        <w:adjustRightInd w:val="0"/>
        <w:snapToGrid w:val="0"/>
        <w:spacing w:line="560" w:lineRule="atLeast"/>
        <w:ind w:firstLineChars="192" w:firstLine="637"/>
        <w:jc w:val="both"/>
        <w:rPr>
          <w:rFonts w:ascii="黑体" w:eastAsia="黑体" w:hAnsi="黑体" w:cs="Times New Roman"/>
          <w:spacing w:val="12"/>
          <w:kern w:val="2"/>
          <w:sz w:val="32"/>
          <w:szCs w:val="32"/>
        </w:rPr>
      </w:pPr>
      <w:r>
        <w:rPr>
          <w:rFonts w:ascii="黑体" w:eastAsia="黑体" w:hAnsi="黑体" w:cs="Times New Roman" w:hint="eastAsia"/>
          <w:spacing w:val="12"/>
          <w:kern w:val="2"/>
          <w:sz w:val="32"/>
          <w:szCs w:val="32"/>
        </w:rPr>
        <w:t>三、管理要求</w:t>
      </w:r>
    </w:p>
    <w:p w14:paraId="7ACE6A18" w14:textId="77777777" w:rsidR="000B40BC" w:rsidRDefault="001403DD">
      <w:pPr>
        <w:widowControl w:val="0"/>
        <w:adjustRightInd w:val="0"/>
        <w:snapToGrid w:val="0"/>
        <w:spacing w:line="560" w:lineRule="atLeast"/>
        <w:ind w:firstLineChars="192" w:firstLine="637"/>
        <w:jc w:val="both"/>
        <w:rPr>
          <w:rFonts w:ascii="仿宋" w:eastAsia="仿宋" w:hAnsi="仿宋"/>
          <w:spacing w:val="12"/>
          <w:sz w:val="32"/>
          <w:szCs w:val="32"/>
        </w:rPr>
      </w:pPr>
      <w:r>
        <w:rPr>
          <w:rFonts w:ascii="仿宋" w:eastAsia="仿宋" w:hAnsi="仿宋" w:hint="eastAsia"/>
          <w:spacing w:val="12"/>
          <w:sz w:val="32"/>
          <w:szCs w:val="32"/>
        </w:rPr>
        <w:t>（一）你分行</w:t>
      </w:r>
      <w:r>
        <w:rPr>
          <w:rFonts w:ascii="仿宋" w:eastAsia="仿宋" w:hAnsi="仿宋"/>
          <w:spacing w:val="12"/>
          <w:sz w:val="32"/>
          <w:szCs w:val="32"/>
        </w:rPr>
        <w:t>金融市场部</w:t>
      </w:r>
      <w:r>
        <w:rPr>
          <w:rFonts w:ascii="仿宋" w:eastAsia="仿宋" w:hAnsi="仿宋" w:hint="eastAsia"/>
          <w:spacing w:val="12"/>
          <w:sz w:val="32"/>
          <w:szCs w:val="32"/>
        </w:rPr>
        <w:t>须在</w:t>
      </w:r>
      <w:r>
        <w:rPr>
          <w:rFonts w:ascii="仿宋" w:eastAsia="仿宋" w:hAnsi="仿宋"/>
          <w:spacing w:val="12"/>
          <w:sz w:val="32"/>
          <w:szCs w:val="32"/>
        </w:rPr>
        <w:t>转授权范围内开展业务，</w:t>
      </w:r>
      <w:r>
        <w:rPr>
          <w:rFonts w:ascii="仿宋" w:eastAsia="仿宋" w:hAnsi="仿宋" w:hint="eastAsia"/>
          <w:spacing w:val="12"/>
          <w:sz w:val="32"/>
          <w:szCs w:val="32"/>
        </w:rPr>
        <w:t>准入开展的业务应制定完备的管理制度，明确业务管理机制、操作规程、相关风险的控制措施等，严控各类风险。</w:t>
      </w:r>
    </w:p>
    <w:p w14:paraId="7ACE6A19" w14:textId="77777777" w:rsidR="000B40BC" w:rsidRDefault="001403DD">
      <w:pPr>
        <w:widowControl w:val="0"/>
        <w:adjustRightInd w:val="0"/>
        <w:snapToGrid w:val="0"/>
        <w:spacing w:line="560" w:lineRule="atLeast"/>
        <w:ind w:firstLineChars="192" w:firstLine="637"/>
        <w:jc w:val="both"/>
        <w:rPr>
          <w:rFonts w:ascii="仿宋" w:eastAsia="仿宋" w:hAnsi="仿宋"/>
          <w:spacing w:val="12"/>
          <w:sz w:val="32"/>
          <w:szCs w:val="32"/>
        </w:rPr>
      </w:pPr>
      <w:r>
        <w:rPr>
          <w:rFonts w:ascii="仿宋" w:eastAsia="仿宋" w:hAnsi="仿宋" w:hint="eastAsia"/>
          <w:spacing w:val="12"/>
          <w:sz w:val="32"/>
          <w:szCs w:val="32"/>
        </w:rPr>
        <w:t>（二）你分行</w:t>
      </w:r>
      <w:r>
        <w:rPr>
          <w:rFonts w:ascii="仿宋" w:eastAsia="仿宋" w:hAnsi="仿宋"/>
          <w:spacing w:val="12"/>
          <w:sz w:val="32"/>
          <w:szCs w:val="32"/>
        </w:rPr>
        <w:t>金融市场部</w:t>
      </w:r>
      <w:r>
        <w:rPr>
          <w:rFonts w:ascii="仿宋" w:eastAsia="仿宋" w:hAnsi="仿宋" w:hint="eastAsia"/>
          <w:spacing w:val="12"/>
          <w:sz w:val="32"/>
          <w:szCs w:val="32"/>
        </w:rPr>
        <w:t>业务各级被授权人和风险限额执行人须严格执行</w:t>
      </w:r>
      <w:r>
        <w:rPr>
          <w:rFonts w:ascii="仿宋" w:eastAsia="仿宋" w:hAnsi="仿宋"/>
          <w:spacing w:val="12"/>
          <w:sz w:val="32"/>
          <w:szCs w:val="32"/>
        </w:rPr>
        <w:t>转授权</w:t>
      </w:r>
      <w:r>
        <w:rPr>
          <w:rFonts w:ascii="仿宋" w:eastAsia="仿宋" w:hAnsi="仿宋" w:hint="eastAsia"/>
          <w:spacing w:val="12"/>
          <w:sz w:val="32"/>
          <w:szCs w:val="32"/>
        </w:rPr>
        <w:t>和风险限额，严禁超准入范围和超</w:t>
      </w:r>
      <w:r>
        <w:rPr>
          <w:rFonts w:ascii="仿宋" w:eastAsia="仿宋" w:hAnsi="仿宋" w:hint="eastAsia"/>
          <w:spacing w:val="12"/>
          <w:sz w:val="32"/>
          <w:szCs w:val="32"/>
        </w:rPr>
        <w:lastRenderedPageBreak/>
        <w:t>限额开展业务。</w:t>
      </w:r>
    </w:p>
    <w:p w14:paraId="7ACE6A1A" w14:textId="77777777" w:rsidR="000B40BC" w:rsidRDefault="001403DD">
      <w:pPr>
        <w:widowControl w:val="0"/>
        <w:adjustRightInd w:val="0"/>
        <w:snapToGrid w:val="0"/>
        <w:spacing w:line="560" w:lineRule="atLeast"/>
        <w:ind w:firstLineChars="192" w:firstLine="637"/>
        <w:jc w:val="both"/>
        <w:rPr>
          <w:rFonts w:ascii="仿宋" w:eastAsia="仿宋" w:hAnsi="仿宋"/>
          <w:spacing w:val="12"/>
          <w:sz w:val="32"/>
          <w:szCs w:val="32"/>
        </w:rPr>
      </w:pPr>
      <w:r>
        <w:rPr>
          <w:rFonts w:ascii="仿宋" w:eastAsia="仿宋" w:hAnsi="仿宋" w:hint="eastAsia"/>
          <w:spacing w:val="12"/>
          <w:sz w:val="32"/>
          <w:szCs w:val="32"/>
        </w:rPr>
        <w:t>（三</w:t>
      </w:r>
      <w:r>
        <w:rPr>
          <w:rFonts w:ascii="仿宋" w:eastAsia="仿宋" w:hAnsi="仿宋"/>
          <w:spacing w:val="12"/>
          <w:sz w:val="32"/>
          <w:szCs w:val="32"/>
        </w:rPr>
        <w:t>）对于</w:t>
      </w:r>
      <w:r>
        <w:rPr>
          <w:rFonts w:ascii="仿宋" w:eastAsia="仿宋" w:hAnsi="仿宋" w:hint="eastAsia"/>
          <w:spacing w:val="12"/>
          <w:sz w:val="32"/>
          <w:szCs w:val="32"/>
        </w:rPr>
        <w:t>涉及与总行金融市场部相关</w:t>
      </w:r>
      <w:r>
        <w:rPr>
          <w:rFonts w:ascii="仿宋" w:eastAsia="仿宋" w:hAnsi="仿宋"/>
          <w:spacing w:val="12"/>
          <w:sz w:val="32"/>
          <w:szCs w:val="32"/>
        </w:rPr>
        <w:t>使用</w:t>
      </w:r>
      <w:r>
        <w:rPr>
          <w:rFonts w:ascii="仿宋" w:eastAsia="仿宋" w:hAnsi="仿宋" w:hint="eastAsia"/>
          <w:spacing w:val="12"/>
          <w:sz w:val="32"/>
          <w:szCs w:val="32"/>
        </w:rPr>
        <w:t>处</w:t>
      </w:r>
      <w:r>
        <w:rPr>
          <w:rFonts w:ascii="仿宋" w:eastAsia="仿宋" w:hAnsi="仿宋"/>
          <w:spacing w:val="12"/>
          <w:sz w:val="32"/>
          <w:szCs w:val="32"/>
        </w:rPr>
        <w:t>室合并计算</w:t>
      </w:r>
      <w:r>
        <w:rPr>
          <w:rFonts w:ascii="仿宋" w:eastAsia="仿宋" w:hAnsi="仿宋" w:hint="eastAsia"/>
          <w:spacing w:val="12"/>
          <w:sz w:val="32"/>
          <w:szCs w:val="32"/>
        </w:rPr>
        <w:t>的</w:t>
      </w:r>
      <w:r>
        <w:rPr>
          <w:rFonts w:ascii="仿宋" w:eastAsia="仿宋" w:hAnsi="仿宋"/>
          <w:spacing w:val="12"/>
          <w:sz w:val="32"/>
          <w:szCs w:val="32"/>
        </w:rPr>
        <w:t>风险限额，</w:t>
      </w:r>
      <w:r>
        <w:rPr>
          <w:rFonts w:ascii="仿宋" w:eastAsia="仿宋" w:hAnsi="仿宋" w:hint="eastAsia"/>
          <w:spacing w:val="12"/>
          <w:sz w:val="32"/>
          <w:szCs w:val="32"/>
        </w:rPr>
        <w:t>你分行</w:t>
      </w:r>
      <w:r>
        <w:rPr>
          <w:rFonts w:ascii="仿宋" w:eastAsia="仿宋" w:hAnsi="仿宋"/>
          <w:spacing w:val="12"/>
          <w:sz w:val="32"/>
          <w:szCs w:val="32"/>
        </w:rPr>
        <w:t>金融市场部应</w:t>
      </w:r>
      <w:r>
        <w:rPr>
          <w:rFonts w:ascii="仿宋" w:eastAsia="仿宋" w:hAnsi="仿宋" w:hint="eastAsia"/>
          <w:spacing w:val="12"/>
          <w:sz w:val="32"/>
          <w:szCs w:val="32"/>
        </w:rPr>
        <w:t>持续</w:t>
      </w:r>
      <w:r>
        <w:rPr>
          <w:rFonts w:ascii="仿宋" w:eastAsia="仿宋" w:hAnsi="仿宋"/>
          <w:spacing w:val="12"/>
          <w:sz w:val="32"/>
          <w:szCs w:val="32"/>
        </w:rPr>
        <w:t>关注指标</w:t>
      </w:r>
      <w:r>
        <w:rPr>
          <w:rFonts w:ascii="仿宋" w:eastAsia="仿宋" w:hAnsi="仿宋" w:hint="eastAsia"/>
          <w:spacing w:val="12"/>
          <w:sz w:val="32"/>
          <w:szCs w:val="32"/>
        </w:rPr>
        <w:t>值变动</w:t>
      </w:r>
      <w:r>
        <w:rPr>
          <w:rFonts w:ascii="仿宋" w:eastAsia="仿宋" w:hAnsi="仿宋"/>
          <w:spacing w:val="12"/>
          <w:sz w:val="32"/>
          <w:szCs w:val="32"/>
        </w:rPr>
        <w:t>，当</w:t>
      </w:r>
      <w:r>
        <w:rPr>
          <w:rFonts w:ascii="仿宋" w:eastAsia="仿宋" w:hAnsi="仿宋" w:hint="eastAsia"/>
          <w:spacing w:val="12"/>
          <w:sz w:val="32"/>
          <w:szCs w:val="32"/>
        </w:rPr>
        <w:t>指标值达到预警线水平时，应</w:t>
      </w:r>
      <w:r>
        <w:rPr>
          <w:rFonts w:ascii="仿宋" w:eastAsia="仿宋" w:hAnsi="仿宋"/>
          <w:spacing w:val="12"/>
          <w:sz w:val="32"/>
          <w:szCs w:val="32"/>
        </w:rPr>
        <w:t>与</w:t>
      </w:r>
      <w:r>
        <w:rPr>
          <w:rFonts w:ascii="仿宋" w:eastAsia="仿宋" w:hAnsi="仿宋" w:hint="eastAsia"/>
          <w:spacing w:val="12"/>
          <w:sz w:val="32"/>
          <w:szCs w:val="32"/>
        </w:rPr>
        <w:t>总行金融市场部限额</w:t>
      </w:r>
      <w:r>
        <w:rPr>
          <w:rFonts w:ascii="仿宋" w:eastAsia="仿宋" w:hAnsi="仿宋"/>
          <w:spacing w:val="12"/>
          <w:sz w:val="32"/>
          <w:szCs w:val="32"/>
        </w:rPr>
        <w:t>共用处室</w:t>
      </w:r>
      <w:r>
        <w:rPr>
          <w:rFonts w:ascii="仿宋" w:eastAsia="仿宋" w:hAnsi="仿宋" w:hint="eastAsia"/>
          <w:spacing w:val="12"/>
          <w:sz w:val="32"/>
          <w:szCs w:val="32"/>
        </w:rPr>
        <w:t>及时</w:t>
      </w:r>
      <w:r>
        <w:rPr>
          <w:rFonts w:ascii="仿宋" w:eastAsia="仿宋" w:hAnsi="仿宋"/>
          <w:spacing w:val="12"/>
          <w:sz w:val="32"/>
          <w:szCs w:val="32"/>
        </w:rPr>
        <w:t>协商</w:t>
      </w:r>
      <w:r>
        <w:rPr>
          <w:rFonts w:ascii="仿宋" w:eastAsia="仿宋" w:hAnsi="仿宋" w:hint="eastAsia"/>
          <w:spacing w:val="12"/>
          <w:sz w:val="32"/>
          <w:szCs w:val="32"/>
        </w:rPr>
        <w:t>,共同将</w:t>
      </w:r>
      <w:r>
        <w:rPr>
          <w:rFonts w:ascii="仿宋" w:eastAsia="仿宋" w:hAnsi="仿宋"/>
          <w:spacing w:val="12"/>
          <w:sz w:val="32"/>
          <w:szCs w:val="32"/>
        </w:rPr>
        <w:t>指标值控制在合理水平</w:t>
      </w:r>
      <w:r>
        <w:rPr>
          <w:rFonts w:ascii="仿宋" w:eastAsia="仿宋" w:hAnsi="仿宋" w:hint="eastAsia"/>
          <w:spacing w:val="12"/>
          <w:sz w:val="32"/>
          <w:szCs w:val="32"/>
        </w:rPr>
        <w:t>。</w:t>
      </w:r>
    </w:p>
    <w:p w14:paraId="7ACE6A1B" w14:textId="77777777" w:rsidR="000B40BC" w:rsidRDefault="001403DD">
      <w:pPr>
        <w:widowControl w:val="0"/>
        <w:adjustRightInd w:val="0"/>
        <w:snapToGrid w:val="0"/>
        <w:spacing w:line="560" w:lineRule="atLeast"/>
        <w:ind w:firstLineChars="192" w:firstLine="637"/>
        <w:jc w:val="both"/>
        <w:rPr>
          <w:rFonts w:ascii="仿宋" w:eastAsia="仿宋" w:hAnsi="仿宋"/>
          <w:spacing w:val="12"/>
          <w:sz w:val="32"/>
          <w:szCs w:val="32"/>
        </w:rPr>
      </w:pPr>
      <w:r>
        <w:rPr>
          <w:rFonts w:ascii="仿宋" w:eastAsia="仿宋" w:hAnsi="仿宋" w:hint="eastAsia"/>
          <w:spacing w:val="12"/>
          <w:sz w:val="32"/>
          <w:szCs w:val="32"/>
        </w:rPr>
        <w:t>（四）你分行</w:t>
      </w:r>
      <w:r>
        <w:rPr>
          <w:rFonts w:ascii="仿宋" w:eastAsia="仿宋" w:hAnsi="仿宋"/>
          <w:spacing w:val="12"/>
          <w:sz w:val="32"/>
          <w:szCs w:val="32"/>
        </w:rPr>
        <w:t>金融市场部如需进行转授权</w:t>
      </w:r>
      <w:r>
        <w:rPr>
          <w:rFonts w:ascii="仿宋" w:eastAsia="仿宋" w:hAnsi="仿宋" w:hint="eastAsia"/>
          <w:spacing w:val="12"/>
          <w:sz w:val="32"/>
          <w:szCs w:val="32"/>
        </w:rPr>
        <w:t>和风险</w:t>
      </w:r>
      <w:r>
        <w:rPr>
          <w:rFonts w:ascii="仿宋" w:eastAsia="仿宋" w:hAnsi="仿宋"/>
          <w:spacing w:val="12"/>
          <w:sz w:val="32"/>
          <w:szCs w:val="32"/>
        </w:rPr>
        <w:t>限额调整，</w:t>
      </w:r>
      <w:r>
        <w:rPr>
          <w:rFonts w:ascii="仿宋" w:eastAsia="仿宋" w:hAnsi="仿宋" w:hint="eastAsia"/>
          <w:spacing w:val="12"/>
          <w:sz w:val="32"/>
          <w:szCs w:val="32"/>
        </w:rPr>
        <w:t>须</w:t>
      </w:r>
      <w:r>
        <w:rPr>
          <w:rFonts w:ascii="仿宋" w:eastAsia="仿宋" w:hAnsi="仿宋"/>
          <w:spacing w:val="12"/>
          <w:sz w:val="32"/>
          <w:szCs w:val="32"/>
        </w:rPr>
        <w:t>遵照中信银行</w:t>
      </w:r>
      <w:r>
        <w:rPr>
          <w:rFonts w:ascii="仿宋" w:eastAsia="仿宋" w:hAnsi="仿宋" w:hint="eastAsia"/>
          <w:spacing w:val="12"/>
          <w:sz w:val="32"/>
          <w:szCs w:val="32"/>
        </w:rPr>
        <w:t>金融市场</w:t>
      </w:r>
      <w:r>
        <w:rPr>
          <w:rFonts w:ascii="仿宋" w:eastAsia="仿宋" w:hAnsi="仿宋"/>
          <w:spacing w:val="12"/>
          <w:sz w:val="32"/>
          <w:szCs w:val="32"/>
        </w:rPr>
        <w:t>条线转授权</w:t>
      </w:r>
      <w:r>
        <w:rPr>
          <w:rFonts w:ascii="仿宋" w:eastAsia="仿宋" w:hAnsi="仿宋" w:hint="eastAsia"/>
          <w:spacing w:val="12"/>
          <w:sz w:val="32"/>
          <w:szCs w:val="32"/>
        </w:rPr>
        <w:t>和</w:t>
      </w:r>
      <w:r>
        <w:rPr>
          <w:rFonts w:ascii="仿宋" w:eastAsia="仿宋" w:hAnsi="仿宋"/>
          <w:spacing w:val="12"/>
          <w:sz w:val="32"/>
          <w:szCs w:val="32"/>
        </w:rPr>
        <w:t>风险限额相关管理办法执行。</w:t>
      </w:r>
    </w:p>
    <w:p w14:paraId="7ACE6A1C" w14:textId="77777777" w:rsidR="000B40BC" w:rsidRDefault="001403DD">
      <w:pPr>
        <w:widowControl w:val="0"/>
        <w:adjustRightInd w:val="0"/>
        <w:snapToGrid w:val="0"/>
        <w:spacing w:line="560" w:lineRule="atLeast"/>
        <w:ind w:firstLineChars="192" w:firstLine="637"/>
        <w:jc w:val="both"/>
        <w:rPr>
          <w:rFonts w:ascii="仿宋" w:eastAsia="仿宋" w:hAnsi="仿宋"/>
          <w:spacing w:val="12"/>
          <w:sz w:val="32"/>
          <w:szCs w:val="32"/>
        </w:rPr>
      </w:pPr>
      <w:r>
        <w:rPr>
          <w:rFonts w:ascii="仿宋" w:eastAsia="仿宋" w:hAnsi="仿宋" w:hint="eastAsia"/>
          <w:spacing w:val="12"/>
          <w:sz w:val="32"/>
          <w:szCs w:val="32"/>
        </w:rPr>
        <w:t>（五）如</w:t>
      </w:r>
      <w:r w:rsidR="00345573">
        <w:rPr>
          <w:rFonts w:ascii="仿宋" w:eastAsia="仿宋" w:hAnsi="仿宋" w:hint="eastAsia"/>
          <w:spacing w:val="12"/>
          <w:sz w:val="32"/>
          <w:szCs w:val="32"/>
        </w:rPr>
        <w:t>出现</w:t>
      </w:r>
      <w:r>
        <w:rPr>
          <w:rFonts w:ascii="仿宋" w:eastAsia="仿宋" w:hAnsi="仿宋" w:hint="eastAsia"/>
          <w:spacing w:val="12"/>
          <w:sz w:val="32"/>
          <w:szCs w:val="32"/>
        </w:rPr>
        <w:t>被授权人和风险限额执行人出差、休假等原因短期不在岗的情况，你分行</w:t>
      </w:r>
      <w:r>
        <w:rPr>
          <w:rFonts w:ascii="仿宋" w:eastAsia="仿宋" w:hAnsi="仿宋"/>
          <w:spacing w:val="12"/>
          <w:sz w:val="32"/>
          <w:szCs w:val="32"/>
        </w:rPr>
        <w:t>金融市场部</w:t>
      </w:r>
      <w:r>
        <w:rPr>
          <w:rFonts w:ascii="仿宋" w:eastAsia="仿宋" w:hAnsi="仿宋" w:hint="eastAsia"/>
          <w:spacing w:val="12"/>
          <w:sz w:val="32"/>
          <w:szCs w:val="32"/>
        </w:rPr>
        <w:t>应及时办理转授权和风险限额临时调整事宜</w:t>
      </w:r>
      <w:r>
        <w:rPr>
          <w:rFonts w:ascii="仿宋" w:eastAsia="仿宋" w:hAnsi="仿宋"/>
          <w:spacing w:val="12"/>
          <w:sz w:val="32"/>
          <w:szCs w:val="32"/>
        </w:rPr>
        <w:t>，</w:t>
      </w:r>
      <w:r>
        <w:rPr>
          <w:rFonts w:ascii="仿宋" w:eastAsia="仿宋" w:hAnsi="仿宋" w:hint="eastAsia"/>
          <w:spacing w:val="12"/>
          <w:sz w:val="32"/>
          <w:szCs w:val="32"/>
        </w:rPr>
        <w:t>并妥善保存相关转授权文档备查。</w:t>
      </w:r>
    </w:p>
    <w:p w14:paraId="7ACE6A1D" w14:textId="77777777" w:rsidR="000B40BC" w:rsidRDefault="001403DD">
      <w:pPr>
        <w:widowControl w:val="0"/>
        <w:adjustRightInd w:val="0"/>
        <w:snapToGrid w:val="0"/>
        <w:spacing w:line="560" w:lineRule="atLeast"/>
        <w:ind w:firstLineChars="192" w:firstLine="637"/>
        <w:jc w:val="both"/>
        <w:rPr>
          <w:rFonts w:ascii="仿宋" w:eastAsia="仿宋" w:hAnsi="仿宋"/>
          <w:spacing w:val="12"/>
          <w:sz w:val="32"/>
          <w:szCs w:val="32"/>
        </w:rPr>
      </w:pPr>
      <w:r>
        <w:rPr>
          <w:rFonts w:ascii="仿宋" w:eastAsia="仿宋" w:hAnsi="仿宋" w:hint="eastAsia"/>
          <w:spacing w:val="12"/>
          <w:sz w:val="32"/>
          <w:szCs w:val="32"/>
        </w:rPr>
        <w:t>（六）如</w:t>
      </w:r>
      <w:r w:rsidR="00345573">
        <w:rPr>
          <w:rFonts w:ascii="仿宋" w:eastAsia="仿宋" w:hAnsi="仿宋" w:hint="eastAsia"/>
          <w:spacing w:val="12"/>
          <w:sz w:val="32"/>
          <w:szCs w:val="32"/>
        </w:rPr>
        <w:t>出现</w:t>
      </w:r>
      <w:r>
        <w:rPr>
          <w:rFonts w:ascii="仿宋" w:eastAsia="仿宋" w:hAnsi="仿宋"/>
          <w:spacing w:val="12"/>
          <w:sz w:val="32"/>
          <w:szCs w:val="32"/>
        </w:rPr>
        <w:t>新</w:t>
      </w:r>
      <w:r>
        <w:rPr>
          <w:rFonts w:ascii="仿宋" w:eastAsia="仿宋" w:hAnsi="仿宋" w:hint="eastAsia"/>
          <w:spacing w:val="12"/>
          <w:sz w:val="32"/>
          <w:szCs w:val="32"/>
        </w:rPr>
        <w:t>增</w:t>
      </w:r>
      <w:r>
        <w:rPr>
          <w:rFonts w:ascii="仿宋" w:eastAsia="仿宋" w:hAnsi="仿宋"/>
          <w:spacing w:val="12"/>
          <w:sz w:val="32"/>
          <w:szCs w:val="32"/>
        </w:rPr>
        <w:t>、停用投资组合</w:t>
      </w:r>
      <w:r>
        <w:rPr>
          <w:rFonts w:ascii="仿宋" w:eastAsia="仿宋" w:hAnsi="仿宋" w:hint="eastAsia"/>
          <w:spacing w:val="12"/>
          <w:sz w:val="32"/>
          <w:szCs w:val="32"/>
        </w:rPr>
        <w:t>或变更</w:t>
      </w:r>
      <w:r>
        <w:rPr>
          <w:rFonts w:ascii="仿宋" w:eastAsia="仿宋" w:hAnsi="仿宋"/>
          <w:spacing w:val="12"/>
          <w:sz w:val="32"/>
          <w:szCs w:val="32"/>
        </w:rPr>
        <w:t>组合经理</w:t>
      </w:r>
      <w:r>
        <w:rPr>
          <w:rFonts w:ascii="仿宋" w:eastAsia="仿宋" w:hAnsi="仿宋" w:hint="eastAsia"/>
          <w:spacing w:val="12"/>
          <w:sz w:val="32"/>
          <w:szCs w:val="32"/>
        </w:rPr>
        <w:t>权限</w:t>
      </w:r>
      <w:r>
        <w:rPr>
          <w:rFonts w:ascii="仿宋" w:eastAsia="仿宋" w:hAnsi="仿宋"/>
          <w:spacing w:val="12"/>
          <w:sz w:val="32"/>
          <w:szCs w:val="32"/>
        </w:rPr>
        <w:t>和限额的情况，</w:t>
      </w:r>
      <w:r>
        <w:rPr>
          <w:rFonts w:ascii="仿宋" w:eastAsia="仿宋" w:hAnsi="仿宋" w:hint="eastAsia"/>
          <w:spacing w:val="12"/>
          <w:sz w:val="32"/>
          <w:szCs w:val="32"/>
        </w:rPr>
        <w:t>你分行</w:t>
      </w:r>
      <w:r>
        <w:rPr>
          <w:rFonts w:ascii="仿宋" w:eastAsia="仿宋" w:hAnsi="仿宋"/>
          <w:spacing w:val="12"/>
          <w:sz w:val="32"/>
          <w:szCs w:val="32"/>
        </w:rPr>
        <w:t>金融市场部</w:t>
      </w:r>
      <w:r>
        <w:rPr>
          <w:rFonts w:ascii="仿宋" w:eastAsia="仿宋" w:hAnsi="仿宋" w:hint="eastAsia"/>
          <w:spacing w:val="12"/>
          <w:sz w:val="32"/>
          <w:szCs w:val="32"/>
        </w:rPr>
        <w:t>应</w:t>
      </w:r>
      <w:r>
        <w:rPr>
          <w:rFonts w:ascii="仿宋" w:eastAsia="仿宋" w:hAnsi="仿宋"/>
          <w:spacing w:val="12"/>
          <w:sz w:val="32"/>
          <w:szCs w:val="32"/>
        </w:rPr>
        <w:t>及时</w:t>
      </w:r>
      <w:r>
        <w:rPr>
          <w:rFonts w:ascii="仿宋" w:eastAsia="仿宋" w:hAnsi="仿宋" w:hint="eastAsia"/>
          <w:spacing w:val="12"/>
          <w:sz w:val="32"/>
          <w:szCs w:val="32"/>
        </w:rPr>
        <w:t>申请转授权调整。</w:t>
      </w:r>
    </w:p>
    <w:p w14:paraId="7ACE6A1E" w14:textId="71A74726" w:rsidR="000B40BC" w:rsidRDefault="006D4105">
      <w:pPr>
        <w:widowControl w:val="0"/>
        <w:adjustRightInd w:val="0"/>
        <w:snapToGrid w:val="0"/>
        <w:spacing w:line="560" w:lineRule="atLeast"/>
        <w:ind w:firstLineChars="192" w:firstLine="637"/>
        <w:jc w:val="both"/>
        <w:rPr>
          <w:rFonts w:ascii="仿宋" w:eastAsia="仿宋" w:hAnsi="仿宋"/>
          <w:spacing w:val="12"/>
          <w:sz w:val="32"/>
          <w:szCs w:val="32"/>
        </w:rPr>
      </w:pPr>
      <w:r>
        <w:rPr>
          <w:rFonts w:ascii="仿宋" w:eastAsia="仿宋" w:hAnsi="仿宋" w:hint="eastAsia"/>
          <w:spacing w:val="12"/>
          <w:sz w:val="32"/>
          <w:szCs w:val="32"/>
        </w:rPr>
        <w:t>你</w:t>
      </w:r>
      <w:bookmarkStart w:id="0" w:name="_GoBack"/>
      <w:bookmarkEnd w:id="0"/>
      <w:r w:rsidR="000D0A09">
        <w:rPr>
          <w:rFonts w:ascii="仿宋" w:eastAsia="仿宋" w:hAnsi="仿宋" w:hint="eastAsia"/>
          <w:spacing w:val="12"/>
          <w:sz w:val="32"/>
          <w:szCs w:val="32"/>
        </w:rPr>
        <w:t>分行金融市场</w:t>
      </w:r>
      <w:r w:rsidR="001403DD">
        <w:rPr>
          <w:rFonts w:ascii="仿宋" w:eastAsia="仿宋" w:hAnsi="仿宋" w:hint="eastAsia"/>
          <w:spacing w:val="12"/>
          <w:sz w:val="32"/>
          <w:szCs w:val="32"/>
        </w:rPr>
        <w:t>部相关业务转</w:t>
      </w:r>
      <w:r w:rsidR="001403DD">
        <w:rPr>
          <w:rFonts w:ascii="仿宋" w:eastAsia="仿宋" w:hAnsi="仿宋"/>
          <w:spacing w:val="12"/>
          <w:sz w:val="32"/>
          <w:szCs w:val="32"/>
        </w:rPr>
        <w:t>授权和风险限额</w:t>
      </w:r>
      <w:r w:rsidR="001403DD">
        <w:rPr>
          <w:rFonts w:ascii="仿宋" w:eastAsia="仿宋" w:hAnsi="仿宋" w:hint="eastAsia"/>
          <w:spacing w:val="12"/>
          <w:sz w:val="32"/>
          <w:szCs w:val="32"/>
        </w:rPr>
        <w:t>事宜本</w:t>
      </w:r>
      <w:r w:rsidR="001403DD">
        <w:rPr>
          <w:rFonts w:ascii="仿宋" w:eastAsia="仿宋" w:hAnsi="仿宋"/>
          <w:spacing w:val="12"/>
          <w:sz w:val="32"/>
          <w:szCs w:val="32"/>
        </w:rPr>
        <w:t>通知未予</w:t>
      </w:r>
      <w:r w:rsidR="001403DD">
        <w:rPr>
          <w:rFonts w:ascii="仿宋" w:eastAsia="仿宋" w:hAnsi="仿宋" w:hint="eastAsia"/>
          <w:spacing w:val="12"/>
          <w:sz w:val="32"/>
          <w:szCs w:val="32"/>
        </w:rPr>
        <w:t>明确</w:t>
      </w:r>
      <w:r w:rsidR="001403DD">
        <w:rPr>
          <w:rFonts w:ascii="仿宋" w:eastAsia="仿宋" w:hAnsi="仿宋"/>
          <w:spacing w:val="12"/>
          <w:sz w:val="32"/>
          <w:szCs w:val="32"/>
        </w:rPr>
        <w:t>的，</w:t>
      </w:r>
      <w:r w:rsidR="001403DD">
        <w:rPr>
          <w:rFonts w:ascii="仿宋" w:eastAsia="仿宋" w:hAnsi="仿宋" w:hint="eastAsia"/>
          <w:spacing w:val="12"/>
          <w:sz w:val="32"/>
          <w:szCs w:val="32"/>
        </w:rPr>
        <w:t>以</w:t>
      </w:r>
      <w:r w:rsidR="000D0A09">
        <w:rPr>
          <w:rFonts w:ascii="仿宋" w:eastAsia="仿宋" w:hAnsi="仿宋" w:hint="eastAsia"/>
          <w:spacing w:val="12"/>
          <w:sz w:val="32"/>
          <w:szCs w:val="32"/>
        </w:rPr>
        <w:t>总</w:t>
      </w:r>
      <w:r w:rsidR="001403DD">
        <w:rPr>
          <w:rFonts w:ascii="仿宋" w:eastAsia="仿宋" w:hAnsi="仿宋" w:hint="eastAsia"/>
          <w:spacing w:val="12"/>
          <w:sz w:val="32"/>
          <w:szCs w:val="32"/>
        </w:rPr>
        <w:t>行最</w:t>
      </w:r>
      <w:r w:rsidR="001403DD">
        <w:rPr>
          <w:rFonts w:ascii="仿宋" w:eastAsia="仿宋" w:hAnsi="仿宋"/>
          <w:spacing w:val="12"/>
          <w:sz w:val="32"/>
          <w:szCs w:val="32"/>
        </w:rPr>
        <w:t>新规定</w:t>
      </w:r>
      <w:r w:rsidR="001403DD">
        <w:rPr>
          <w:rFonts w:ascii="仿宋" w:eastAsia="仿宋" w:hAnsi="仿宋" w:hint="eastAsia"/>
          <w:spacing w:val="12"/>
          <w:sz w:val="32"/>
          <w:szCs w:val="32"/>
        </w:rPr>
        <w:t>为</w:t>
      </w:r>
      <w:r w:rsidR="001403DD">
        <w:rPr>
          <w:rFonts w:ascii="仿宋" w:eastAsia="仿宋" w:hAnsi="仿宋"/>
          <w:spacing w:val="12"/>
          <w:sz w:val="32"/>
          <w:szCs w:val="32"/>
        </w:rPr>
        <w:t>准。</w:t>
      </w:r>
    </w:p>
    <w:p w14:paraId="7ACE6A1F" w14:textId="0EF4C5D3" w:rsidR="000B40BC" w:rsidRDefault="001403DD">
      <w:pPr>
        <w:adjustRightInd w:val="0"/>
        <w:snapToGrid w:val="0"/>
        <w:spacing w:line="560" w:lineRule="atLeast"/>
        <w:ind w:firstLineChars="192" w:firstLine="637"/>
        <w:jc w:val="both"/>
        <w:rPr>
          <w:rFonts w:ascii="仿宋" w:eastAsia="仿宋" w:hAnsi="仿宋"/>
          <w:spacing w:val="12"/>
        </w:rPr>
      </w:pPr>
      <w:r>
        <w:rPr>
          <w:rFonts w:ascii="仿宋" w:eastAsia="仿宋" w:hAnsi="仿宋" w:hint="eastAsia"/>
          <w:spacing w:val="12"/>
          <w:sz w:val="32"/>
          <w:szCs w:val="32"/>
        </w:rPr>
        <w:t>本通知相关转授权和风险限额分配自</w:t>
      </w:r>
      <w:r w:rsidR="000D0A09">
        <w:rPr>
          <w:rFonts w:ascii="仿宋" w:eastAsia="仿宋" w:hAnsi="仿宋" w:hint="eastAsia"/>
          <w:spacing w:val="12"/>
          <w:sz w:val="32"/>
          <w:szCs w:val="32"/>
        </w:rPr>
        <w:t>总行金融市场</w:t>
      </w:r>
      <w:r>
        <w:rPr>
          <w:rFonts w:ascii="仿宋" w:eastAsia="仿宋" w:hAnsi="仿宋" w:hint="eastAsia"/>
          <w:spacing w:val="12"/>
          <w:sz w:val="32"/>
          <w:szCs w:val="32"/>
        </w:rPr>
        <w:t>部</w:t>
      </w:r>
      <w:r w:rsidR="000D0A09">
        <w:rPr>
          <w:rFonts w:ascii="仿宋" w:eastAsia="仿宋" w:hAnsi="仿宋" w:hint="eastAsia"/>
          <w:spacing w:val="12"/>
          <w:sz w:val="32"/>
          <w:szCs w:val="32"/>
        </w:rPr>
        <w:t>部门</w:t>
      </w:r>
      <w:r>
        <w:rPr>
          <w:rFonts w:ascii="仿宋" w:eastAsia="仿宋" w:hAnsi="仿宋" w:hint="eastAsia"/>
          <w:spacing w:val="12"/>
          <w:sz w:val="32"/>
          <w:szCs w:val="32"/>
        </w:rPr>
        <w:t>负责人签发之日起生效，有效期至202</w:t>
      </w:r>
      <w:r w:rsidR="00E716E0">
        <w:rPr>
          <w:rFonts w:ascii="仿宋" w:eastAsia="仿宋" w:hAnsi="仿宋"/>
          <w:spacing w:val="12"/>
          <w:sz w:val="32"/>
          <w:szCs w:val="32"/>
        </w:rPr>
        <w:t>2</w:t>
      </w:r>
      <w:r>
        <w:rPr>
          <w:rFonts w:ascii="仿宋" w:eastAsia="仿宋" w:hAnsi="仿宋" w:hint="eastAsia"/>
          <w:spacing w:val="12"/>
          <w:sz w:val="32"/>
          <w:szCs w:val="32"/>
        </w:rPr>
        <w:t>年度新转</w:t>
      </w:r>
      <w:r>
        <w:rPr>
          <w:rFonts w:ascii="仿宋" w:eastAsia="仿宋" w:hAnsi="仿宋"/>
          <w:spacing w:val="12"/>
          <w:sz w:val="32"/>
          <w:szCs w:val="32"/>
        </w:rPr>
        <w:t>授权和风险限额分配通知签发</w:t>
      </w:r>
      <w:r>
        <w:rPr>
          <w:rFonts w:ascii="仿宋" w:eastAsia="仿宋" w:hAnsi="仿宋" w:hint="eastAsia"/>
          <w:spacing w:val="12"/>
          <w:sz w:val="32"/>
          <w:szCs w:val="32"/>
        </w:rPr>
        <w:t>日之前一日。</w:t>
      </w:r>
    </w:p>
    <w:p w14:paraId="7ACE6A20" w14:textId="77777777" w:rsidR="000B40BC" w:rsidRDefault="000B40BC">
      <w:pPr>
        <w:widowControl w:val="0"/>
        <w:adjustRightInd w:val="0"/>
        <w:snapToGrid w:val="0"/>
        <w:spacing w:line="560" w:lineRule="atLeast"/>
        <w:ind w:firstLineChars="200" w:firstLine="664"/>
        <w:jc w:val="both"/>
        <w:rPr>
          <w:rFonts w:ascii="仿宋" w:eastAsia="仿宋" w:hAnsi="仿宋" w:cs="Times New Roman"/>
          <w:spacing w:val="12"/>
          <w:kern w:val="2"/>
          <w:sz w:val="32"/>
          <w:szCs w:val="32"/>
        </w:rPr>
      </w:pPr>
    </w:p>
    <w:p w14:paraId="7ACE6A22" w14:textId="20D37B90" w:rsidR="000B40BC" w:rsidRDefault="001403DD">
      <w:pPr>
        <w:widowControl w:val="0"/>
        <w:tabs>
          <w:tab w:val="left" w:pos="720"/>
          <w:tab w:val="left" w:pos="900"/>
        </w:tabs>
        <w:autoSpaceDE w:val="0"/>
        <w:autoSpaceDN w:val="0"/>
        <w:adjustRightInd w:val="0"/>
        <w:spacing w:after="120"/>
        <w:ind w:left="720"/>
        <w:jc w:val="both"/>
        <w:rPr>
          <w:rFonts w:ascii="仿宋_GB2312" w:eastAsia="仿宋_GB2312"/>
          <w:color w:val="000000"/>
          <w:sz w:val="32"/>
          <w:szCs w:val="32"/>
          <w:lang w:val="zh-CN"/>
        </w:rPr>
      </w:pPr>
      <w:r>
        <w:rPr>
          <w:rFonts w:ascii="仿宋" w:eastAsia="仿宋" w:hAnsi="仿宋" w:hint="eastAsia"/>
          <w:spacing w:val="12"/>
          <w:sz w:val="32"/>
          <w:szCs w:val="32"/>
        </w:rPr>
        <w:t>附件：资产组合及组合经理列表</w:t>
      </w:r>
    </w:p>
    <w:p w14:paraId="7ACE6A24" w14:textId="06D1E1F5" w:rsidR="000B40BC" w:rsidRDefault="000B40BC">
      <w:pPr>
        <w:widowControl w:val="0"/>
        <w:wordWrap w:val="0"/>
        <w:adjustRightInd w:val="0"/>
        <w:snapToGrid w:val="0"/>
        <w:spacing w:line="560" w:lineRule="atLeast"/>
        <w:ind w:firstLineChars="200" w:firstLine="664"/>
        <w:jc w:val="right"/>
        <w:rPr>
          <w:rFonts w:ascii="仿宋" w:eastAsia="仿宋" w:hAnsi="仿宋" w:cs="Times New Roman"/>
          <w:spacing w:val="12"/>
          <w:kern w:val="2"/>
          <w:sz w:val="32"/>
          <w:szCs w:val="32"/>
        </w:rPr>
        <w:sectPr w:rsidR="000B40BC">
          <w:pgSz w:w="11900" w:h="16840"/>
          <w:pgMar w:top="2098" w:right="1474" w:bottom="1985" w:left="1531" w:header="720" w:footer="720" w:gutter="0"/>
          <w:cols w:space="720"/>
          <w:docGrid w:linePitch="400"/>
        </w:sectPr>
      </w:pPr>
    </w:p>
    <w:p w14:paraId="7ACE6A25" w14:textId="77777777" w:rsidR="000B40BC" w:rsidRDefault="001403DD">
      <w:pPr>
        <w:adjustRightInd w:val="0"/>
        <w:snapToGrid w:val="0"/>
        <w:spacing w:line="560" w:lineRule="atLeast"/>
        <w:ind w:firstLineChars="200" w:firstLine="664"/>
        <w:rPr>
          <w:rFonts w:ascii="Calibri" w:eastAsia="仿宋" w:hAnsi="Calibri" w:cs="Calibri"/>
          <w:spacing w:val="12"/>
          <w:sz w:val="32"/>
          <w:szCs w:val="32"/>
        </w:rPr>
      </w:pPr>
      <w:r w:rsidRPr="00CA4BAA">
        <w:rPr>
          <w:rFonts w:ascii="Calibri" w:eastAsia="仿宋" w:hAnsi="Calibri" w:cs="Calibri" w:hint="eastAsia"/>
          <w:spacing w:val="12"/>
          <w:sz w:val="32"/>
          <w:szCs w:val="32"/>
        </w:rPr>
        <w:lastRenderedPageBreak/>
        <w:t>附件</w:t>
      </w:r>
      <w:r w:rsidR="00C42DDE" w:rsidRPr="00CA4BAA">
        <w:rPr>
          <w:rFonts w:ascii="Calibri" w:eastAsia="仿宋" w:hAnsi="Calibri" w:cs="Calibri" w:hint="eastAsia"/>
          <w:spacing w:val="12"/>
          <w:sz w:val="32"/>
          <w:szCs w:val="32"/>
        </w:rPr>
        <w:t>：</w:t>
      </w:r>
      <w:r w:rsidRPr="00CA4BAA">
        <w:rPr>
          <w:rFonts w:ascii="Calibri" w:eastAsia="仿宋" w:hAnsi="Calibri" w:cs="Calibri" w:hint="eastAsia"/>
          <w:spacing w:val="12"/>
          <w:sz w:val="32"/>
          <w:szCs w:val="32"/>
        </w:rPr>
        <w:t>资产组合及组合经理列表</w:t>
      </w:r>
    </w:p>
    <w:tbl>
      <w:tblPr>
        <w:tblW w:w="91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3786"/>
        <w:gridCol w:w="3786"/>
      </w:tblGrid>
      <w:tr w:rsidR="000B40BC" w14:paraId="7ACE6A29" w14:textId="77777777">
        <w:trPr>
          <w:trHeight w:val="285"/>
          <w:jc w:val="center"/>
        </w:trPr>
        <w:tc>
          <w:tcPr>
            <w:tcW w:w="1545" w:type="dxa"/>
            <w:vAlign w:val="center"/>
          </w:tcPr>
          <w:p w14:paraId="7ACE6A26" w14:textId="77777777" w:rsidR="000B40BC" w:rsidRDefault="001403DD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账户</w:t>
            </w:r>
          </w:p>
        </w:tc>
        <w:tc>
          <w:tcPr>
            <w:tcW w:w="3786" w:type="dxa"/>
            <w:vAlign w:val="center"/>
          </w:tcPr>
          <w:p w14:paraId="7ACE6A27" w14:textId="77777777" w:rsidR="000B40BC" w:rsidRDefault="001403DD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资产组合</w:t>
            </w:r>
          </w:p>
        </w:tc>
        <w:tc>
          <w:tcPr>
            <w:tcW w:w="3786" w:type="dxa"/>
            <w:vAlign w:val="center"/>
          </w:tcPr>
          <w:p w14:paraId="7ACE6A28" w14:textId="77777777" w:rsidR="000B40BC" w:rsidRDefault="001403DD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组合经理</w:t>
            </w:r>
          </w:p>
        </w:tc>
      </w:tr>
      <w:tr w:rsidR="000B40BC" w14:paraId="7ACE6A2D" w14:textId="77777777">
        <w:trPr>
          <w:trHeight w:val="490"/>
          <w:jc w:val="center"/>
        </w:trPr>
        <w:tc>
          <w:tcPr>
            <w:tcW w:w="1545" w:type="dxa"/>
            <w:vMerge w:val="restart"/>
            <w:vAlign w:val="center"/>
          </w:tcPr>
          <w:p w14:paraId="7ACE6A2A" w14:textId="77777777" w:rsidR="000B40BC" w:rsidRDefault="001403DD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交易账户</w:t>
            </w:r>
          </w:p>
        </w:tc>
        <w:tc>
          <w:tcPr>
            <w:tcW w:w="3786" w:type="dxa"/>
            <w:vAlign w:val="center"/>
          </w:tcPr>
          <w:p w14:paraId="7ACE6A2B" w14:textId="4B330932" w:rsidR="000B40BC" w:rsidRPr="00CA4BAA" w:rsidRDefault="001403DD" w:rsidP="00CA4BA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LDFX </w:t>
            </w:r>
            <w:r>
              <w:rPr>
                <w:rFonts w:ascii="宋体" w:hAnsi="宋体" w:cs="宋体" w:hint="eastAsia"/>
                <w:color w:val="000000"/>
              </w:rPr>
              <w:t>外汇即期</w:t>
            </w:r>
            <w:r w:rsidR="00CA4BAA">
              <w:rPr>
                <w:rFonts w:ascii="宋体" w:eastAsia="宋体" w:hAnsi="宋体" w:cs="宋体" w:hint="eastAsia"/>
                <w:color w:val="000000"/>
              </w:rPr>
              <w:t>、</w:t>
            </w:r>
            <w:r>
              <w:rPr>
                <w:rFonts w:ascii="宋体" w:hAnsi="宋体" w:cs="宋体" w:hint="eastAsia"/>
                <w:color w:val="000000"/>
              </w:rPr>
              <w:t>远掉期</w:t>
            </w:r>
            <w:r w:rsidR="00CA4BAA">
              <w:rPr>
                <w:rFonts w:ascii="宋体" w:eastAsia="宋体" w:hAnsi="宋体" w:cs="宋体" w:hint="eastAsia"/>
                <w:color w:val="000000"/>
              </w:rPr>
              <w:t>交易</w:t>
            </w:r>
          </w:p>
        </w:tc>
        <w:tc>
          <w:tcPr>
            <w:tcW w:w="3786" w:type="dxa"/>
            <w:vAlign w:val="center"/>
          </w:tcPr>
          <w:p w14:paraId="7ACE6A2C" w14:textId="20B08E32" w:rsidR="000B40BC" w:rsidRDefault="001403DD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Richard Thaiss,</w:t>
            </w:r>
            <w:r>
              <w:rPr>
                <w:rFonts w:ascii="宋体" w:hAnsi="宋体" w:cs="宋体" w:hint="eastAsia"/>
                <w:color w:val="000000"/>
              </w:rPr>
              <w:t>王任君，刘渤洋</w:t>
            </w:r>
            <w:r w:rsidR="00CA4BAA">
              <w:rPr>
                <w:rFonts w:ascii="宋体" w:eastAsia="宋体" w:hAnsi="宋体" w:cs="宋体" w:hint="eastAsia"/>
                <w:color w:val="000000"/>
              </w:rPr>
              <w:t>、</w:t>
            </w:r>
            <w:r w:rsidR="00CA4BAA" w:rsidRPr="00CA4BAA">
              <w:rPr>
                <w:rFonts w:ascii="宋体" w:hAnsi="宋体" w:cs="宋体" w:hint="eastAsia"/>
                <w:color w:val="000000"/>
              </w:rPr>
              <w:t>梁垚</w:t>
            </w:r>
          </w:p>
        </w:tc>
      </w:tr>
      <w:tr w:rsidR="00CA4BAA" w14:paraId="7ACE6A31" w14:textId="77777777" w:rsidTr="00705AAD">
        <w:trPr>
          <w:trHeight w:val="440"/>
          <w:jc w:val="center"/>
        </w:trPr>
        <w:tc>
          <w:tcPr>
            <w:tcW w:w="1545" w:type="dxa"/>
            <w:vMerge/>
            <w:vAlign w:val="center"/>
          </w:tcPr>
          <w:p w14:paraId="7ACE6A2E" w14:textId="77777777" w:rsidR="00CA4BAA" w:rsidRDefault="00CA4BAA" w:rsidP="00CA4BAA">
            <w:pPr>
              <w:rPr>
                <w:rFonts w:ascii="宋体" w:hAnsi="宋体" w:cs="宋体"/>
                <w:b/>
                <w:bCs/>
                <w:color w:val="000000"/>
              </w:rPr>
            </w:pPr>
          </w:p>
        </w:tc>
        <w:tc>
          <w:tcPr>
            <w:tcW w:w="3786" w:type="dxa"/>
            <w:vAlign w:val="center"/>
          </w:tcPr>
          <w:p w14:paraId="7ACE6A2F" w14:textId="2E28F65D" w:rsidR="00CA4BAA" w:rsidRPr="00CA4BAA" w:rsidRDefault="00CA4BAA" w:rsidP="00CA4BA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LTRD</w:t>
            </w:r>
            <w:r>
              <w:rPr>
                <w:rFonts w:ascii="宋体" w:hAnsi="宋体" w:cs="宋体"/>
                <w:color w:val="00000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</w:rPr>
              <w:t>外汇货币</w:t>
            </w:r>
            <w:r>
              <w:rPr>
                <w:rFonts w:ascii="宋体" w:eastAsia="宋体" w:hAnsi="宋体" w:cs="宋体"/>
                <w:color w:val="000000"/>
              </w:rPr>
              <w:t>掉期、利率</w:t>
            </w:r>
            <w:r>
              <w:rPr>
                <w:rFonts w:ascii="宋体" w:eastAsia="宋体" w:hAnsi="宋体" w:cs="宋体" w:hint="eastAsia"/>
                <w:color w:val="000000"/>
              </w:rPr>
              <w:t>掉期</w:t>
            </w:r>
            <w:r>
              <w:rPr>
                <w:rFonts w:ascii="宋体" w:eastAsia="宋体" w:hAnsi="宋体" w:cs="宋体"/>
                <w:color w:val="000000"/>
              </w:rPr>
              <w:t>交易</w:t>
            </w:r>
          </w:p>
        </w:tc>
        <w:tc>
          <w:tcPr>
            <w:tcW w:w="3786" w:type="dxa"/>
          </w:tcPr>
          <w:p w14:paraId="7ACE6A30" w14:textId="56CAFAC0" w:rsidR="00CA4BAA" w:rsidRDefault="00CA4BAA" w:rsidP="00CA4BAA">
            <w:pPr>
              <w:jc w:val="center"/>
              <w:rPr>
                <w:rFonts w:ascii="宋体" w:hAnsi="宋体" w:cs="宋体"/>
                <w:color w:val="000000"/>
              </w:rPr>
            </w:pPr>
            <w:r w:rsidRPr="00665AA5">
              <w:rPr>
                <w:rFonts w:ascii="宋体" w:hAnsi="宋体" w:cs="宋体"/>
                <w:color w:val="000000"/>
              </w:rPr>
              <w:t>Richard Thaiss,</w:t>
            </w:r>
            <w:r w:rsidRPr="00665AA5">
              <w:rPr>
                <w:rFonts w:ascii="宋体" w:hAnsi="宋体" w:cs="宋体" w:hint="eastAsia"/>
                <w:color w:val="000000"/>
              </w:rPr>
              <w:t>王任君，刘渤洋</w:t>
            </w:r>
            <w:r w:rsidRPr="00665AA5">
              <w:rPr>
                <w:rFonts w:ascii="宋体" w:eastAsia="宋体" w:hAnsi="宋体" w:cs="宋体" w:hint="eastAsia"/>
                <w:color w:val="000000"/>
              </w:rPr>
              <w:t>、</w:t>
            </w:r>
            <w:r w:rsidRPr="00665AA5">
              <w:rPr>
                <w:rFonts w:ascii="宋体" w:hAnsi="宋体" w:cs="宋体" w:hint="eastAsia"/>
                <w:color w:val="000000"/>
              </w:rPr>
              <w:t>梁垚</w:t>
            </w:r>
          </w:p>
        </w:tc>
      </w:tr>
      <w:tr w:rsidR="00CA4BAA" w14:paraId="7ACE6A35" w14:textId="77777777" w:rsidTr="00705AAD">
        <w:trPr>
          <w:trHeight w:val="440"/>
          <w:jc w:val="center"/>
        </w:trPr>
        <w:tc>
          <w:tcPr>
            <w:tcW w:w="1545" w:type="dxa"/>
            <w:vMerge/>
            <w:vAlign w:val="center"/>
          </w:tcPr>
          <w:p w14:paraId="7ACE6A32" w14:textId="77777777" w:rsidR="00CA4BAA" w:rsidRDefault="00CA4BAA" w:rsidP="00CA4BAA">
            <w:pPr>
              <w:rPr>
                <w:rFonts w:ascii="宋体" w:hAnsi="宋体" w:cs="宋体"/>
                <w:b/>
                <w:bCs/>
                <w:color w:val="000000"/>
              </w:rPr>
            </w:pPr>
          </w:p>
        </w:tc>
        <w:tc>
          <w:tcPr>
            <w:tcW w:w="3786" w:type="dxa"/>
            <w:vAlign w:val="center"/>
          </w:tcPr>
          <w:p w14:paraId="7ACE6A33" w14:textId="735A7859" w:rsidR="00CA4BAA" w:rsidRPr="00CA4BAA" w:rsidRDefault="00CA4BAA" w:rsidP="00CA4BA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LTSY</w:t>
            </w:r>
            <w:r>
              <w:rPr>
                <w:rFonts w:ascii="宋体" w:hAnsi="宋体" w:cs="宋体"/>
                <w:color w:val="00000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</w:rPr>
              <w:t>司库外汇</w:t>
            </w:r>
            <w:r>
              <w:rPr>
                <w:rFonts w:ascii="宋体" w:eastAsia="宋体" w:hAnsi="宋体" w:cs="宋体" w:hint="eastAsia"/>
                <w:color w:val="000000"/>
              </w:rPr>
              <w:t>交易</w:t>
            </w:r>
          </w:p>
        </w:tc>
        <w:tc>
          <w:tcPr>
            <w:tcW w:w="3786" w:type="dxa"/>
          </w:tcPr>
          <w:p w14:paraId="7ACE6A34" w14:textId="2E872B9D" w:rsidR="00CA4BAA" w:rsidRDefault="00CA4BAA" w:rsidP="00CA4BAA">
            <w:pPr>
              <w:jc w:val="center"/>
              <w:rPr>
                <w:rFonts w:ascii="宋体" w:hAnsi="宋体" w:cs="宋体"/>
                <w:color w:val="000000"/>
              </w:rPr>
            </w:pPr>
            <w:r w:rsidRPr="00665AA5">
              <w:rPr>
                <w:rFonts w:ascii="宋体" w:hAnsi="宋体" w:cs="宋体"/>
                <w:color w:val="000000"/>
              </w:rPr>
              <w:t>Richard Thaiss,</w:t>
            </w:r>
            <w:r w:rsidRPr="00665AA5">
              <w:rPr>
                <w:rFonts w:ascii="宋体" w:hAnsi="宋体" w:cs="宋体" w:hint="eastAsia"/>
                <w:color w:val="000000"/>
              </w:rPr>
              <w:t>王任君，刘渤洋</w:t>
            </w:r>
            <w:r w:rsidRPr="00665AA5">
              <w:rPr>
                <w:rFonts w:ascii="宋体" w:eastAsia="宋体" w:hAnsi="宋体" w:cs="宋体" w:hint="eastAsia"/>
                <w:color w:val="000000"/>
              </w:rPr>
              <w:t>、</w:t>
            </w:r>
            <w:r w:rsidRPr="00665AA5">
              <w:rPr>
                <w:rFonts w:ascii="宋体" w:hAnsi="宋体" w:cs="宋体" w:hint="eastAsia"/>
                <w:color w:val="000000"/>
              </w:rPr>
              <w:t>梁垚</w:t>
            </w:r>
          </w:p>
        </w:tc>
      </w:tr>
      <w:tr w:rsidR="00CA4BAA" w14:paraId="7ACE6A39" w14:textId="77777777" w:rsidTr="00705AAD">
        <w:trPr>
          <w:trHeight w:val="438"/>
          <w:jc w:val="center"/>
        </w:trPr>
        <w:tc>
          <w:tcPr>
            <w:tcW w:w="1545" w:type="dxa"/>
            <w:vMerge w:val="restart"/>
            <w:vAlign w:val="center"/>
          </w:tcPr>
          <w:p w14:paraId="7ACE6A36" w14:textId="77777777" w:rsidR="00CA4BAA" w:rsidRDefault="00CA4BAA" w:rsidP="00CA4BAA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银行账户</w:t>
            </w:r>
          </w:p>
        </w:tc>
        <w:tc>
          <w:tcPr>
            <w:tcW w:w="3786" w:type="dxa"/>
            <w:vAlign w:val="center"/>
          </w:tcPr>
          <w:p w14:paraId="7ACE6A37" w14:textId="1DEBA3A0" w:rsidR="00CA4BAA" w:rsidRPr="00CA4BAA" w:rsidRDefault="00CA4BAA" w:rsidP="00CA4BA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LDMM </w:t>
            </w:r>
            <w:r>
              <w:rPr>
                <w:rFonts w:ascii="宋体" w:eastAsia="宋体" w:hAnsi="宋体" w:cs="宋体" w:hint="eastAsia"/>
                <w:color w:val="000000"/>
              </w:rPr>
              <w:t>流动性管理</w:t>
            </w:r>
          </w:p>
        </w:tc>
        <w:tc>
          <w:tcPr>
            <w:tcW w:w="3786" w:type="dxa"/>
          </w:tcPr>
          <w:p w14:paraId="7ACE6A38" w14:textId="4254AAC7" w:rsidR="00CA4BAA" w:rsidRDefault="00CA4BAA" w:rsidP="00CA4BAA">
            <w:pPr>
              <w:jc w:val="center"/>
              <w:rPr>
                <w:rFonts w:ascii="宋体" w:hAnsi="宋体" w:cs="宋体"/>
                <w:color w:val="000000"/>
              </w:rPr>
            </w:pPr>
            <w:r w:rsidRPr="00665AA5">
              <w:rPr>
                <w:rFonts w:ascii="宋体" w:hAnsi="宋体" w:cs="宋体"/>
                <w:color w:val="000000"/>
              </w:rPr>
              <w:t>Richard Thaiss,</w:t>
            </w:r>
            <w:r w:rsidRPr="00665AA5">
              <w:rPr>
                <w:rFonts w:ascii="宋体" w:hAnsi="宋体" w:cs="宋体" w:hint="eastAsia"/>
                <w:color w:val="000000"/>
              </w:rPr>
              <w:t>王任君，刘渤洋</w:t>
            </w:r>
            <w:r w:rsidRPr="00665AA5">
              <w:rPr>
                <w:rFonts w:ascii="宋体" w:eastAsia="宋体" w:hAnsi="宋体" w:cs="宋体" w:hint="eastAsia"/>
                <w:color w:val="000000"/>
              </w:rPr>
              <w:t>、</w:t>
            </w:r>
            <w:r w:rsidRPr="00665AA5">
              <w:rPr>
                <w:rFonts w:ascii="宋体" w:hAnsi="宋体" w:cs="宋体" w:hint="eastAsia"/>
                <w:color w:val="000000"/>
              </w:rPr>
              <w:t>梁垚</w:t>
            </w:r>
          </w:p>
        </w:tc>
      </w:tr>
      <w:tr w:rsidR="00CA4BAA" w14:paraId="7ACE6A3D" w14:textId="77777777" w:rsidTr="00705AAD">
        <w:trPr>
          <w:trHeight w:val="440"/>
          <w:jc w:val="center"/>
        </w:trPr>
        <w:tc>
          <w:tcPr>
            <w:tcW w:w="1545" w:type="dxa"/>
            <w:vMerge/>
            <w:vAlign w:val="center"/>
          </w:tcPr>
          <w:p w14:paraId="7ACE6A3A" w14:textId="77777777" w:rsidR="00CA4BAA" w:rsidRDefault="00CA4BAA" w:rsidP="00CA4BAA">
            <w:pPr>
              <w:rPr>
                <w:rFonts w:ascii="宋体" w:hAnsi="宋体" w:cs="宋体"/>
                <w:b/>
                <w:bCs/>
                <w:color w:val="000000"/>
              </w:rPr>
            </w:pPr>
          </w:p>
        </w:tc>
        <w:tc>
          <w:tcPr>
            <w:tcW w:w="3786" w:type="dxa"/>
            <w:vAlign w:val="center"/>
          </w:tcPr>
          <w:p w14:paraId="7ACE6A3B" w14:textId="73F0EB6B" w:rsidR="00CA4BAA" w:rsidRDefault="00CA4BAA" w:rsidP="00CA4BAA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LLIQ </w:t>
            </w:r>
            <w:r>
              <w:rPr>
                <w:rFonts w:ascii="宋体" w:hAnsi="宋体" w:cs="宋体" w:hint="eastAsia"/>
                <w:color w:val="000000"/>
              </w:rPr>
              <w:t>司库债券</w:t>
            </w:r>
          </w:p>
        </w:tc>
        <w:tc>
          <w:tcPr>
            <w:tcW w:w="3786" w:type="dxa"/>
          </w:tcPr>
          <w:p w14:paraId="7ACE6A3C" w14:textId="38304164" w:rsidR="00CA4BAA" w:rsidRDefault="00CA4BAA" w:rsidP="00CA4BAA">
            <w:pPr>
              <w:jc w:val="center"/>
              <w:rPr>
                <w:rFonts w:ascii="宋体" w:hAnsi="宋体" w:cs="宋体"/>
                <w:color w:val="000000"/>
              </w:rPr>
            </w:pPr>
            <w:r w:rsidRPr="00665AA5">
              <w:rPr>
                <w:rFonts w:ascii="宋体" w:hAnsi="宋体" w:cs="宋体"/>
                <w:color w:val="000000"/>
              </w:rPr>
              <w:t>Richard Thaiss,</w:t>
            </w:r>
            <w:r w:rsidRPr="00665AA5">
              <w:rPr>
                <w:rFonts w:ascii="宋体" w:hAnsi="宋体" w:cs="宋体" w:hint="eastAsia"/>
                <w:color w:val="000000"/>
              </w:rPr>
              <w:t>王任君，刘渤洋</w:t>
            </w:r>
            <w:r w:rsidRPr="00665AA5">
              <w:rPr>
                <w:rFonts w:ascii="宋体" w:eastAsia="宋体" w:hAnsi="宋体" w:cs="宋体" w:hint="eastAsia"/>
                <w:color w:val="000000"/>
              </w:rPr>
              <w:t>、</w:t>
            </w:r>
            <w:r w:rsidRPr="00665AA5">
              <w:rPr>
                <w:rFonts w:ascii="宋体" w:hAnsi="宋体" w:cs="宋体" w:hint="eastAsia"/>
                <w:color w:val="000000"/>
              </w:rPr>
              <w:t>梁垚</w:t>
            </w:r>
          </w:p>
        </w:tc>
      </w:tr>
      <w:tr w:rsidR="00CA4BAA" w14:paraId="7ACE6A41" w14:textId="77777777" w:rsidTr="00705AAD">
        <w:trPr>
          <w:trHeight w:val="440"/>
          <w:jc w:val="center"/>
        </w:trPr>
        <w:tc>
          <w:tcPr>
            <w:tcW w:w="1545" w:type="dxa"/>
            <w:vMerge/>
            <w:vAlign w:val="center"/>
          </w:tcPr>
          <w:p w14:paraId="7ACE6A3E" w14:textId="77777777" w:rsidR="00CA4BAA" w:rsidRDefault="00CA4BAA" w:rsidP="00CA4BAA">
            <w:pPr>
              <w:rPr>
                <w:rFonts w:ascii="宋体" w:hAnsi="宋体" w:cs="宋体"/>
                <w:b/>
                <w:bCs/>
                <w:color w:val="000000"/>
              </w:rPr>
            </w:pPr>
          </w:p>
        </w:tc>
        <w:tc>
          <w:tcPr>
            <w:tcW w:w="3786" w:type="dxa"/>
            <w:vAlign w:val="center"/>
          </w:tcPr>
          <w:p w14:paraId="7ACE6A3F" w14:textId="77777777" w:rsidR="00CA4BAA" w:rsidRDefault="00CA4BAA" w:rsidP="00CA4BAA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LINV</w:t>
            </w:r>
            <w:r>
              <w:rPr>
                <w:rFonts w:ascii="宋体" w:hAnsi="宋体" w:cs="宋体"/>
                <w:color w:val="00000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</w:rPr>
              <w:t>外币债券投资</w:t>
            </w:r>
          </w:p>
        </w:tc>
        <w:tc>
          <w:tcPr>
            <w:tcW w:w="3786" w:type="dxa"/>
          </w:tcPr>
          <w:p w14:paraId="7ACE6A40" w14:textId="511F1DF3" w:rsidR="00CA4BAA" w:rsidRDefault="00CA4BAA" w:rsidP="00CA4BAA">
            <w:pPr>
              <w:jc w:val="center"/>
              <w:rPr>
                <w:rFonts w:ascii="宋体" w:hAnsi="宋体" w:cs="宋体"/>
                <w:color w:val="000000"/>
              </w:rPr>
            </w:pPr>
            <w:r w:rsidRPr="00665AA5">
              <w:rPr>
                <w:rFonts w:ascii="宋体" w:hAnsi="宋体" w:cs="宋体"/>
                <w:color w:val="000000"/>
              </w:rPr>
              <w:t>Richard Thaiss,</w:t>
            </w:r>
            <w:r w:rsidRPr="00665AA5">
              <w:rPr>
                <w:rFonts w:ascii="宋体" w:hAnsi="宋体" w:cs="宋体" w:hint="eastAsia"/>
                <w:color w:val="000000"/>
              </w:rPr>
              <w:t>王任君，刘渤洋</w:t>
            </w:r>
            <w:r w:rsidRPr="00665AA5">
              <w:rPr>
                <w:rFonts w:ascii="宋体" w:eastAsia="宋体" w:hAnsi="宋体" w:cs="宋体" w:hint="eastAsia"/>
                <w:color w:val="000000"/>
              </w:rPr>
              <w:t>、</w:t>
            </w:r>
            <w:r w:rsidRPr="00665AA5">
              <w:rPr>
                <w:rFonts w:ascii="宋体" w:hAnsi="宋体" w:cs="宋体" w:hint="eastAsia"/>
                <w:color w:val="000000"/>
              </w:rPr>
              <w:t>梁垚</w:t>
            </w:r>
          </w:p>
        </w:tc>
      </w:tr>
      <w:tr w:rsidR="00CA4BAA" w14:paraId="2B245685" w14:textId="77777777" w:rsidTr="00705AAD">
        <w:trPr>
          <w:trHeight w:val="440"/>
          <w:jc w:val="center"/>
        </w:trPr>
        <w:tc>
          <w:tcPr>
            <w:tcW w:w="1545" w:type="dxa"/>
            <w:vMerge/>
            <w:vAlign w:val="center"/>
          </w:tcPr>
          <w:p w14:paraId="4DAEBED7" w14:textId="77777777" w:rsidR="00CA4BAA" w:rsidRDefault="00CA4BAA" w:rsidP="00CA4BAA">
            <w:pPr>
              <w:rPr>
                <w:rFonts w:ascii="宋体" w:hAnsi="宋体" w:cs="宋体"/>
                <w:b/>
                <w:bCs/>
                <w:color w:val="000000"/>
              </w:rPr>
            </w:pPr>
          </w:p>
        </w:tc>
        <w:tc>
          <w:tcPr>
            <w:tcW w:w="3786" w:type="dxa"/>
            <w:vAlign w:val="center"/>
          </w:tcPr>
          <w:p w14:paraId="43DC1206" w14:textId="74CD2411" w:rsidR="00CA4BAA" w:rsidRPr="00CA4BAA" w:rsidRDefault="00CA4BAA" w:rsidP="00CA4BA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LCNV</w:t>
            </w: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</w:rPr>
              <w:t>人民币</w:t>
            </w:r>
            <w:r>
              <w:rPr>
                <w:rFonts w:ascii="宋体" w:eastAsia="宋体" w:hAnsi="宋体" w:cs="宋体"/>
                <w:color w:val="000000"/>
              </w:rPr>
              <w:t>债券投资</w:t>
            </w:r>
          </w:p>
        </w:tc>
        <w:tc>
          <w:tcPr>
            <w:tcW w:w="3786" w:type="dxa"/>
          </w:tcPr>
          <w:p w14:paraId="6CAC5ACD" w14:textId="31CCD942" w:rsidR="00CA4BAA" w:rsidRDefault="00CA4BAA" w:rsidP="00CA4BAA">
            <w:pPr>
              <w:jc w:val="center"/>
              <w:rPr>
                <w:rFonts w:ascii="宋体" w:hAnsi="宋体" w:cs="宋体"/>
                <w:color w:val="000000"/>
              </w:rPr>
            </w:pPr>
            <w:r w:rsidRPr="00665AA5">
              <w:rPr>
                <w:rFonts w:ascii="宋体" w:hAnsi="宋体" w:cs="宋体"/>
                <w:color w:val="000000"/>
              </w:rPr>
              <w:t>Richard Thaiss,</w:t>
            </w:r>
            <w:r w:rsidRPr="00665AA5">
              <w:rPr>
                <w:rFonts w:ascii="宋体" w:hAnsi="宋体" w:cs="宋体" w:hint="eastAsia"/>
                <w:color w:val="000000"/>
              </w:rPr>
              <w:t>王任君，刘渤洋</w:t>
            </w:r>
            <w:r w:rsidRPr="00665AA5">
              <w:rPr>
                <w:rFonts w:ascii="宋体" w:eastAsia="宋体" w:hAnsi="宋体" w:cs="宋体" w:hint="eastAsia"/>
                <w:color w:val="000000"/>
              </w:rPr>
              <w:t>、</w:t>
            </w:r>
            <w:r w:rsidRPr="00665AA5">
              <w:rPr>
                <w:rFonts w:ascii="宋体" w:hAnsi="宋体" w:cs="宋体" w:hint="eastAsia"/>
                <w:color w:val="000000"/>
              </w:rPr>
              <w:t>梁垚</w:t>
            </w:r>
          </w:p>
        </w:tc>
      </w:tr>
    </w:tbl>
    <w:p w14:paraId="7ACE6A42" w14:textId="77777777" w:rsidR="000B40BC" w:rsidRDefault="000B40BC">
      <w:pPr>
        <w:widowControl w:val="0"/>
        <w:wordWrap w:val="0"/>
        <w:adjustRightInd w:val="0"/>
        <w:snapToGrid w:val="0"/>
        <w:spacing w:line="560" w:lineRule="atLeast"/>
        <w:ind w:firstLineChars="200" w:firstLine="664"/>
        <w:jc w:val="right"/>
        <w:rPr>
          <w:rFonts w:ascii="仿宋" w:eastAsia="仿宋" w:hAnsi="仿宋" w:cs="Times New Roman"/>
          <w:spacing w:val="12"/>
          <w:kern w:val="2"/>
          <w:sz w:val="32"/>
          <w:szCs w:val="32"/>
        </w:rPr>
      </w:pPr>
    </w:p>
    <w:sectPr w:rsidR="000B40BC">
      <w:pgSz w:w="11900" w:h="16840"/>
      <w:pgMar w:top="2098" w:right="1474" w:bottom="1985" w:left="1531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AD2ACB" w14:textId="77777777" w:rsidR="00C85345" w:rsidRDefault="00C85345">
      <w:r>
        <w:separator/>
      </w:r>
    </w:p>
  </w:endnote>
  <w:endnote w:type="continuationSeparator" w:id="0">
    <w:p w14:paraId="014DDFF6" w14:textId="77777777" w:rsidR="00C85345" w:rsidRDefault="00C85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Microsoft YaHei UI"/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CE6A47" w14:textId="77777777" w:rsidR="000B40BC" w:rsidRDefault="001403DD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D4105">
      <w:rPr>
        <w:noProof/>
      </w:rPr>
      <w:t>1</w:t>
    </w:r>
    <w:r>
      <w:fldChar w:fldCharType="end"/>
    </w:r>
  </w:p>
  <w:p w14:paraId="7ACE6A48" w14:textId="77777777" w:rsidR="000B40BC" w:rsidRDefault="000B40B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9668831"/>
    </w:sdtPr>
    <w:sdtEndPr/>
    <w:sdtContent>
      <w:p w14:paraId="7ACE6A49" w14:textId="77777777" w:rsidR="000B40BC" w:rsidRDefault="001403D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4105" w:rsidRPr="006D4105">
          <w:rPr>
            <w:noProof/>
            <w:lang w:val="zh-CN"/>
          </w:rPr>
          <w:t>2</w:t>
        </w:r>
        <w:r>
          <w:fldChar w:fldCharType="end"/>
        </w:r>
      </w:p>
    </w:sdtContent>
  </w:sdt>
  <w:p w14:paraId="7ACE6A4A" w14:textId="77777777" w:rsidR="000B40BC" w:rsidRDefault="000B40B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4469DE" w14:textId="77777777" w:rsidR="00C85345" w:rsidRDefault="00C85345">
      <w:r>
        <w:separator/>
      </w:r>
    </w:p>
  </w:footnote>
  <w:footnote w:type="continuationSeparator" w:id="0">
    <w:p w14:paraId="47E34055" w14:textId="77777777" w:rsidR="00C85345" w:rsidRDefault="00C85345">
      <w:r>
        <w:continuationSeparator/>
      </w:r>
    </w:p>
  </w:footnote>
  <w:footnote w:id="1">
    <w:p w14:paraId="7ACE6A4B" w14:textId="77777777" w:rsidR="000B40BC" w:rsidRDefault="001403DD">
      <w:pPr>
        <w:pStyle w:val="aa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境内外</w:t>
      </w:r>
      <w:r>
        <w:t>交易</w:t>
      </w:r>
      <w:r>
        <w:rPr>
          <w:rFonts w:hint="eastAsia"/>
        </w:rPr>
        <w:t>名义本金</w:t>
      </w:r>
      <w:r>
        <w:t>和期限相同，方向相反，不得持有</w:t>
      </w:r>
      <w:r>
        <w:rPr>
          <w:rFonts w:hint="eastAsia"/>
        </w:rPr>
        <w:t>敞口</w:t>
      </w:r>
      <w:r>
        <w:t>。</w:t>
      </w:r>
    </w:p>
  </w:footnote>
  <w:footnote w:id="2">
    <w:p w14:paraId="005A6A63" w14:textId="77777777" w:rsidR="00130AE3" w:rsidRDefault="00130AE3" w:rsidP="00130AE3">
      <w:pPr>
        <w:pStyle w:val="aa"/>
      </w:pPr>
      <w:r w:rsidRPr="004436E3">
        <w:rPr>
          <w:rStyle w:val="ad"/>
        </w:rPr>
        <w:footnoteRef/>
      </w:r>
      <w:r w:rsidRPr="004436E3">
        <w:t xml:space="preserve"> </w:t>
      </w:r>
      <w:r w:rsidRPr="004436E3">
        <w:rPr>
          <w:rFonts w:hint="eastAsia"/>
        </w:rPr>
        <w:t>对</w:t>
      </w:r>
      <w:r w:rsidRPr="004436E3">
        <w:t>平均评级</w:t>
      </w:r>
      <w:r w:rsidRPr="004436E3">
        <w:rPr>
          <w:rFonts w:hint="eastAsia"/>
        </w:rPr>
        <w:t>、</w:t>
      </w:r>
      <w:r w:rsidRPr="004436E3">
        <w:rPr>
          <w:rFonts w:hint="eastAsia"/>
        </w:rPr>
        <w:t>BB</w:t>
      </w:r>
      <w:r w:rsidRPr="004436E3">
        <w:rPr>
          <w:rFonts w:hint="eastAsia"/>
        </w:rPr>
        <w:t>及</w:t>
      </w:r>
      <w:r w:rsidRPr="004436E3">
        <w:t>以下</w:t>
      </w:r>
      <w:r w:rsidRPr="004436E3">
        <w:rPr>
          <w:rFonts w:hint="eastAsia"/>
        </w:rPr>
        <w:t>评级</w:t>
      </w:r>
      <w:r w:rsidRPr="004436E3">
        <w:t>债券</w:t>
      </w:r>
      <w:r>
        <w:rPr>
          <w:rFonts w:hint="eastAsia"/>
        </w:rPr>
        <w:t>占比</w:t>
      </w:r>
      <w:r w:rsidRPr="004436E3">
        <w:t>指标，</w:t>
      </w:r>
      <w:r>
        <w:rPr>
          <w:rFonts w:hint="eastAsia"/>
        </w:rPr>
        <w:t>不含</w:t>
      </w:r>
      <w:r w:rsidRPr="004436E3">
        <w:rPr>
          <w:rFonts w:hint="eastAsia"/>
        </w:rPr>
        <w:t>中信银行集团内部子公司发行人</w:t>
      </w:r>
      <w:r w:rsidRPr="004436E3">
        <w:t>。</w:t>
      </w:r>
      <w:r w:rsidRPr="0069031A">
        <w:rPr>
          <w:rFonts w:eastAsiaTheme="minorEastAsia" w:cs="宋体"/>
        </w:rPr>
        <w:t>对于无评级债券</w:t>
      </w:r>
      <w:r w:rsidRPr="0069031A">
        <w:rPr>
          <w:rFonts w:eastAsiaTheme="minorEastAsia" w:cs="宋体" w:hint="eastAsia"/>
        </w:rPr>
        <w:t>，</w:t>
      </w:r>
      <w:r w:rsidRPr="0069031A">
        <w:rPr>
          <w:rFonts w:eastAsiaTheme="minorEastAsia" w:cs="宋体"/>
        </w:rPr>
        <w:t>如发行人或担保人、维好人、备用信用证提供人有境内评级，则豁免</w:t>
      </w:r>
      <w:r>
        <w:rPr>
          <w:rFonts w:eastAsiaTheme="minorEastAsia" w:cs="宋体" w:hint="eastAsia"/>
        </w:rPr>
        <w:t>境内</w:t>
      </w:r>
      <w:r w:rsidRPr="0069031A">
        <w:rPr>
          <w:rFonts w:eastAsiaTheme="minorEastAsia" w:cs="宋体"/>
        </w:rPr>
        <w:t>AA+</w:t>
      </w:r>
      <w:r w:rsidRPr="0069031A">
        <w:rPr>
          <w:rFonts w:eastAsiaTheme="minorEastAsia" w:cs="宋体"/>
        </w:rPr>
        <w:t>（含）以上评级债券</w:t>
      </w:r>
      <w:r>
        <w:rPr>
          <w:rFonts w:eastAsiaTheme="minorEastAsia" w:cs="宋体" w:hint="eastAsia"/>
        </w:rPr>
        <w:t>；</w:t>
      </w:r>
      <w:r w:rsidRPr="00825E7B">
        <w:rPr>
          <w:rFonts w:hint="eastAsia"/>
        </w:rPr>
        <w:t>维好人境内评级</w:t>
      </w:r>
      <w:r w:rsidRPr="00825E7B">
        <w:t>AAA</w:t>
      </w:r>
      <w:r w:rsidRPr="00825E7B">
        <w:t>以上的金融机构债</w:t>
      </w:r>
      <w:r>
        <w:rPr>
          <w:rFonts w:hint="eastAsia"/>
        </w:rPr>
        <w:t>不适用。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2895"/>
    <w:multiLevelType w:val="multilevel"/>
    <w:tmpl w:val="07E92895"/>
    <w:lvl w:ilvl="0">
      <w:start w:val="1"/>
      <w:numFmt w:val="decimal"/>
      <w:pStyle w:val="2"/>
      <w:suff w:val="space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pStyle w:val="3"/>
      <w:suff w:val="space"/>
      <w:lvlText w:val="%1.%2"/>
      <w:lvlJc w:val="left"/>
      <w:pPr>
        <w:ind w:left="992" w:hanging="567"/>
      </w:pPr>
      <w:rPr>
        <w:rFonts w:hint="eastAsia"/>
        <w:b/>
      </w:rPr>
    </w:lvl>
    <w:lvl w:ilvl="2">
      <w:start w:val="1"/>
      <w:numFmt w:val="decimal"/>
      <w:pStyle w:val="4"/>
      <w:suff w:val="space"/>
      <w:lvlText w:val="%1.%2.%3"/>
      <w:lvlJc w:val="left"/>
      <w:pPr>
        <w:ind w:left="1418" w:hanging="1418"/>
      </w:pPr>
      <w:rPr>
        <w:rFonts w:hint="eastAsia"/>
        <w:b/>
      </w:rPr>
    </w:lvl>
    <w:lvl w:ilvl="3">
      <w:start w:val="1"/>
      <w:numFmt w:val="decimal"/>
      <w:pStyle w:val="5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pStyle w:val="6"/>
      <w:lvlText w:val="%5."/>
      <w:lvlJc w:val="left"/>
      <w:pPr>
        <w:ind w:left="1418" w:hanging="1418"/>
      </w:pPr>
      <w:rPr>
        <w:rFonts w:hint="eastAsia"/>
        <w:b/>
        <w:sz w:val="28"/>
        <w:szCs w:val="28"/>
      </w:rPr>
    </w:lvl>
    <w:lvl w:ilvl="5">
      <w:start w:val="1"/>
      <w:numFmt w:val="decimal"/>
      <w:lvlText w:val="%6)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DF52342"/>
    <w:multiLevelType w:val="multilevel"/>
    <w:tmpl w:val="0DF52342"/>
    <w:lvl w:ilvl="0">
      <w:start w:val="1"/>
      <w:numFmt w:val="bullet"/>
      <w:suff w:val="space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106EC1"/>
    <w:multiLevelType w:val="multilevel"/>
    <w:tmpl w:val="1B106EC1"/>
    <w:lvl w:ilvl="0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3">
    <w:nsid w:val="45D25A6E"/>
    <w:multiLevelType w:val="multilevel"/>
    <w:tmpl w:val="45D25A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B243A"/>
    <w:multiLevelType w:val="multilevel"/>
    <w:tmpl w:val="53EB243A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AB731A4"/>
    <w:multiLevelType w:val="multilevel"/>
    <w:tmpl w:val="6AB731A4"/>
    <w:lvl w:ilvl="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077"/>
    <w:rsid w:val="00007632"/>
    <w:rsid w:val="00010A7D"/>
    <w:rsid w:val="000113C6"/>
    <w:rsid w:val="000301B3"/>
    <w:rsid w:val="00032883"/>
    <w:rsid w:val="0003314E"/>
    <w:rsid w:val="00047110"/>
    <w:rsid w:val="00052F1C"/>
    <w:rsid w:val="00066B90"/>
    <w:rsid w:val="00067E52"/>
    <w:rsid w:val="00082BE3"/>
    <w:rsid w:val="0008736F"/>
    <w:rsid w:val="00091615"/>
    <w:rsid w:val="00093ABE"/>
    <w:rsid w:val="00097280"/>
    <w:rsid w:val="000B40BC"/>
    <w:rsid w:val="000B6AD5"/>
    <w:rsid w:val="000D0A09"/>
    <w:rsid w:val="000D2933"/>
    <w:rsid w:val="000D4A67"/>
    <w:rsid w:val="000D5185"/>
    <w:rsid w:val="000E67A2"/>
    <w:rsid w:val="000F0C6E"/>
    <w:rsid w:val="000F3AAB"/>
    <w:rsid w:val="001021D6"/>
    <w:rsid w:val="001060F6"/>
    <w:rsid w:val="00107AC4"/>
    <w:rsid w:val="00110899"/>
    <w:rsid w:val="0011356B"/>
    <w:rsid w:val="00116077"/>
    <w:rsid w:val="00120911"/>
    <w:rsid w:val="00130AE3"/>
    <w:rsid w:val="001403DD"/>
    <w:rsid w:val="00144C67"/>
    <w:rsid w:val="00152BCD"/>
    <w:rsid w:val="00153390"/>
    <w:rsid w:val="00160E79"/>
    <w:rsid w:val="00174E22"/>
    <w:rsid w:val="001768E2"/>
    <w:rsid w:val="00183A29"/>
    <w:rsid w:val="001934BA"/>
    <w:rsid w:val="00195D83"/>
    <w:rsid w:val="001A06A2"/>
    <w:rsid w:val="001A078B"/>
    <w:rsid w:val="001A0E15"/>
    <w:rsid w:val="001A6A6A"/>
    <w:rsid w:val="001B4066"/>
    <w:rsid w:val="001B4FE3"/>
    <w:rsid w:val="001C1ACF"/>
    <w:rsid w:val="001E04BA"/>
    <w:rsid w:val="001F51DE"/>
    <w:rsid w:val="001F7981"/>
    <w:rsid w:val="0020346A"/>
    <w:rsid w:val="002133F5"/>
    <w:rsid w:val="00224117"/>
    <w:rsid w:val="00225749"/>
    <w:rsid w:val="00244CE9"/>
    <w:rsid w:val="00247DBD"/>
    <w:rsid w:val="002579EF"/>
    <w:rsid w:val="0026637C"/>
    <w:rsid w:val="00290199"/>
    <w:rsid w:val="00292B3F"/>
    <w:rsid w:val="00294C77"/>
    <w:rsid w:val="002B72A1"/>
    <w:rsid w:val="0030508A"/>
    <w:rsid w:val="00311442"/>
    <w:rsid w:val="00323AA6"/>
    <w:rsid w:val="0032619F"/>
    <w:rsid w:val="0034061C"/>
    <w:rsid w:val="00344A41"/>
    <w:rsid w:val="00345573"/>
    <w:rsid w:val="00346309"/>
    <w:rsid w:val="00347498"/>
    <w:rsid w:val="00352F38"/>
    <w:rsid w:val="003579C5"/>
    <w:rsid w:val="003612E3"/>
    <w:rsid w:val="003647EE"/>
    <w:rsid w:val="00365C55"/>
    <w:rsid w:val="003735E0"/>
    <w:rsid w:val="003B3B15"/>
    <w:rsid w:val="003B7062"/>
    <w:rsid w:val="003C415F"/>
    <w:rsid w:val="003C5768"/>
    <w:rsid w:val="003C660B"/>
    <w:rsid w:val="003E1147"/>
    <w:rsid w:val="003E26C2"/>
    <w:rsid w:val="003E5A0E"/>
    <w:rsid w:val="003E5D25"/>
    <w:rsid w:val="003F1FF2"/>
    <w:rsid w:val="003F7C3B"/>
    <w:rsid w:val="0040177B"/>
    <w:rsid w:val="00401C63"/>
    <w:rsid w:val="00407572"/>
    <w:rsid w:val="00413C0D"/>
    <w:rsid w:val="00416B5C"/>
    <w:rsid w:val="00424896"/>
    <w:rsid w:val="00433507"/>
    <w:rsid w:val="00437D84"/>
    <w:rsid w:val="00443A11"/>
    <w:rsid w:val="00452DAC"/>
    <w:rsid w:val="00457E67"/>
    <w:rsid w:val="0046440C"/>
    <w:rsid w:val="0047215F"/>
    <w:rsid w:val="00472B86"/>
    <w:rsid w:val="00477E11"/>
    <w:rsid w:val="00487311"/>
    <w:rsid w:val="00493B21"/>
    <w:rsid w:val="004954C0"/>
    <w:rsid w:val="0049684B"/>
    <w:rsid w:val="004A1452"/>
    <w:rsid w:val="004A28AA"/>
    <w:rsid w:val="004A3073"/>
    <w:rsid w:val="004A4379"/>
    <w:rsid w:val="004B5159"/>
    <w:rsid w:val="004C6EEE"/>
    <w:rsid w:val="004E0F74"/>
    <w:rsid w:val="004E5D7E"/>
    <w:rsid w:val="004E6FEC"/>
    <w:rsid w:val="004F0773"/>
    <w:rsid w:val="00506CED"/>
    <w:rsid w:val="00510295"/>
    <w:rsid w:val="00511A07"/>
    <w:rsid w:val="005312B6"/>
    <w:rsid w:val="00550C8B"/>
    <w:rsid w:val="00553104"/>
    <w:rsid w:val="00554905"/>
    <w:rsid w:val="00560A97"/>
    <w:rsid w:val="005744AA"/>
    <w:rsid w:val="00577B30"/>
    <w:rsid w:val="00586B8E"/>
    <w:rsid w:val="005B73A4"/>
    <w:rsid w:val="005B7DBF"/>
    <w:rsid w:val="005D6292"/>
    <w:rsid w:val="005D67D5"/>
    <w:rsid w:val="005E5F4D"/>
    <w:rsid w:val="005F6E2C"/>
    <w:rsid w:val="006040FC"/>
    <w:rsid w:val="006041D8"/>
    <w:rsid w:val="006049D5"/>
    <w:rsid w:val="0061075D"/>
    <w:rsid w:val="00615D30"/>
    <w:rsid w:val="00616510"/>
    <w:rsid w:val="00620D79"/>
    <w:rsid w:val="00621BA7"/>
    <w:rsid w:val="006416AF"/>
    <w:rsid w:val="0064605A"/>
    <w:rsid w:val="00654483"/>
    <w:rsid w:val="006554D0"/>
    <w:rsid w:val="006560C6"/>
    <w:rsid w:val="00695EC9"/>
    <w:rsid w:val="00697CBB"/>
    <w:rsid w:val="006A373F"/>
    <w:rsid w:val="006A440C"/>
    <w:rsid w:val="006A44B7"/>
    <w:rsid w:val="006A6D16"/>
    <w:rsid w:val="006D06F2"/>
    <w:rsid w:val="006D2324"/>
    <w:rsid w:val="006D4105"/>
    <w:rsid w:val="006E1E55"/>
    <w:rsid w:val="006E5199"/>
    <w:rsid w:val="006E52BF"/>
    <w:rsid w:val="007005B8"/>
    <w:rsid w:val="00717348"/>
    <w:rsid w:val="00722D1A"/>
    <w:rsid w:val="00723D2B"/>
    <w:rsid w:val="00730914"/>
    <w:rsid w:val="00735AA1"/>
    <w:rsid w:val="00746B41"/>
    <w:rsid w:val="0074759F"/>
    <w:rsid w:val="007642A7"/>
    <w:rsid w:val="007813F3"/>
    <w:rsid w:val="007A0381"/>
    <w:rsid w:val="007A4F17"/>
    <w:rsid w:val="007B529D"/>
    <w:rsid w:val="007C683F"/>
    <w:rsid w:val="007D10C9"/>
    <w:rsid w:val="007F0002"/>
    <w:rsid w:val="007F304A"/>
    <w:rsid w:val="007F550A"/>
    <w:rsid w:val="00800752"/>
    <w:rsid w:val="00814331"/>
    <w:rsid w:val="008162DD"/>
    <w:rsid w:val="00823CDB"/>
    <w:rsid w:val="00824F74"/>
    <w:rsid w:val="00850296"/>
    <w:rsid w:val="0085325C"/>
    <w:rsid w:val="00864F92"/>
    <w:rsid w:val="008650B9"/>
    <w:rsid w:val="00877DF2"/>
    <w:rsid w:val="008818A9"/>
    <w:rsid w:val="0089117A"/>
    <w:rsid w:val="00892C5C"/>
    <w:rsid w:val="00893C67"/>
    <w:rsid w:val="00896768"/>
    <w:rsid w:val="008A159C"/>
    <w:rsid w:val="008B0CFC"/>
    <w:rsid w:val="008C3EC9"/>
    <w:rsid w:val="008C4E70"/>
    <w:rsid w:val="008C4F9E"/>
    <w:rsid w:val="008C6DA9"/>
    <w:rsid w:val="008D0B89"/>
    <w:rsid w:val="008D571B"/>
    <w:rsid w:val="008E2E68"/>
    <w:rsid w:val="008E3F82"/>
    <w:rsid w:val="008F68C4"/>
    <w:rsid w:val="009012EB"/>
    <w:rsid w:val="00901F98"/>
    <w:rsid w:val="009109E4"/>
    <w:rsid w:val="00916AA7"/>
    <w:rsid w:val="009339B8"/>
    <w:rsid w:val="009431E2"/>
    <w:rsid w:val="00946CE3"/>
    <w:rsid w:val="00952E06"/>
    <w:rsid w:val="009575D7"/>
    <w:rsid w:val="00963863"/>
    <w:rsid w:val="0096437D"/>
    <w:rsid w:val="00965ED2"/>
    <w:rsid w:val="00970298"/>
    <w:rsid w:val="00970362"/>
    <w:rsid w:val="00977C14"/>
    <w:rsid w:val="00982D29"/>
    <w:rsid w:val="00985824"/>
    <w:rsid w:val="00986537"/>
    <w:rsid w:val="00987E94"/>
    <w:rsid w:val="00993ACB"/>
    <w:rsid w:val="00995CC7"/>
    <w:rsid w:val="00995DF7"/>
    <w:rsid w:val="009A07FF"/>
    <w:rsid w:val="009C6453"/>
    <w:rsid w:val="009E0695"/>
    <w:rsid w:val="009E426B"/>
    <w:rsid w:val="009E4789"/>
    <w:rsid w:val="009F1C5D"/>
    <w:rsid w:val="009F38E9"/>
    <w:rsid w:val="009F720E"/>
    <w:rsid w:val="00A01BED"/>
    <w:rsid w:val="00A0327D"/>
    <w:rsid w:val="00A03D26"/>
    <w:rsid w:val="00A06B45"/>
    <w:rsid w:val="00A11BBD"/>
    <w:rsid w:val="00A131A0"/>
    <w:rsid w:val="00A424AC"/>
    <w:rsid w:val="00A45A9A"/>
    <w:rsid w:val="00A47C79"/>
    <w:rsid w:val="00A60140"/>
    <w:rsid w:val="00A60E7B"/>
    <w:rsid w:val="00A646D6"/>
    <w:rsid w:val="00A70226"/>
    <w:rsid w:val="00A7759B"/>
    <w:rsid w:val="00A846A5"/>
    <w:rsid w:val="00A84910"/>
    <w:rsid w:val="00A90B54"/>
    <w:rsid w:val="00A91FD8"/>
    <w:rsid w:val="00AA58DE"/>
    <w:rsid w:val="00AC1527"/>
    <w:rsid w:val="00AC63CC"/>
    <w:rsid w:val="00AC6B17"/>
    <w:rsid w:val="00AF38A1"/>
    <w:rsid w:val="00AF622D"/>
    <w:rsid w:val="00B008DD"/>
    <w:rsid w:val="00B07084"/>
    <w:rsid w:val="00B07BBD"/>
    <w:rsid w:val="00B10769"/>
    <w:rsid w:val="00B57A03"/>
    <w:rsid w:val="00B76016"/>
    <w:rsid w:val="00B860A4"/>
    <w:rsid w:val="00B86C89"/>
    <w:rsid w:val="00BC1EF7"/>
    <w:rsid w:val="00BC61A8"/>
    <w:rsid w:val="00BD1C42"/>
    <w:rsid w:val="00BF1BD7"/>
    <w:rsid w:val="00BF55D1"/>
    <w:rsid w:val="00BF6E0B"/>
    <w:rsid w:val="00C037D5"/>
    <w:rsid w:val="00C15BA8"/>
    <w:rsid w:val="00C21AA4"/>
    <w:rsid w:val="00C21FA1"/>
    <w:rsid w:val="00C31121"/>
    <w:rsid w:val="00C333B3"/>
    <w:rsid w:val="00C42DDE"/>
    <w:rsid w:val="00C43101"/>
    <w:rsid w:val="00C667E5"/>
    <w:rsid w:val="00C85345"/>
    <w:rsid w:val="00CA4BAA"/>
    <w:rsid w:val="00CD00FF"/>
    <w:rsid w:val="00CD07CE"/>
    <w:rsid w:val="00CD3BA6"/>
    <w:rsid w:val="00CF3C61"/>
    <w:rsid w:val="00D04317"/>
    <w:rsid w:val="00D072F3"/>
    <w:rsid w:val="00D112D4"/>
    <w:rsid w:val="00D238EC"/>
    <w:rsid w:val="00D43140"/>
    <w:rsid w:val="00D47719"/>
    <w:rsid w:val="00D554C2"/>
    <w:rsid w:val="00D55E72"/>
    <w:rsid w:val="00D63644"/>
    <w:rsid w:val="00D7457B"/>
    <w:rsid w:val="00D74610"/>
    <w:rsid w:val="00D77E9A"/>
    <w:rsid w:val="00D80F34"/>
    <w:rsid w:val="00D8660F"/>
    <w:rsid w:val="00D97147"/>
    <w:rsid w:val="00DA2578"/>
    <w:rsid w:val="00DB0086"/>
    <w:rsid w:val="00DC153E"/>
    <w:rsid w:val="00DC2231"/>
    <w:rsid w:val="00DD107D"/>
    <w:rsid w:val="00DD1478"/>
    <w:rsid w:val="00DF0BCD"/>
    <w:rsid w:val="00DF65BE"/>
    <w:rsid w:val="00DF7763"/>
    <w:rsid w:val="00E015AA"/>
    <w:rsid w:val="00E1700F"/>
    <w:rsid w:val="00E30F2A"/>
    <w:rsid w:val="00E43875"/>
    <w:rsid w:val="00E45EB0"/>
    <w:rsid w:val="00E47475"/>
    <w:rsid w:val="00E53A1D"/>
    <w:rsid w:val="00E55F97"/>
    <w:rsid w:val="00E576B2"/>
    <w:rsid w:val="00E716E0"/>
    <w:rsid w:val="00E959AE"/>
    <w:rsid w:val="00EA7CD1"/>
    <w:rsid w:val="00EB0ACE"/>
    <w:rsid w:val="00EB58F2"/>
    <w:rsid w:val="00EB7BA9"/>
    <w:rsid w:val="00EC1D42"/>
    <w:rsid w:val="00EC6D61"/>
    <w:rsid w:val="00EC75CA"/>
    <w:rsid w:val="00ED0191"/>
    <w:rsid w:val="00EE3648"/>
    <w:rsid w:val="00F050C5"/>
    <w:rsid w:val="00F052EF"/>
    <w:rsid w:val="00F07E7F"/>
    <w:rsid w:val="00F1252F"/>
    <w:rsid w:val="00F137A2"/>
    <w:rsid w:val="00F20797"/>
    <w:rsid w:val="00F231E0"/>
    <w:rsid w:val="00F238D0"/>
    <w:rsid w:val="00F27004"/>
    <w:rsid w:val="00F32713"/>
    <w:rsid w:val="00F44E9E"/>
    <w:rsid w:val="00F45093"/>
    <w:rsid w:val="00F54C72"/>
    <w:rsid w:val="00F7043E"/>
    <w:rsid w:val="00F756C4"/>
    <w:rsid w:val="00F75FE1"/>
    <w:rsid w:val="00FA0AB5"/>
    <w:rsid w:val="00FB0E10"/>
    <w:rsid w:val="00FB15C8"/>
    <w:rsid w:val="00FB26AC"/>
    <w:rsid w:val="00FB57B6"/>
    <w:rsid w:val="00FC710E"/>
    <w:rsid w:val="00FD1FEC"/>
    <w:rsid w:val="00FD26EB"/>
    <w:rsid w:val="00FE0338"/>
    <w:rsid w:val="00FE3FCA"/>
    <w:rsid w:val="00FF164F"/>
    <w:rsid w:val="00FF19DB"/>
    <w:rsid w:val="00FF1C62"/>
    <w:rsid w:val="00FF4BE8"/>
    <w:rsid w:val="4495687F"/>
    <w:rsid w:val="5A40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CE68F1"/>
  <w15:docId w15:val="{8D5DAF0F-22F2-4CB9-8EAA-77B3064D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widowControl w:val="0"/>
      <w:numPr>
        <w:numId w:val="1"/>
      </w:numPr>
      <w:spacing w:before="260" w:after="260" w:line="416" w:lineRule="auto"/>
      <w:jc w:val="both"/>
      <w:outlineLvl w:val="1"/>
    </w:pPr>
    <w:rPr>
      <w:rFonts w:asciiTheme="majorHAnsi" w:eastAsia="黑体" w:hAnsiTheme="majorHAnsi" w:cstheme="majorBidi"/>
      <w:b/>
      <w:bCs/>
      <w:kern w:val="2"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60" w:after="260" w:line="416" w:lineRule="auto"/>
      <w:jc w:val="both"/>
      <w:outlineLvl w:val="2"/>
    </w:pPr>
    <w:rPr>
      <w:rFonts w:ascii="仿宋" w:eastAsia="楷体_GB2312" w:hAnsi="仿宋"/>
      <w:b/>
      <w:bCs/>
      <w:kern w:val="2"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280" w:after="290" w:line="376" w:lineRule="auto"/>
      <w:jc w:val="both"/>
      <w:outlineLvl w:val="3"/>
    </w:pPr>
    <w:rPr>
      <w:rFonts w:ascii="仿宋" w:eastAsia="仿宋" w:hAnsi="仿宋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4"/>
    </w:pPr>
    <w:rPr>
      <w:rFonts w:ascii="仿宋" w:eastAsia="仿宋" w:hAnsi="仿宋"/>
      <w:bCs/>
      <w:kern w:val="2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240" w:after="64" w:line="320" w:lineRule="auto"/>
      <w:jc w:val="both"/>
      <w:outlineLvl w:val="5"/>
    </w:pPr>
    <w:rPr>
      <w:rFonts w:ascii="仿宋" w:eastAsia="仿宋" w:hAnsi="仿宋" w:cstheme="majorBidi"/>
      <w:bCs/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  <w:sz w:val="20"/>
      <w:szCs w:val="20"/>
    </w:rPr>
  </w:style>
  <w:style w:type="paragraph" w:styleId="a4">
    <w:name w:val="annotation text"/>
    <w:basedOn w:val="a"/>
    <w:link w:val="Char0"/>
    <w:uiPriority w:val="99"/>
    <w:unhideWhenUsed/>
  </w:style>
  <w:style w:type="paragraph" w:styleId="a5">
    <w:name w:val="Body Text"/>
    <w:basedOn w:val="a"/>
    <w:link w:val="Char1"/>
    <w:pPr>
      <w:spacing w:before="120" w:after="200"/>
      <w:jc w:val="both"/>
    </w:pPr>
    <w:rPr>
      <w:rFonts w:ascii="Times New Roman" w:eastAsia="宋体" w:hAnsi="Times New Roman" w:cs="Times New Roman"/>
      <w:kern w:val="2"/>
      <w:lang w:eastAsia="en-US" w:bidi="en-US"/>
    </w:rPr>
  </w:style>
  <w:style w:type="paragraph" w:styleId="a6">
    <w:name w:val="Date"/>
    <w:basedOn w:val="a"/>
    <w:next w:val="a"/>
    <w:link w:val="Char2"/>
    <w:pPr>
      <w:widowControl w:val="0"/>
      <w:ind w:leftChars="2500" w:left="100"/>
      <w:jc w:val="both"/>
    </w:pPr>
    <w:rPr>
      <w:rFonts w:ascii="Times New Roman" w:eastAsia="宋体" w:hAnsi="Times New Roman" w:cs="Times New Roman"/>
      <w:kern w:val="2"/>
      <w:sz w:val="28"/>
      <w:szCs w:val="28"/>
      <w:lang w:val="zh-CN"/>
    </w:rPr>
  </w:style>
  <w:style w:type="paragraph" w:styleId="a7">
    <w:name w:val="Balloon Text"/>
    <w:basedOn w:val="a"/>
    <w:link w:val="Char3"/>
    <w:uiPriority w:val="99"/>
    <w:unhideWhenUsed/>
    <w:rPr>
      <w:rFonts w:ascii="Times New Roman" w:hAnsi="Times New Roman" w:cs="Times New Roman"/>
      <w:sz w:val="18"/>
      <w:szCs w:val="18"/>
    </w:rPr>
  </w:style>
  <w:style w:type="paragraph" w:styleId="a8">
    <w:name w:val="footer"/>
    <w:basedOn w:val="a"/>
    <w:link w:val="Char4"/>
    <w:uiPriority w:val="99"/>
    <w:unhideWhenUsed/>
    <w:pPr>
      <w:tabs>
        <w:tab w:val="center" w:pos="4153"/>
        <w:tab w:val="right" w:pos="8306"/>
      </w:tabs>
    </w:pPr>
  </w:style>
  <w:style w:type="paragraph" w:styleId="a9">
    <w:name w:val="header"/>
    <w:basedOn w:val="a"/>
    <w:link w:val="Char5"/>
    <w:uiPriority w:val="99"/>
    <w:unhideWhenUsed/>
    <w:pPr>
      <w:tabs>
        <w:tab w:val="center" w:pos="4153"/>
        <w:tab w:val="right" w:pos="8306"/>
      </w:tabs>
    </w:pPr>
  </w:style>
  <w:style w:type="paragraph" w:styleId="aa">
    <w:name w:val="footnote text"/>
    <w:basedOn w:val="a"/>
    <w:link w:val="Char6"/>
    <w:uiPriority w:val="99"/>
    <w:unhideWhenUsed/>
    <w:qFormat/>
    <w:pPr>
      <w:widowControl w:val="0"/>
      <w:snapToGrid w:val="0"/>
    </w:pPr>
    <w:rPr>
      <w:rFonts w:ascii="Times New Roman" w:eastAsia="宋体" w:hAnsi="Times New Roman" w:cs="Times New Roman"/>
      <w:sz w:val="18"/>
      <w:szCs w:val="18"/>
      <w:lang w:val="zh-CN"/>
    </w:rPr>
  </w:style>
  <w:style w:type="paragraph" w:styleId="ab">
    <w:name w:val="Title"/>
    <w:basedOn w:val="a"/>
    <w:next w:val="a"/>
    <w:link w:val="Char7"/>
    <w:qFormat/>
    <w:pPr>
      <w:widowControl w:val="0"/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2"/>
      <w:sz w:val="32"/>
      <w:szCs w:val="32"/>
    </w:rPr>
  </w:style>
  <w:style w:type="character" w:styleId="ac">
    <w:name w:val="annotation reference"/>
    <w:basedOn w:val="a0"/>
    <w:uiPriority w:val="99"/>
    <w:unhideWhenUsed/>
    <w:rPr>
      <w:sz w:val="18"/>
      <w:szCs w:val="18"/>
    </w:rPr>
  </w:style>
  <w:style w:type="character" w:styleId="ad">
    <w:name w:val="footnote reference"/>
    <w:uiPriority w:val="99"/>
    <w:unhideWhenUsed/>
    <w:qFormat/>
    <w:rPr>
      <w:vertAlign w:val="superscript"/>
    </w:rPr>
  </w:style>
  <w:style w:type="table" w:styleId="ae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标题 Char"/>
    <w:basedOn w:val="a0"/>
    <w:link w:val="ab"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1">
    <w:name w:val="列表段落1"/>
    <w:basedOn w:val="a"/>
    <w:link w:val="Char8"/>
    <w:uiPriority w:val="34"/>
    <w:qFormat/>
    <w:pPr>
      <w:ind w:left="720"/>
      <w:contextualSpacing/>
    </w:p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rPr>
      <w:b/>
      <w:bCs/>
      <w:sz w:val="20"/>
      <w:szCs w:val="20"/>
    </w:rPr>
  </w:style>
  <w:style w:type="character" w:customStyle="1" w:styleId="Char3">
    <w:name w:val="批注框文本 Char"/>
    <w:basedOn w:val="a0"/>
    <w:link w:val="a7"/>
    <w:uiPriority w:val="99"/>
    <w:semiHidden/>
    <w:rPr>
      <w:rFonts w:ascii="Times New Roman" w:hAnsi="Times New Roman" w:cs="Times New Roman"/>
      <w:sz w:val="18"/>
      <w:szCs w:val="18"/>
    </w:rPr>
  </w:style>
  <w:style w:type="character" w:customStyle="1" w:styleId="Char5">
    <w:name w:val="页眉 Char"/>
    <w:basedOn w:val="a0"/>
    <w:link w:val="a9"/>
    <w:uiPriority w:val="99"/>
  </w:style>
  <w:style w:type="character" w:customStyle="1" w:styleId="Char4">
    <w:name w:val="页脚 Char"/>
    <w:basedOn w:val="a0"/>
    <w:link w:val="a8"/>
    <w:uiPriority w:val="99"/>
  </w:style>
  <w:style w:type="character" w:customStyle="1" w:styleId="Char1">
    <w:name w:val="正文文本 Char"/>
    <w:basedOn w:val="a0"/>
    <w:link w:val="a5"/>
    <w:rPr>
      <w:rFonts w:ascii="Times New Roman" w:eastAsia="宋体" w:hAnsi="Times New Roman" w:cs="Times New Roman"/>
      <w:kern w:val="2"/>
      <w:lang w:eastAsia="en-US" w:bidi="en-US"/>
    </w:rPr>
  </w:style>
  <w:style w:type="character" w:customStyle="1" w:styleId="Char6">
    <w:name w:val="脚注文本 Char"/>
    <w:basedOn w:val="a0"/>
    <w:link w:val="aa"/>
    <w:uiPriority w:val="99"/>
    <w:qFormat/>
    <w:rPr>
      <w:rFonts w:ascii="Times New Roman" w:eastAsia="宋体" w:hAnsi="Times New Roman" w:cs="Times New Roman"/>
      <w:sz w:val="18"/>
      <w:szCs w:val="18"/>
      <w:lang w:val="zh-CN" w:eastAsia="zh-CN"/>
    </w:rPr>
  </w:style>
  <w:style w:type="paragraph" w:customStyle="1" w:styleId="NormalNewNewNew">
    <w:name w:val="Normal New New New"/>
    <w:pPr>
      <w:widowControl w:val="0"/>
      <w:spacing w:line="560" w:lineRule="exact"/>
      <w:ind w:firstLineChars="200" w:firstLine="200"/>
      <w:jc w:val="both"/>
    </w:pPr>
    <w:rPr>
      <w:rFonts w:ascii="Times New Roman" w:eastAsia="仿宋_GB2312" w:hAnsi="Times New Roman" w:cs="Times New Roman" w:hint="eastAsia"/>
      <w:kern w:val="2"/>
      <w:sz w:val="32"/>
    </w:rPr>
  </w:style>
  <w:style w:type="paragraph" w:customStyle="1" w:styleId="10">
    <w:name w:val="修订1"/>
    <w:hidden/>
    <w:uiPriority w:val="99"/>
    <w:semiHidden/>
    <w:rPr>
      <w:sz w:val="24"/>
      <w:szCs w:val="2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="黑体" w:hAnsiTheme="majorHAnsi" w:cstheme="majorBidi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uiPriority w:val="9"/>
    <w:rPr>
      <w:rFonts w:ascii="仿宋" w:eastAsia="楷体_GB2312" w:hAnsi="仿宋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Pr>
      <w:rFonts w:ascii="仿宋" w:eastAsia="仿宋" w:hAnsi="仿宋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rFonts w:ascii="仿宋" w:eastAsia="仿宋" w:hAnsi="仿宋"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Pr>
      <w:rFonts w:ascii="仿宋" w:eastAsia="仿宋" w:hAnsi="仿宋" w:cstheme="majorBidi"/>
      <w:bCs/>
      <w:kern w:val="2"/>
      <w:sz w:val="28"/>
    </w:rPr>
  </w:style>
  <w:style w:type="character" w:customStyle="1" w:styleId="Char2">
    <w:name w:val="日期 Char"/>
    <w:basedOn w:val="a0"/>
    <w:link w:val="a6"/>
    <w:rPr>
      <w:rFonts w:ascii="Times New Roman" w:eastAsia="宋体" w:hAnsi="Times New Roman" w:cs="Times New Roman"/>
      <w:kern w:val="2"/>
      <w:sz w:val="28"/>
      <w:szCs w:val="28"/>
      <w:lang w:val="zh-CN"/>
    </w:rPr>
  </w:style>
  <w:style w:type="character" w:customStyle="1" w:styleId="Char8">
    <w:name w:val="列出段落 Char"/>
    <w:link w:val="1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4DEE83711D75744A92AC32C445F6BB6" ma:contentTypeVersion="0" ma:contentTypeDescription="新建文档。" ma:contentTypeScope="" ma:versionID="3e2a4fa624c43eefb88f31cf99f10c39">
  <xsd:schema xmlns:xsd="http://www.w3.org/2001/XMLSchema" xmlns:xs="http://www.w3.org/2001/XMLSchema" xmlns:p="http://schemas.microsoft.com/office/2006/metadata/properties" xmlns:ns2="033b4251-a59a-4cf2-9261-a123672fc30b" targetNamespace="http://schemas.microsoft.com/office/2006/metadata/properties" ma:root="true" ma:fieldsID="0093f9b4954f23ca14c6632b71bdfee9" ns2:_="">
    <xsd:import namespace="033b4251-a59a-4cf2-9261-a123672fc30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b4251-a59a-4cf2-9261-a123672fc3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33b4251-a59a-4cf2-9261-a123672fc30b">6SFWCU267MRR-11-198609</_dlc_DocId>
    <_dlc_DocIdUrl xmlns="033b4251-a59a-4cf2-9261-a123672fc30b">
      <Url>http://itdoc.citicbank.com/_layouts/15/DocIdRedir.aspx?ID=6SFWCU267MRR-11-198609</Url>
      <Description>6SFWCU267MRR-11-198609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E9AD7-3614-4003-8660-350722B2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3b4251-a59a-4cf2-9261-a123672fc3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8BFED3-34DB-4703-9FFE-BFEB4E04E28D}">
  <ds:schemaRefs>
    <ds:schemaRef ds:uri="033b4251-a59a-4cf2-9261-a123672fc30b"/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D69C520-F766-4370-AAB5-00D680609C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566C16A5-45FA-4CDB-B1FE-41E38C0FAA60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27339344-D2F5-49AA-A62A-F26FD73AD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June</dc:creator>
  <cp:lastModifiedBy>陈曦</cp:lastModifiedBy>
  <cp:revision>17</cp:revision>
  <cp:lastPrinted>2019-02-25T09:03:00Z</cp:lastPrinted>
  <dcterms:created xsi:type="dcterms:W3CDTF">2020-02-24T01:22:00Z</dcterms:created>
  <dcterms:modified xsi:type="dcterms:W3CDTF">2021-03-03T08:14:00Z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69123168-1631-43b8-8d5f-d14309f5880f</vt:lpwstr>
  </property>
  <property fmtid="{D5CDD505-2E9C-101B-9397-08002B2CF9AE}" pid="3" name="ContentTypeId">
    <vt:lpwstr>0x01010074DEE83711D75744A92AC32C445F6BB6</vt:lpwstr>
  </property>
  <property fmtid="{D5CDD505-2E9C-101B-9397-08002B2CF9AE}" pid="4" name="KSOProductBuildVer">
    <vt:lpwstr>2052-10.1.0.6205</vt:lpwstr>
  </property>
</Properties>
</file>