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17A74" w14:textId="77777777" w:rsidR="005E59B8" w:rsidRDefault="005E59B8" w:rsidP="005E59B8">
      <w:pPr>
        <w:widowControl/>
        <w:pBdr>
          <w:bottom w:val="single" w:sz="6" w:space="4" w:color="7F7F7F"/>
        </w:pBdr>
        <w:jc w:val="center"/>
        <w:rPr>
          <w:rFonts w:ascii="方正小标宋简体" w:eastAsia="方正小标宋简体" w:hAnsi="Calibri Light"/>
          <w:kern w:val="0"/>
          <w:sz w:val="72"/>
          <w:szCs w:val="108"/>
        </w:rPr>
      </w:pPr>
      <w:bookmarkStart w:id="0" w:name="_GoBack"/>
      <w:bookmarkEnd w:id="0"/>
    </w:p>
    <w:p w14:paraId="33317A75" w14:textId="77777777" w:rsidR="005E59B8" w:rsidRDefault="005E59B8" w:rsidP="005E59B8">
      <w:pPr>
        <w:widowControl/>
        <w:pBdr>
          <w:bottom w:val="single" w:sz="6" w:space="4" w:color="7F7F7F"/>
        </w:pBdr>
        <w:jc w:val="center"/>
        <w:rPr>
          <w:rFonts w:ascii="方正小标宋简体" w:eastAsia="方正小标宋简体" w:hAnsi="Calibri Light"/>
          <w:kern w:val="0"/>
          <w:sz w:val="72"/>
          <w:szCs w:val="108"/>
        </w:rPr>
      </w:pPr>
    </w:p>
    <w:p w14:paraId="33317A76" w14:textId="77777777" w:rsidR="005E59B8" w:rsidRDefault="005E59B8" w:rsidP="005E59B8">
      <w:pPr>
        <w:widowControl/>
        <w:pBdr>
          <w:bottom w:val="single" w:sz="6" w:space="4" w:color="7F7F7F"/>
        </w:pBdr>
        <w:jc w:val="center"/>
        <w:rPr>
          <w:rFonts w:ascii="方正小标宋简体" w:eastAsia="方正小标宋简体" w:hAnsi="Calibri Light"/>
          <w:kern w:val="0"/>
          <w:sz w:val="72"/>
          <w:szCs w:val="108"/>
        </w:rPr>
      </w:pPr>
    </w:p>
    <w:p w14:paraId="476CB520" w14:textId="77777777" w:rsidR="001773EC" w:rsidRDefault="00887955" w:rsidP="005E59B8">
      <w:pPr>
        <w:widowControl/>
        <w:pBdr>
          <w:bottom w:val="single" w:sz="6" w:space="4" w:color="7F7F7F"/>
        </w:pBdr>
        <w:jc w:val="center"/>
        <w:rPr>
          <w:rFonts w:ascii="方正小标宋简体" w:eastAsia="方正小标宋简体" w:hAnsi="Calibri Light"/>
          <w:kern w:val="0"/>
          <w:sz w:val="52"/>
          <w:szCs w:val="52"/>
        </w:rPr>
      </w:pPr>
      <w:r w:rsidRPr="00887955">
        <w:rPr>
          <w:rFonts w:ascii="方正小标宋简体" w:eastAsia="方正小标宋简体" w:hAnsi="Calibri Light"/>
          <w:kern w:val="0"/>
          <w:sz w:val="52"/>
          <w:szCs w:val="52"/>
        </w:rPr>
        <w:t>2022</w:t>
      </w:r>
      <w:r w:rsidRPr="00887955">
        <w:rPr>
          <w:rFonts w:ascii="方正小标宋简体" w:eastAsia="方正小标宋简体" w:hAnsi="Calibri Light" w:hint="eastAsia"/>
          <w:kern w:val="0"/>
          <w:sz w:val="52"/>
          <w:szCs w:val="52"/>
        </w:rPr>
        <w:t>年伦敦分行金融市场业务</w:t>
      </w:r>
      <w:r w:rsidR="001773EC">
        <w:rPr>
          <w:rFonts w:ascii="方正小标宋简体" w:eastAsia="方正小标宋简体" w:hAnsi="Calibri Light" w:hint="eastAsia"/>
          <w:kern w:val="0"/>
          <w:sz w:val="52"/>
          <w:szCs w:val="52"/>
        </w:rPr>
        <w:t>准入</w:t>
      </w:r>
    </w:p>
    <w:p w14:paraId="33317A78" w14:textId="71B16919" w:rsidR="005E59B8" w:rsidRPr="00A53E9B" w:rsidRDefault="00887955" w:rsidP="005E59B8">
      <w:pPr>
        <w:widowControl/>
        <w:pBdr>
          <w:bottom w:val="single" w:sz="6" w:space="4" w:color="7F7F7F"/>
        </w:pBdr>
        <w:jc w:val="center"/>
        <w:rPr>
          <w:rFonts w:ascii="方正小标宋简体" w:eastAsia="方正小标宋简体" w:hAnsi="Calibri Light"/>
          <w:kern w:val="0"/>
          <w:sz w:val="52"/>
          <w:szCs w:val="52"/>
        </w:rPr>
      </w:pPr>
      <w:r w:rsidRPr="00887955">
        <w:rPr>
          <w:rFonts w:ascii="方正小标宋简体" w:eastAsia="方正小标宋简体" w:hAnsi="Calibri Light" w:hint="eastAsia"/>
          <w:kern w:val="0"/>
          <w:sz w:val="52"/>
          <w:szCs w:val="52"/>
        </w:rPr>
        <w:t>转授权和市场风险限额</w:t>
      </w:r>
      <w:r w:rsidRPr="00887955">
        <w:rPr>
          <w:rFonts w:ascii="方正小标宋简体" w:eastAsia="方正小标宋简体" w:hAnsi="Calibri Light"/>
          <w:kern w:val="0"/>
          <w:sz w:val="52"/>
          <w:szCs w:val="52"/>
        </w:rPr>
        <w:t>实施</w:t>
      </w:r>
      <w:r w:rsidRPr="00887955">
        <w:rPr>
          <w:rFonts w:ascii="方正小标宋简体" w:eastAsia="方正小标宋简体" w:hAnsi="Calibri Light" w:hint="eastAsia"/>
          <w:kern w:val="0"/>
          <w:sz w:val="52"/>
          <w:szCs w:val="52"/>
        </w:rPr>
        <w:t>方案</w:t>
      </w:r>
    </w:p>
    <w:p w14:paraId="33317A79" w14:textId="77777777" w:rsidR="005E59B8" w:rsidRPr="00A53E9B" w:rsidRDefault="005E59B8" w:rsidP="005E59B8">
      <w:pPr>
        <w:widowControl/>
        <w:spacing w:before="240"/>
        <w:jc w:val="center"/>
        <w:rPr>
          <w:rFonts w:ascii="方正小标宋简体" w:eastAsia="方正小标宋简体" w:hAnsi="Calibri"/>
          <w:caps/>
          <w:kern w:val="0"/>
          <w:sz w:val="36"/>
          <w:szCs w:val="36"/>
        </w:rPr>
      </w:pPr>
      <w:r w:rsidRPr="00A53E9B">
        <w:rPr>
          <w:rFonts w:ascii="方正小标宋简体" w:eastAsia="方正小标宋简体" w:hAnsi="Calibri" w:hint="eastAsia"/>
          <w:caps/>
          <w:kern w:val="0"/>
          <w:sz w:val="36"/>
          <w:szCs w:val="36"/>
        </w:rPr>
        <w:t>202</w:t>
      </w:r>
      <w:r w:rsidR="00887955">
        <w:rPr>
          <w:rFonts w:ascii="方正小标宋简体" w:eastAsia="方正小标宋简体" w:hAnsi="Calibri"/>
          <w:caps/>
          <w:kern w:val="0"/>
          <w:sz w:val="36"/>
          <w:szCs w:val="36"/>
        </w:rPr>
        <w:t>2</w:t>
      </w:r>
      <w:r w:rsidRPr="00A53E9B">
        <w:rPr>
          <w:rFonts w:ascii="方正小标宋简体" w:eastAsia="方正小标宋简体" w:hAnsi="Calibri" w:hint="eastAsia"/>
          <w:caps/>
          <w:kern w:val="0"/>
          <w:sz w:val="36"/>
          <w:szCs w:val="36"/>
        </w:rPr>
        <w:t>年第</w:t>
      </w:r>
      <w:r>
        <w:rPr>
          <w:rFonts w:ascii="方正小标宋简体" w:eastAsia="方正小标宋简体" w:hAnsi="Calibri"/>
          <w:caps/>
          <w:kern w:val="0"/>
          <w:sz w:val="36"/>
          <w:szCs w:val="36"/>
        </w:rPr>
        <w:t>1</w:t>
      </w:r>
      <w:r w:rsidRPr="00A53E9B">
        <w:rPr>
          <w:rFonts w:ascii="方正小标宋简体" w:eastAsia="方正小标宋简体" w:hAnsi="Calibri" w:hint="eastAsia"/>
          <w:caps/>
          <w:kern w:val="0"/>
          <w:sz w:val="36"/>
          <w:szCs w:val="36"/>
        </w:rPr>
        <w:t>版</w:t>
      </w:r>
    </w:p>
    <w:p w14:paraId="33317A7A" w14:textId="77777777" w:rsidR="005E59B8" w:rsidRPr="00A53E9B" w:rsidRDefault="005E59B8" w:rsidP="005E59B8">
      <w:pPr>
        <w:snapToGrid w:val="0"/>
        <w:spacing w:line="560" w:lineRule="atLeast"/>
        <w:jc w:val="center"/>
        <w:rPr>
          <w:rFonts w:ascii="方正小标宋简体" w:eastAsia="方正小标宋简体" w:hAnsi="仿宋"/>
          <w:spacing w:val="12"/>
          <w:sz w:val="44"/>
          <w:szCs w:val="44"/>
        </w:rPr>
      </w:pPr>
    </w:p>
    <w:p w14:paraId="33317A7B" w14:textId="77777777" w:rsidR="005E59B8" w:rsidRPr="00A53E9B" w:rsidRDefault="005E59B8" w:rsidP="005E59B8">
      <w:pPr>
        <w:snapToGrid w:val="0"/>
        <w:spacing w:line="560" w:lineRule="atLeast"/>
        <w:jc w:val="center"/>
        <w:rPr>
          <w:rFonts w:ascii="方正小标宋简体" w:eastAsia="方正小标宋简体" w:hAnsi="仿宋"/>
          <w:spacing w:val="12"/>
          <w:sz w:val="44"/>
          <w:szCs w:val="44"/>
        </w:rPr>
      </w:pPr>
    </w:p>
    <w:p w14:paraId="33317A7C" w14:textId="77777777" w:rsidR="005E59B8" w:rsidRPr="00A53E9B" w:rsidRDefault="005E59B8" w:rsidP="005E59B8">
      <w:pPr>
        <w:snapToGrid w:val="0"/>
        <w:spacing w:line="560" w:lineRule="atLeast"/>
        <w:jc w:val="center"/>
        <w:rPr>
          <w:rFonts w:ascii="方正小标宋简体" w:eastAsia="方正小标宋简体" w:hAnsi="仿宋"/>
          <w:spacing w:val="12"/>
          <w:sz w:val="44"/>
          <w:szCs w:val="44"/>
        </w:rPr>
      </w:pPr>
    </w:p>
    <w:p w14:paraId="33317A7D" w14:textId="77777777" w:rsidR="005E59B8" w:rsidRPr="00A53E9B" w:rsidRDefault="005E59B8" w:rsidP="005E59B8">
      <w:pPr>
        <w:snapToGrid w:val="0"/>
        <w:spacing w:line="560" w:lineRule="atLeast"/>
        <w:jc w:val="center"/>
        <w:rPr>
          <w:rFonts w:ascii="方正小标宋简体" w:eastAsia="方正小标宋简体" w:hAnsi="仿宋"/>
          <w:spacing w:val="12"/>
          <w:sz w:val="44"/>
          <w:szCs w:val="44"/>
        </w:rPr>
      </w:pPr>
    </w:p>
    <w:p w14:paraId="33317A7E" w14:textId="77777777" w:rsidR="005E59B8" w:rsidRPr="00A53E9B" w:rsidRDefault="005E59B8" w:rsidP="005E59B8">
      <w:pPr>
        <w:snapToGrid w:val="0"/>
        <w:spacing w:line="560" w:lineRule="atLeast"/>
        <w:jc w:val="center"/>
        <w:rPr>
          <w:rFonts w:ascii="方正小标宋简体" w:eastAsia="方正小标宋简体" w:hAnsi="仿宋"/>
          <w:spacing w:val="12"/>
          <w:sz w:val="44"/>
          <w:szCs w:val="44"/>
        </w:rPr>
      </w:pPr>
    </w:p>
    <w:p w14:paraId="33317A7F" w14:textId="77777777" w:rsidR="005E59B8" w:rsidRPr="00A53E9B" w:rsidRDefault="005E59B8" w:rsidP="005E59B8">
      <w:pPr>
        <w:snapToGrid w:val="0"/>
        <w:spacing w:line="560" w:lineRule="atLeast"/>
        <w:jc w:val="center"/>
        <w:rPr>
          <w:rFonts w:ascii="方正小标宋简体" w:eastAsia="方正小标宋简体" w:hAnsi="仿宋"/>
          <w:spacing w:val="12"/>
          <w:sz w:val="44"/>
          <w:szCs w:val="44"/>
        </w:rPr>
      </w:pPr>
    </w:p>
    <w:p w14:paraId="33317A80" w14:textId="77777777" w:rsidR="005E59B8" w:rsidRDefault="005E59B8" w:rsidP="009968B0">
      <w:pPr>
        <w:adjustRightInd w:val="0"/>
        <w:snapToGrid w:val="0"/>
        <w:jc w:val="center"/>
        <w:rPr>
          <w:rFonts w:ascii="方正小标宋简体" w:eastAsia="方正小标宋简体" w:hAnsi="仿宋"/>
          <w:spacing w:val="2"/>
          <w:sz w:val="44"/>
          <w:szCs w:val="44"/>
        </w:rPr>
        <w:sectPr w:rsidR="005E59B8" w:rsidSect="0029189D">
          <w:footerReference w:type="even" r:id="rId11"/>
          <w:footerReference w:type="default" r:id="rId12"/>
          <w:pgSz w:w="11906" w:h="16838" w:code="9"/>
          <w:pgMar w:top="1899" w:right="1418" w:bottom="1843" w:left="1474" w:header="851" w:footer="1474" w:gutter="0"/>
          <w:cols w:space="425"/>
          <w:docGrid w:type="lines" w:linePitch="595"/>
        </w:sectPr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6033"/>
      </w:tblGrid>
      <w:tr w:rsidR="005E59B8" w:rsidRPr="005E59B8" w14:paraId="33317A82" w14:textId="77777777" w:rsidTr="00887955">
        <w:trPr>
          <w:trHeight w:val="560"/>
          <w:jc w:val="center"/>
        </w:trPr>
        <w:tc>
          <w:tcPr>
            <w:tcW w:w="8296" w:type="dxa"/>
            <w:gridSpan w:val="3"/>
            <w:vAlign w:val="center"/>
          </w:tcPr>
          <w:p w14:paraId="33317A81" w14:textId="77777777" w:rsidR="005E59B8" w:rsidRPr="005E59B8" w:rsidRDefault="005E59B8" w:rsidP="005E59B8">
            <w:pPr>
              <w:adjustRightInd w:val="0"/>
              <w:snapToGrid w:val="0"/>
              <w:ind w:firstLine="422"/>
              <w:jc w:val="center"/>
              <w:rPr>
                <w:rFonts w:ascii="仿宋" w:eastAsia="仿宋" w:hAnsi="仿宋"/>
                <w:b/>
                <w:szCs w:val="22"/>
              </w:rPr>
            </w:pPr>
            <w:r w:rsidRPr="005E59B8">
              <w:rPr>
                <w:rFonts w:ascii="仿宋" w:eastAsia="仿宋" w:hAnsi="仿宋" w:hint="eastAsia"/>
                <w:b/>
                <w:szCs w:val="22"/>
              </w:rPr>
              <w:lastRenderedPageBreak/>
              <w:t>版本</w:t>
            </w:r>
            <w:r w:rsidRPr="005E59B8">
              <w:rPr>
                <w:rFonts w:ascii="仿宋" w:eastAsia="仿宋" w:hAnsi="仿宋"/>
                <w:b/>
                <w:szCs w:val="22"/>
              </w:rPr>
              <w:t>说明</w:t>
            </w:r>
          </w:p>
        </w:tc>
      </w:tr>
      <w:tr w:rsidR="005E59B8" w:rsidRPr="005E59B8" w14:paraId="33317A86" w14:textId="77777777" w:rsidTr="00887955">
        <w:trPr>
          <w:trHeight w:val="540"/>
          <w:jc w:val="center"/>
        </w:trPr>
        <w:tc>
          <w:tcPr>
            <w:tcW w:w="704" w:type="dxa"/>
            <w:vAlign w:val="center"/>
          </w:tcPr>
          <w:p w14:paraId="33317A83" w14:textId="77777777" w:rsidR="005E59B8" w:rsidRPr="005E59B8" w:rsidRDefault="005E59B8" w:rsidP="005E59B8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szCs w:val="22"/>
              </w:rPr>
            </w:pPr>
            <w:r w:rsidRPr="005E59B8">
              <w:rPr>
                <w:rFonts w:ascii="仿宋" w:eastAsia="仿宋" w:hAnsi="仿宋" w:hint="eastAsia"/>
                <w:b/>
                <w:szCs w:val="22"/>
              </w:rPr>
              <w:t>编号</w:t>
            </w:r>
          </w:p>
        </w:tc>
        <w:tc>
          <w:tcPr>
            <w:tcW w:w="1559" w:type="dxa"/>
            <w:vAlign w:val="center"/>
          </w:tcPr>
          <w:p w14:paraId="33317A84" w14:textId="77777777" w:rsidR="005E59B8" w:rsidRPr="005E59B8" w:rsidRDefault="005E59B8" w:rsidP="005E59B8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szCs w:val="22"/>
              </w:rPr>
            </w:pPr>
            <w:r w:rsidRPr="005E59B8">
              <w:rPr>
                <w:rFonts w:ascii="仿宋" w:eastAsia="仿宋" w:hAnsi="仿宋" w:hint="eastAsia"/>
                <w:b/>
                <w:szCs w:val="22"/>
              </w:rPr>
              <w:t>版本</w:t>
            </w:r>
          </w:p>
        </w:tc>
        <w:tc>
          <w:tcPr>
            <w:tcW w:w="6033" w:type="dxa"/>
            <w:vAlign w:val="center"/>
          </w:tcPr>
          <w:p w14:paraId="33317A85" w14:textId="77777777" w:rsidR="005E59B8" w:rsidRPr="005E59B8" w:rsidRDefault="005E59B8" w:rsidP="005E59B8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szCs w:val="22"/>
              </w:rPr>
            </w:pPr>
            <w:r w:rsidRPr="005E59B8">
              <w:rPr>
                <w:rFonts w:ascii="仿宋" w:eastAsia="仿宋" w:hAnsi="仿宋" w:hint="eastAsia"/>
                <w:b/>
                <w:szCs w:val="22"/>
              </w:rPr>
              <w:t>修订</w:t>
            </w:r>
            <w:r w:rsidRPr="005E59B8">
              <w:rPr>
                <w:rFonts w:ascii="仿宋" w:eastAsia="仿宋" w:hAnsi="仿宋"/>
                <w:b/>
                <w:szCs w:val="22"/>
              </w:rPr>
              <w:t>内容</w:t>
            </w:r>
          </w:p>
        </w:tc>
      </w:tr>
      <w:tr w:rsidR="005E59B8" w:rsidRPr="005E59B8" w14:paraId="33317A8A" w14:textId="77777777" w:rsidTr="00887955">
        <w:trPr>
          <w:trHeight w:val="576"/>
          <w:jc w:val="center"/>
        </w:trPr>
        <w:tc>
          <w:tcPr>
            <w:tcW w:w="704" w:type="dxa"/>
            <w:vAlign w:val="center"/>
          </w:tcPr>
          <w:p w14:paraId="33317A87" w14:textId="77777777" w:rsidR="005E59B8" w:rsidRPr="005E59B8" w:rsidRDefault="005E59B8" w:rsidP="005E59B8">
            <w:pPr>
              <w:adjustRightInd w:val="0"/>
              <w:snapToGrid w:val="0"/>
              <w:jc w:val="center"/>
              <w:rPr>
                <w:rFonts w:ascii="仿宋" w:eastAsia="仿宋" w:hAnsi="仿宋"/>
                <w:szCs w:val="22"/>
              </w:rPr>
            </w:pPr>
            <w:r w:rsidRPr="005E59B8">
              <w:rPr>
                <w:rFonts w:ascii="仿宋" w:eastAsia="仿宋" w:hAnsi="仿宋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33317A88" w14:textId="77777777" w:rsidR="005E59B8" w:rsidRPr="005E59B8" w:rsidRDefault="005E59B8" w:rsidP="00887955">
            <w:pPr>
              <w:adjustRightInd w:val="0"/>
              <w:snapToGrid w:val="0"/>
              <w:jc w:val="center"/>
              <w:rPr>
                <w:rFonts w:ascii="仿宋" w:eastAsia="仿宋" w:hAnsi="仿宋"/>
                <w:szCs w:val="22"/>
              </w:rPr>
            </w:pPr>
            <w:r w:rsidRPr="005E59B8">
              <w:rPr>
                <w:rFonts w:ascii="仿宋" w:eastAsia="仿宋" w:hAnsi="仿宋"/>
                <w:szCs w:val="22"/>
              </w:rPr>
              <w:t>202</w:t>
            </w:r>
            <w:r w:rsidR="00887955">
              <w:rPr>
                <w:rFonts w:ascii="仿宋" w:eastAsia="仿宋" w:hAnsi="仿宋"/>
                <w:szCs w:val="22"/>
              </w:rPr>
              <w:t>2</w:t>
            </w:r>
            <w:r w:rsidRPr="005E59B8">
              <w:rPr>
                <w:rFonts w:ascii="仿宋" w:eastAsia="仿宋" w:hAnsi="仿宋" w:hint="eastAsia"/>
                <w:szCs w:val="22"/>
              </w:rPr>
              <w:t>年</w:t>
            </w:r>
            <w:r w:rsidRPr="005E59B8">
              <w:rPr>
                <w:rFonts w:ascii="仿宋" w:eastAsia="仿宋" w:hAnsi="仿宋"/>
                <w:szCs w:val="22"/>
              </w:rPr>
              <w:t>第1版</w:t>
            </w:r>
          </w:p>
        </w:tc>
        <w:tc>
          <w:tcPr>
            <w:tcW w:w="6033" w:type="dxa"/>
            <w:vAlign w:val="center"/>
          </w:tcPr>
          <w:p w14:paraId="33317A89" w14:textId="77777777" w:rsidR="005E59B8" w:rsidRPr="005E59B8" w:rsidRDefault="005E59B8" w:rsidP="005E59B8">
            <w:pPr>
              <w:numPr>
                <w:ilvl w:val="0"/>
                <w:numId w:val="4"/>
              </w:numPr>
              <w:adjustRightInd w:val="0"/>
              <w:snapToGrid w:val="0"/>
              <w:ind w:firstLine="0"/>
              <w:rPr>
                <w:rFonts w:ascii="仿宋" w:eastAsia="仿宋" w:hAnsi="仿宋"/>
                <w:szCs w:val="22"/>
              </w:rPr>
            </w:pPr>
            <w:r w:rsidRPr="005E59B8">
              <w:rPr>
                <w:rFonts w:ascii="仿宋" w:eastAsia="仿宋" w:hAnsi="仿宋" w:hint="eastAsia"/>
                <w:szCs w:val="22"/>
              </w:rPr>
              <w:t>创建。</w:t>
            </w:r>
          </w:p>
        </w:tc>
      </w:tr>
    </w:tbl>
    <w:p w14:paraId="33317A8B" w14:textId="77777777" w:rsidR="005E59B8" w:rsidRPr="005E59B8" w:rsidRDefault="005E59B8" w:rsidP="009968B0">
      <w:pPr>
        <w:adjustRightInd w:val="0"/>
        <w:snapToGrid w:val="0"/>
        <w:jc w:val="center"/>
        <w:rPr>
          <w:rFonts w:ascii="方正小标宋简体" w:eastAsia="方正小标宋简体" w:hAnsi="仿宋"/>
          <w:spacing w:val="2"/>
          <w:sz w:val="44"/>
          <w:szCs w:val="44"/>
        </w:rPr>
      </w:pPr>
    </w:p>
    <w:p w14:paraId="33317A8C" w14:textId="77777777" w:rsidR="005E59B8" w:rsidRPr="005E59B8" w:rsidRDefault="005E59B8" w:rsidP="009968B0">
      <w:pPr>
        <w:adjustRightInd w:val="0"/>
        <w:snapToGrid w:val="0"/>
        <w:jc w:val="center"/>
        <w:rPr>
          <w:rFonts w:ascii="方正小标宋简体" w:eastAsia="方正小标宋简体" w:hAnsi="仿宋"/>
          <w:spacing w:val="2"/>
          <w:sz w:val="44"/>
          <w:szCs w:val="44"/>
        </w:rPr>
        <w:sectPr w:rsidR="005E59B8" w:rsidRPr="005E59B8" w:rsidSect="0029189D">
          <w:pgSz w:w="11906" w:h="16838" w:code="9"/>
          <w:pgMar w:top="1899" w:right="1418" w:bottom="1843" w:left="1474" w:header="851" w:footer="1474" w:gutter="0"/>
          <w:cols w:space="425"/>
          <w:docGrid w:type="lines" w:linePitch="595"/>
        </w:sectPr>
      </w:pPr>
    </w:p>
    <w:p w14:paraId="220F66D5" w14:textId="77777777" w:rsidR="001773EC" w:rsidRDefault="009968B0" w:rsidP="009968B0">
      <w:pPr>
        <w:adjustRightInd w:val="0"/>
        <w:snapToGrid w:val="0"/>
        <w:jc w:val="center"/>
        <w:rPr>
          <w:rFonts w:ascii="方正小标宋简体" w:eastAsia="方正小标宋简体" w:hAnsi="仿宋"/>
          <w:spacing w:val="2"/>
          <w:sz w:val="44"/>
          <w:szCs w:val="44"/>
        </w:rPr>
      </w:pPr>
      <w:r w:rsidRPr="009968B0">
        <w:rPr>
          <w:rFonts w:ascii="方正小标宋简体" w:eastAsia="方正小标宋简体" w:hAnsi="仿宋"/>
          <w:spacing w:val="2"/>
          <w:sz w:val="44"/>
          <w:szCs w:val="44"/>
        </w:rPr>
        <w:lastRenderedPageBreak/>
        <w:t>2022</w:t>
      </w:r>
      <w:r w:rsidRPr="009968B0">
        <w:rPr>
          <w:rFonts w:ascii="方正小标宋简体" w:eastAsia="方正小标宋简体" w:hAnsi="仿宋" w:hint="eastAsia"/>
          <w:spacing w:val="2"/>
          <w:sz w:val="44"/>
          <w:szCs w:val="44"/>
        </w:rPr>
        <w:t>年伦敦分行金融市场业务</w:t>
      </w:r>
      <w:r w:rsidR="001773EC">
        <w:rPr>
          <w:rFonts w:ascii="方正小标宋简体" w:eastAsia="方正小标宋简体" w:hAnsi="仿宋" w:hint="eastAsia"/>
          <w:spacing w:val="2"/>
          <w:sz w:val="44"/>
          <w:szCs w:val="44"/>
        </w:rPr>
        <w:t>准入</w:t>
      </w:r>
    </w:p>
    <w:p w14:paraId="33317A8E" w14:textId="6EA51E88" w:rsidR="009968B0" w:rsidRPr="009968B0" w:rsidRDefault="009968B0" w:rsidP="009968B0">
      <w:pPr>
        <w:adjustRightInd w:val="0"/>
        <w:snapToGrid w:val="0"/>
        <w:jc w:val="center"/>
        <w:rPr>
          <w:rFonts w:ascii="方正小标宋简体" w:eastAsia="方正小标宋简体" w:hAnsi="仿宋"/>
          <w:spacing w:val="2"/>
          <w:sz w:val="44"/>
          <w:szCs w:val="44"/>
        </w:rPr>
      </w:pPr>
      <w:r w:rsidRPr="009968B0">
        <w:rPr>
          <w:rFonts w:ascii="方正小标宋简体" w:eastAsia="方正小标宋简体" w:hAnsi="仿宋" w:hint="eastAsia"/>
          <w:spacing w:val="2"/>
          <w:sz w:val="44"/>
          <w:szCs w:val="44"/>
        </w:rPr>
        <w:t>转授权和市场风险限额</w:t>
      </w:r>
      <w:r w:rsidRPr="009968B0">
        <w:rPr>
          <w:rFonts w:ascii="方正小标宋简体" w:eastAsia="方正小标宋简体" w:hAnsi="仿宋"/>
          <w:spacing w:val="2"/>
          <w:sz w:val="44"/>
          <w:szCs w:val="44"/>
        </w:rPr>
        <w:t>实施</w:t>
      </w:r>
      <w:r w:rsidRPr="009968B0">
        <w:rPr>
          <w:rFonts w:ascii="方正小标宋简体" w:eastAsia="方正小标宋简体" w:hAnsi="仿宋" w:hint="eastAsia"/>
          <w:spacing w:val="2"/>
          <w:sz w:val="44"/>
          <w:szCs w:val="44"/>
        </w:rPr>
        <w:t>方案</w:t>
      </w:r>
    </w:p>
    <w:p w14:paraId="33317A8F" w14:textId="77777777" w:rsidR="009968B0" w:rsidRPr="00F96D9B" w:rsidRDefault="009968B0" w:rsidP="009968B0">
      <w:pPr>
        <w:adjustRightInd w:val="0"/>
        <w:snapToGrid w:val="0"/>
        <w:spacing w:line="590" w:lineRule="atLeast"/>
        <w:jc w:val="center"/>
        <w:rPr>
          <w:rFonts w:ascii="仿宋_GB2312" w:eastAsia="仿宋_GB2312" w:hAnsi="仿宋"/>
          <w:spacing w:val="10"/>
          <w:sz w:val="32"/>
          <w:szCs w:val="32"/>
        </w:rPr>
      </w:pPr>
    </w:p>
    <w:p w14:paraId="33317A90" w14:textId="77777777" w:rsidR="009968B0" w:rsidRPr="00F96D9B" w:rsidRDefault="009968B0" w:rsidP="009968B0">
      <w:pPr>
        <w:numPr>
          <w:ilvl w:val="0"/>
          <w:numId w:val="1"/>
        </w:numPr>
        <w:adjustRightInd w:val="0"/>
        <w:snapToGrid w:val="0"/>
        <w:spacing w:line="560" w:lineRule="atLeast"/>
        <w:rPr>
          <w:rFonts w:ascii="黑体" w:eastAsia="黑体" w:hAnsi="黑体"/>
          <w:spacing w:val="12"/>
          <w:sz w:val="32"/>
          <w:szCs w:val="32"/>
        </w:rPr>
      </w:pPr>
      <w:r w:rsidRPr="00F96D9B">
        <w:rPr>
          <w:rFonts w:ascii="黑体" w:eastAsia="黑体" w:hAnsi="黑体" w:hint="eastAsia"/>
          <w:spacing w:val="12"/>
          <w:sz w:val="32"/>
          <w:szCs w:val="32"/>
        </w:rPr>
        <w:t>转授权</w:t>
      </w:r>
    </w:p>
    <w:p w14:paraId="33317A91" w14:textId="77777777" w:rsidR="009968B0" w:rsidRPr="009968B0" w:rsidRDefault="009968B0" w:rsidP="009968B0">
      <w:pPr>
        <w:adjustRightInd w:val="0"/>
        <w:snapToGrid w:val="0"/>
        <w:spacing w:line="590" w:lineRule="atLeast"/>
        <w:ind w:firstLineChars="200" w:firstLine="640"/>
        <w:rPr>
          <w:rFonts w:ascii="楷体_GB2312" w:eastAsia="楷体_GB2312" w:hAnsi="楷体"/>
          <w:sz w:val="32"/>
          <w:szCs w:val="32"/>
        </w:rPr>
      </w:pPr>
      <w:r w:rsidRPr="009968B0">
        <w:rPr>
          <w:rFonts w:ascii="楷体_GB2312" w:eastAsia="楷体_GB2312" w:hAnsi="楷体" w:hint="eastAsia"/>
          <w:sz w:val="32"/>
          <w:szCs w:val="32"/>
        </w:rPr>
        <w:t>（</w:t>
      </w:r>
      <w:r w:rsidRPr="009968B0">
        <w:rPr>
          <w:rFonts w:ascii="楷体_GB2312" w:eastAsia="楷体_GB2312" w:hAnsi="楷体"/>
          <w:sz w:val="32"/>
          <w:szCs w:val="32"/>
        </w:rPr>
        <w:t>一）业务准入</w:t>
      </w:r>
    </w:p>
    <w:p w14:paraId="33317A92" w14:textId="77777777" w:rsidR="009968B0" w:rsidRPr="00DA712D" w:rsidRDefault="009968B0" w:rsidP="009968B0">
      <w:pPr>
        <w:adjustRightInd w:val="0"/>
        <w:snapToGrid w:val="0"/>
        <w:spacing w:line="560" w:lineRule="atLeast"/>
        <w:ind w:firstLineChars="200" w:firstLine="680"/>
        <w:rPr>
          <w:rFonts w:ascii="仿宋_GB2312" w:eastAsia="仿宋_GB2312"/>
          <w:snapToGrid w:val="0"/>
          <w:spacing w:val="10"/>
          <w:kern w:val="0"/>
          <w:sz w:val="32"/>
          <w:szCs w:val="32"/>
        </w:rPr>
      </w:pPr>
      <w:r w:rsidRPr="00DA712D">
        <w:rPr>
          <w:rFonts w:ascii="仿宋_GB2312" w:eastAsia="仿宋_GB2312" w:hint="eastAsia"/>
          <w:snapToGrid w:val="0"/>
          <w:spacing w:val="10"/>
          <w:kern w:val="0"/>
          <w:sz w:val="32"/>
          <w:szCs w:val="32"/>
        </w:rPr>
        <w:t>1．具体业务</w:t>
      </w:r>
    </w:p>
    <w:p w14:paraId="33317A93" w14:textId="77777777" w:rsidR="009968B0" w:rsidRPr="00DA712D" w:rsidRDefault="009968B0" w:rsidP="009968B0">
      <w:pPr>
        <w:adjustRightInd w:val="0"/>
        <w:snapToGrid w:val="0"/>
        <w:spacing w:line="590" w:lineRule="atLeast"/>
        <w:ind w:firstLineChars="200" w:firstLine="680"/>
        <w:rPr>
          <w:rFonts w:ascii="仿宋_GB2312" w:eastAsia="仿宋_GB2312"/>
          <w:snapToGrid w:val="0"/>
          <w:spacing w:val="10"/>
          <w:kern w:val="0"/>
          <w:sz w:val="32"/>
          <w:szCs w:val="32"/>
        </w:rPr>
      </w:pPr>
      <w:r w:rsidRPr="00DA712D">
        <w:rPr>
          <w:rFonts w:ascii="仿宋_GB2312" w:eastAsia="仿宋_GB2312" w:hint="eastAsia"/>
          <w:snapToGrid w:val="0"/>
          <w:spacing w:val="10"/>
          <w:kern w:val="0"/>
          <w:sz w:val="32"/>
          <w:szCs w:val="32"/>
        </w:rPr>
        <w:t>（1）外币利率交易业务</w:t>
      </w:r>
    </w:p>
    <w:p w14:paraId="33317A94" w14:textId="77777777" w:rsidR="009968B0" w:rsidRPr="00CF1FEA" w:rsidRDefault="009968B0" w:rsidP="009968B0">
      <w:pPr>
        <w:adjustRightInd w:val="0"/>
        <w:snapToGrid w:val="0"/>
        <w:jc w:val="center"/>
        <w:rPr>
          <w:rFonts w:ascii="黑体" w:eastAsia="黑体" w:hAnsi="黑体"/>
          <w:szCs w:val="21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1"/>
        <w:gridCol w:w="6548"/>
      </w:tblGrid>
      <w:tr w:rsidR="009968B0" w:rsidRPr="00C546F7" w14:paraId="33317A96" w14:textId="77777777" w:rsidTr="009968B0">
        <w:trPr>
          <w:trHeight w:val="453"/>
          <w:tblHeader/>
          <w:jc w:val="center"/>
        </w:trPr>
        <w:tc>
          <w:tcPr>
            <w:tcW w:w="9209" w:type="dxa"/>
            <w:gridSpan w:val="2"/>
            <w:shd w:val="clear" w:color="auto" w:fill="auto"/>
            <w:vAlign w:val="center"/>
          </w:tcPr>
          <w:p w14:paraId="33317A95" w14:textId="77777777" w:rsidR="009968B0" w:rsidRPr="00C546F7" w:rsidRDefault="009968B0" w:rsidP="005426DD">
            <w:pPr>
              <w:widowControl/>
              <w:jc w:val="center"/>
              <w:rPr>
                <w:rFonts w:ascii="Calibri" w:hAnsi="Calibri" w:cs="Calibri"/>
                <w:b/>
                <w:kern w:val="0"/>
                <w:sz w:val="24"/>
              </w:rPr>
            </w:pPr>
            <w:r w:rsidRPr="00C546F7">
              <w:rPr>
                <w:rFonts w:ascii="Calibri" w:hAnsi="Calibri" w:cs="Calibri"/>
                <w:b/>
                <w:kern w:val="0"/>
                <w:sz w:val="24"/>
              </w:rPr>
              <w:t>产品准入</w:t>
            </w:r>
          </w:p>
        </w:tc>
      </w:tr>
      <w:tr w:rsidR="009968B0" w:rsidRPr="003722E0" w14:paraId="33317A99" w14:textId="77777777" w:rsidTr="009968B0">
        <w:trPr>
          <w:trHeight w:val="451"/>
          <w:jc w:val="center"/>
        </w:trPr>
        <w:tc>
          <w:tcPr>
            <w:tcW w:w="2661" w:type="dxa"/>
            <w:shd w:val="clear" w:color="auto" w:fill="auto"/>
            <w:vAlign w:val="center"/>
          </w:tcPr>
          <w:p w14:paraId="33317A97" w14:textId="77777777" w:rsidR="009968B0" w:rsidRPr="00C546F7" w:rsidRDefault="009968B0" w:rsidP="005426DD">
            <w:pPr>
              <w:adjustRightInd w:val="0"/>
              <w:snapToGrid w:val="0"/>
              <w:rPr>
                <w:rFonts w:ascii="Calibri" w:hAnsi="Calibri" w:cs="Calibri"/>
                <w:kern w:val="0"/>
                <w:sz w:val="24"/>
              </w:rPr>
            </w:pPr>
            <w:r w:rsidRPr="00D050E9">
              <w:rPr>
                <w:rFonts w:ascii="Calibri" w:hAnsi="Calibri" w:cs="Calibri" w:hint="eastAsia"/>
                <w:kern w:val="0"/>
                <w:sz w:val="24"/>
              </w:rPr>
              <w:t>代客外币利率衍生产品平盘业务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33317A98" w14:textId="77777777" w:rsidR="009968B0" w:rsidRPr="003722E0" w:rsidRDefault="009968B0" w:rsidP="009968B0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Calibri" w:hAnsi="Calibri" w:cs="Calibri"/>
                <w:kern w:val="0"/>
                <w:sz w:val="24"/>
              </w:rPr>
            </w:pPr>
            <w:r w:rsidRPr="00306C18">
              <w:rPr>
                <w:rFonts w:ascii="Calibri" w:hAnsi="Calibri" w:cs="Calibri"/>
                <w:kern w:val="0"/>
                <w:sz w:val="24"/>
              </w:rPr>
              <w:t>利率互换</w:t>
            </w:r>
            <w:r>
              <w:rPr>
                <w:rFonts w:ascii="Calibri" w:hAnsi="Calibri" w:cs="Calibri" w:hint="eastAsia"/>
                <w:kern w:val="0"/>
                <w:sz w:val="24"/>
              </w:rPr>
              <w:t>，</w:t>
            </w:r>
            <w:r w:rsidRPr="003722E0">
              <w:rPr>
                <w:rFonts w:ascii="Calibri" w:hAnsi="Calibri" w:cs="Calibri"/>
                <w:kern w:val="0"/>
                <w:sz w:val="24"/>
              </w:rPr>
              <w:t>币种限于美元、欧元、日元、港币、英镑</w:t>
            </w:r>
            <w:r>
              <w:rPr>
                <w:rFonts w:ascii="Calibri" w:hAnsi="Calibri" w:cs="Calibri" w:hint="eastAsia"/>
                <w:kern w:val="0"/>
                <w:sz w:val="24"/>
              </w:rPr>
              <w:t>、</w:t>
            </w:r>
            <w:r w:rsidRPr="00306C18">
              <w:rPr>
                <w:rFonts w:ascii="Calibri" w:hAnsi="Calibri" w:cs="Calibri"/>
                <w:kern w:val="0"/>
                <w:sz w:val="24"/>
              </w:rPr>
              <w:t>离岸人民币</w:t>
            </w:r>
          </w:p>
        </w:tc>
      </w:tr>
    </w:tbl>
    <w:p w14:paraId="33317A9A" w14:textId="77777777" w:rsidR="009968B0" w:rsidRPr="00CF1FEA" w:rsidRDefault="009968B0" w:rsidP="009968B0">
      <w:pPr>
        <w:adjustRightInd w:val="0"/>
        <w:snapToGrid w:val="0"/>
        <w:jc w:val="center"/>
        <w:rPr>
          <w:rFonts w:ascii="黑体" w:eastAsia="黑体" w:hAnsi="黑体"/>
          <w:szCs w:val="21"/>
        </w:rPr>
      </w:pPr>
    </w:p>
    <w:p w14:paraId="33317A9B" w14:textId="77777777" w:rsidR="009968B0" w:rsidRPr="00DA712D" w:rsidRDefault="009968B0" w:rsidP="00DA712D">
      <w:pPr>
        <w:adjustRightInd w:val="0"/>
        <w:snapToGrid w:val="0"/>
        <w:spacing w:line="560" w:lineRule="atLeast"/>
        <w:ind w:firstLineChars="200" w:firstLine="680"/>
        <w:rPr>
          <w:rFonts w:ascii="仿宋_GB2312" w:eastAsia="仿宋_GB2312"/>
          <w:snapToGrid w:val="0"/>
          <w:spacing w:val="10"/>
          <w:kern w:val="0"/>
          <w:sz w:val="32"/>
          <w:szCs w:val="32"/>
        </w:rPr>
      </w:pPr>
      <w:r w:rsidRPr="00DA712D">
        <w:rPr>
          <w:rFonts w:ascii="仿宋_GB2312" w:eastAsia="仿宋_GB2312" w:hint="eastAsia"/>
          <w:snapToGrid w:val="0"/>
          <w:spacing w:val="10"/>
          <w:kern w:val="0"/>
          <w:sz w:val="32"/>
          <w:szCs w:val="32"/>
        </w:rPr>
        <w:t>（2）</w:t>
      </w:r>
      <w:r w:rsidRPr="00DA712D">
        <w:rPr>
          <w:rFonts w:ascii="仿宋_GB2312" w:eastAsia="仿宋_GB2312"/>
          <w:snapToGrid w:val="0"/>
          <w:spacing w:val="10"/>
          <w:kern w:val="0"/>
          <w:sz w:val="32"/>
          <w:szCs w:val="32"/>
        </w:rPr>
        <w:t>汇率交易业务</w:t>
      </w:r>
    </w:p>
    <w:p w14:paraId="33317A9C" w14:textId="77777777" w:rsidR="009968B0" w:rsidRPr="00CF1FEA" w:rsidRDefault="009968B0" w:rsidP="009968B0">
      <w:pPr>
        <w:adjustRightInd w:val="0"/>
        <w:snapToGrid w:val="0"/>
        <w:jc w:val="center"/>
        <w:rPr>
          <w:rFonts w:ascii="黑体" w:eastAsia="黑体" w:hAnsi="黑体"/>
          <w:szCs w:val="21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8"/>
        <w:gridCol w:w="1701"/>
        <w:gridCol w:w="6540"/>
      </w:tblGrid>
      <w:tr w:rsidR="009968B0" w:rsidRPr="00864DF4" w14:paraId="33317AA0" w14:textId="77777777" w:rsidTr="009968B0">
        <w:trPr>
          <w:trHeight w:val="567"/>
          <w:jc w:val="center"/>
        </w:trPr>
        <w:tc>
          <w:tcPr>
            <w:tcW w:w="968" w:type="dxa"/>
            <w:shd w:val="clear" w:color="auto" w:fill="auto"/>
            <w:vAlign w:val="center"/>
          </w:tcPr>
          <w:p w14:paraId="33317A9D" w14:textId="77777777" w:rsidR="009968B0" w:rsidRPr="00864DF4" w:rsidRDefault="009968B0" w:rsidP="005426DD">
            <w:pPr>
              <w:widowControl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序号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317A9E" w14:textId="77777777" w:rsidR="009968B0" w:rsidRPr="00864DF4" w:rsidRDefault="009968B0" w:rsidP="005426DD">
            <w:pPr>
              <w:widowControl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0"/>
              </w:rPr>
            </w:pPr>
            <w:r w:rsidRPr="00864DF4"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业务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类型</w:t>
            </w:r>
          </w:p>
        </w:tc>
        <w:tc>
          <w:tcPr>
            <w:tcW w:w="6540" w:type="dxa"/>
            <w:shd w:val="clear" w:color="auto" w:fill="auto"/>
            <w:vAlign w:val="center"/>
          </w:tcPr>
          <w:p w14:paraId="33317A9F" w14:textId="77777777" w:rsidR="009968B0" w:rsidRPr="00864DF4" w:rsidRDefault="009968B0" w:rsidP="005426DD">
            <w:pPr>
              <w:widowControl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  <w:szCs w:val="20"/>
              </w:rPr>
            </w:pPr>
            <w:r w:rsidRPr="00864DF4"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产品准入</w:t>
            </w:r>
          </w:p>
        </w:tc>
      </w:tr>
      <w:tr w:rsidR="009968B0" w:rsidRPr="00864DF4" w14:paraId="33317AA4" w14:textId="77777777" w:rsidTr="009968B0">
        <w:trPr>
          <w:trHeight w:val="584"/>
          <w:jc w:val="center"/>
        </w:trPr>
        <w:tc>
          <w:tcPr>
            <w:tcW w:w="968" w:type="dxa"/>
            <w:shd w:val="clear" w:color="auto" w:fill="auto"/>
            <w:vAlign w:val="center"/>
          </w:tcPr>
          <w:p w14:paraId="33317AA1" w14:textId="77777777" w:rsidR="009968B0" w:rsidRPr="00864DF4" w:rsidRDefault="009968B0" w:rsidP="005426DD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317AA2" w14:textId="77777777" w:rsidR="009968B0" w:rsidRPr="00864DF4" w:rsidRDefault="009968B0" w:rsidP="005426DD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0"/>
              </w:rPr>
            </w:pPr>
            <w:r w:rsidRPr="00864DF4">
              <w:rPr>
                <w:rFonts w:ascii="宋体" w:hAnsi="宋体" w:cs="宋体" w:hint="eastAsia"/>
                <w:kern w:val="0"/>
                <w:sz w:val="24"/>
                <w:szCs w:val="20"/>
              </w:rPr>
              <w:t>结售汇</w:t>
            </w:r>
            <w:r w:rsidRPr="00CE6E74">
              <w:rPr>
                <w:rFonts w:ascii="宋体" w:hAnsi="宋体" w:hint="eastAsia"/>
                <w:sz w:val="32"/>
                <w:szCs w:val="20"/>
                <w:vertAlign w:val="superscript"/>
              </w:rPr>
              <w:footnoteReference w:id="1"/>
            </w:r>
          </w:p>
        </w:tc>
        <w:tc>
          <w:tcPr>
            <w:tcW w:w="6540" w:type="dxa"/>
            <w:shd w:val="clear" w:color="auto" w:fill="auto"/>
            <w:vAlign w:val="center"/>
          </w:tcPr>
          <w:p w14:paraId="33317AA3" w14:textId="77777777" w:rsidR="009968B0" w:rsidRPr="00864DF4" w:rsidRDefault="009968B0" w:rsidP="009968B0">
            <w:pPr>
              <w:widowControl/>
              <w:numPr>
                <w:ilvl w:val="0"/>
                <w:numId w:val="3"/>
              </w:numPr>
              <w:snapToGrid w:val="0"/>
              <w:ind w:left="284" w:hanging="284"/>
              <w:jc w:val="left"/>
              <w:rPr>
                <w:rFonts w:ascii="宋体" w:hAnsi="宋体" w:cs="宋体"/>
                <w:kern w:val="0"/>
                <w:sz w:val="24"/>
                <w:szCs w:val="20"/>
              </w:rPr>
            </w:pPr>
            <w:r w:rsidRPr="00864DF4">
              <w:rPr>
                <w:rFonts w:ascii="宋体" w:hAnsi="宋体" w:cs="宋体" w:hint="eastAsia"/>
                <w:kern w:val="0"/>
                <w:sz w:val="24"/>
                <w:szCs w:val="20"/>
              </w:rPr>
              <w:t>人民币即期、远期、掉期</w:t>
            </w:r>
          </w:p>
        </w:tc>
      </w:tr>
      <w:tr w:rsidR="009968B0" w:rsidRPr="00864DF4" w14:paraId="33317AA8" w14:textId="77777777" w:rsidTr="009968B0">
        <w:trPr>
          <w:trHeight w:val="567"/>
          <w:jc w:val="center"/>
        </w:trPr>
        <w:tc>
          <w:tcPr>
            <w:tcW w:w="968" w:type="dxa"/>
            <w:shd w:val="clear" w:color="auto" w:fill="auto"/>
            <w:vAlign w:val="center"/>
          </w:tcPr>
          <w:p w14:paraId="33317AA5" w14:textId="77777777" w:rsidR="009968B0" w:rsidRPr="00864DF4" w:rsidRDefault="009968B0" w:rsidP="005426DD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317AA6" w14:textId="77777777" w:rsidR="009968B0" w:rsidRPr="00864DF4" w:rsidRDefault="009968B0" w:rsidP="005426DD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0"/>
              </w:rPr>
            </w:pPr>
            <w:r w:rsidRPr="00864DF4">
              <w:rPr>
                <w:rFonts w:ascii="宋体" w:hAnsi="宋体" w:cs="宋体" w:hint="eastAsia"/>
                <w:kern w:val="0"/>
                <w:sz w:val="24"/>
                <w:szCs w:val="20"/>
              </w:rPr>
              <w:t>外汇买卖</w:t>
            </w:r>
          </w:p>
        </w:tc>
        <w:tc>
          <w:tcPr>
            <w:tcW w:w="6540" w:type="dxa"/>
            <w:shd w:val="clear" w:color="auto" w:fill="auto"/>
            <w:vAlign w:val="center"/>
          </w:tcPr>
          <w:p w14:paraId="33317AA7" w14:textId="77777777" w:rsidR="009968B0" w:rsidRPr="00864DF4" w:rsidRDefault="009968B0" w:rsidP="009968B0">
            <w:pPr>
              <w:widowControl/>
              <w:numPr>
                <w:ilvl w:val="0"/>
                <w:numId w:val="3"/>
              </w:numPr>
              <w:snapToGrid w:val="0"/>
              <w:ind w:left="284" w:hanging="284"/>
              <w:jc w:val="left"/>
              <w:rPr>
                <w:rFonts w:ascii="宋体" w:hAnsi="宋体" w:cs="宋体"/>
                <w:kern w:val="0"/>
                <w:sz w:val="24"/>
                <w:szCs w:val="20"/>
              </w:rPr>
            </w:pPr>
            <w:r w:rsidRPr="003722E0">
              <w:rPr>
                <w:rFonts w:ascii="宋体" w:hAnsi="宋体" w:cs="宋体" w:hint="eastAsia"/>
                <w:kern w:val="0"/>
                <w:sz w:val="24"/>
                <w:szCs w:val="20"/>
              </w:rPr>
              <w:t>外汇即期、远期、掉期</w:t>
            </w:r>
          </w:p>
        </w:tc>
      </w:tr>
      <w:tr w:rsidR="009968B0" w:rsidRPr="00864DF4" w14:paraId="33317AAC" w14:textId="77777777" w:rsidTr="009968B0">
        <w:trPr>
          <w:trHeight w:val="553"/>
          <w:jc w:val="center"/>
        </w:trPr>
        <w:tc>
          <w:tcPr>
            <w:tcW w:w="968" w:type="dxa"/>
            <w:shd w:val="clear" w:color="auto" w:fill="auto"/>
            <w:vAlign w:val="center"/>
          </w:tcPr>
          <w:p w14:paraId="33317AA9" w14:textId="77777777" w:rsidR="009968B0" w:rsidRPr="00864DF4" w:rsidRDefault="009968B0" w:rsidP="005426DD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317AAA" w14:textId="77777777" w:rsidR="009968B0" w:rsidRPr="00864DF4" w:rsidRDefault="009968B0" w:rsidP="005426DD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0"/>
              </w:rPr>
            </w:pPr>
            <w:r w:rsidRPr="00864DF4">
              <w:rPr>
                <w:rFonts w:ascii="宋体" w:hAnsi="宋体" w:cs="宋体" w:hint="eastAsia"/>
                <w:kern w:val="0"/>
                <w:sz w:val="24"/>
                <w:szCs w:val="20"/>
              </w:rPr>
              <w:t>货币掉期</w:t>
            </w:r>
          </w:p>
        </w:tc>
        <w:tc>
          <w:tcPr>
            <w:tcW w:w="6540" w:type="dxa"/>
            <w:shd w:val="clear" w:color="auto" w:fill="auto"/>
            <w:vAlign w:val="center"/>
          </w:tcPr>
          <w:p w14:paraId="33317AAB" w14:textId="77777777" w:rsidR="009968B0" w:rsidRPr="00864DF4" w:rsidRDefault="009968B0" w:rsidP="009968B0">
            <w:pPr>
              <w:widowControl/>
              <w:numPr>
                <w:ilvl w:val="0"/>
                <w:numId w:val="3"/>
              </w:numPr>
              <w:snapToGrid w:val="0"/>
              <w:ind w:left="284" w:hanging="284"/>
              <w:rPr>
                <w:rFonts w:ascii="宋体" w:hAnsi="宋体" w:cs="宋体"/>
                <w:kern w:val="0"/>
                <w:sz w:val="24"/>
                <w:szCs w:val="20"/>
              </w:rPr>
            </w:pPr>
            <w:r w:rsidRPr="00864DF4">
              <w:rPr>
                <w:rFonts w:ascii="宋体" w:hAnsi="宋体" w:cs="宋体" w:hint="eastAsia"/>
                <w:kern w:val="0"/>
                <w:sz w:val="24"/>
                <w:szCs w:val="20"/>
              </w:rPr>
              <w:t>货币掉期（含离岸人民币货币掉期）</w:t>
            </w:r>
          </w:p>
        </w:tc>
      </w:tr>
    </w:tbl>
    <w:p w14:paraId="33317AAD" w14:textId="77777777" w:rsidR="009968B0" w:rsidRPr="00CF1FEA" w:rsidRDefault="009968B0" w:rsidP="009968B0">
      <w:pPr>
        <w:adjustRightInd w:val="0"/>
        <w:snapToGrid w:val="0"/>
        <w:jc w:val="center"/>
        <w:rPr>
          <w:rFonts w:ascii="黑体" w:eastAsia="黑体" w:hAnsi="黑体"/>
          <w:szCs w:val="21"/>
        </w:rPr>
      </w:pPr>
    </w:p>
    <w:p w14:paraId="33317AAE" w14:textId="77777777" w:rsidR="009968B0" w:rsidRPr="00DA712D" w:rsidRDefault="009968B0" w:rsidP="00DA712D">
      <w:pPr>
        <w:adjustRightInd w:val="0"/>
        <w:snapToGrid w:val="0"/>
        <w:spacing w:line="560" w:lineRule="atLeast"/>
        <w:ind w:firstLineChars="200" w:firstLine="680"/>
        <w:rPr>
          <w:rFonts w:ascii="仿宋_GB2312" w:eastAsia="仿宋_GB2312"/>
          <w:snapToGrid w:val="0"/>
          <w:spacing w:val="10"/>
          <w:kern w:val="0"/>
          <w:sz w:val="32"/>
          <w:szCs w:val="32"/>
        </w:rPr>
      </w:pPr>
      <w:r w:rsidRPr="00DA712D">
        <w:rPr>
          <w:rFonts w:ascii="仿宋_GB2312" w:eastAsia="仿宋_GB2312" w:hint="eastAsia"/>
          <w:snapToGrid w:val="0"/>
          <w:spacing w:val="10"/>
          <w:kern w:val="0"/>
          <w:sz w:val="32"/>
          <w:szCs w:val="32"/>
        </w:rPr>
        <w:t>（3）</w:t>
      </w:r>
      <w:r w:rsidRPr="00DA712D">
        <w:rPr>
          <w:rFonts w:ascii="仿宋_GB2312" w:eastAsia="仿宋_GB2312"/>
          <w:snapToGrid w:val="0"/>
          <w:spacing w:val="10"/>
          <w:kern w:val="0"/>
          <w:sz w:val="32"/>
          <w:szCs w:val="32"/>
        </w:rPr>
        <w:t>人民币债券投资业务</w:t>
      </w:r>
    </w:p>
    <w:p w14:paraId="33317AAF" w14:textId="77777777" w:rsidR="009968B0" w:rsidRPr="00CF1FEA" w:rsidRDefault="009968B0" w:rsidP="009968B0">
      <w:pPr>
        <w:adjustRightInd w:val="0"/>
        <w:snapToGrid w:val="0"/>
        <w:jc w:val="center"/>
        <w:rPr>
          <w:rFonts w:ascii="黑体" w:eastAsia="黑体" w:hAnsi="黑体"/>
          <w:szCs w:val="21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09"/>
      </w:tblGrid>
      <w:tr w:rsidR="009968B0" w:rsidRPr="00706618" w14:paraId="33317AB1" w14:textId="77777777" w:rsidTr="009968B0">
        <w:trPr>
          <w:trHeight w:val="385"/>
          <w:jc w:val="center"/>
        </w:trPr>
        <w:tc>
          <w:tcPr>
            <w:tcW w:w="9209" w:type="dxa"/>
            <w:shd w:val="clear" w:color="auto" w:fill="auto"/>
            <w:vAlign w:val="center"/>
          </w:tcPr>
          <w:p w14:paraId="33317AB0" w14:textId="77777777" w:rsidR="009968B0" w:rsidRPr="00706618" w:rsidRDefault="009968B0" w:rsidP="005426DD">
            <w:pPr>
              <w:pStyle w:val="ListParagraph"/>
              <w:spacing w:line="320" w:lineRule="exact"/>
              <w:ind w:firstLineChars="0"/>
              <w:jc w:val="center"/>
              <w:rPr>
                <w:rFonts w:cs="Calibri"/>
                <w:b/>
                <w:color w:val="000000"/>
                <w:sz w:val="24"/>
              </w:rPr>
            </w:pPr>
            <w:r w:rsidRPr="00706618">
              <w:rPr>
                <w:rFonts w:cs="Calibri"/>
                <w:b/>
                <w:color w:val="000000"/>
                <w:sz w:val="24"/>
              </w:rPr>
              <w:t>产品准入</w:t>
            </w:r>
          </w:p>
        </w:tc>
      </w:tr>
      <w:tr w:rsidR="009968B0" w:rsidRPr="00706618" w14:paraId="33317AB7" w14:textId="77777777" w:rsidTr="009968B0">
        <w:trPr>
          <w:trHeight w:val="2228"/>
          <w:jc w:val="center"/>
        </w:trPr>
        <w:tc>
          <w:tcPr>
            <w:tcW w:w="9209" w:type="dxa"/>
            <w:shd w:val="clear" w:color="auto" w:fill="auto"/>
            <w:vAlign w:val="center"/>
          </w:tcPr>
          <w:p w14:paraId="33317AB2" w14:textId="77777777" w:rsidR="009968B0" w:rsidRDefault="009968B0" w:rsidP="009968B0">
            <w:pPr>
              <w:numPr>
                <w:ilvl w:val="0"/>
                <w:numId w:val="3"/>
              </w:numPr>
              <w:adjustRightInd w:val="0"/>
              <w:snapToGrid w:val="0"/>
              <w:ind w:left="480" w:hangingChars="200" w:hanging="480"/>
              <w:rPr>
                <w:rFonts w:ascii="Calibri" w:hAnsi="Calibri" w:cs="Calibri"/>
                <w:color w:val="000000"/>
                <w:kern w:val="0"/>
                <w:sz w:val="24"/>
              </w:rPr>
            </w:pPr>
            <w:r w:rsidRPr="003722E0">
              <w:rPr>
                <w:rFonts w:ascii="Calibri" w:hAnsi="Calibri" w:cs="Calibri" w:hint="eastAsia"/>
                <w:color w:val="000000"/>
                <w:kern w:val="0"/>
                <w:sz w:val="24"/>
              </w:rPr>
              <w:lastRenderedPageBreak/>
              <w:t>国债、地方政府债券、央行票据、政策性金融债</w:t>
            </w:r>
          </w:p>
          <w:p w14:paraId="33317AB3" w14:textId="77777777" w:rsidR="009968B0" w:rsidRPr="003722E0" w:rsidRDefault="009968B0" w:rsidP="009968B0">
            <w:pPr>
              <w:numPr>
                <w:ilvl w:val="0"/>
                <w:numId w:val="3"/>
              </w:numPr>
              <w:adjustRightInd w:val="0"/>
              <w:snapToGrid w:val="0"/>
              <w:ind w:left="480" w:hangingChars="200" w:hanging="480"/>
              <w:rPr>
                <w:rFonts w:ascii="Calibri" w:hAnsi="Calibri" w:cs="Calibri"/>
                <w:color w:val="000000"/>
                <w:kern w:val="0"/>
                <w:sz w:val="24"/>
              </w:rPr>
            </w:pPr>
            <w:r w:rsidRPr="003722E0">
              <w:rPr>
                <w:rFonts w:ascii="Calibri" w:hAnsi="Calibri" w:cs="Calibri" w:hint="eastAsia"/>
                <w:color w:val="000000"/>
                <w:kern w:val="0"/>
                <w:sz w:val="24"/>
              </w:rPr>
              <w:t>同业存单</w:t>
            </w:r>
          </w:p>
          <w:p w14:paraId="33317AB4" w14:textId="77777777" w:rsidR="009968B0" w:rsidRDefault="009968B0" w:rsidP="009968B0">
            <w:pPr>
              <w:numPr>
                <w:ilvl w:val="0"/>
                <w:numId w:val="3"/>
              </w:numPr>
              <w:adjustRightInd w:val="0"/>
              <w:snapToGrid w:val="0"/>
              <w:ind w:left="480" w:hangingChars="200" w:hanging="480"/>
              <w:jc w:val="left"/>
              <w:rPr>
                <w:rFonts w:ascii="Calibri" w:hAnsi="Calibri" w:cs="Calibri"/>
                <w:color w:val="000000"/>
                <w:kern w:val="0"/>
                <w:sz w:val="24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</w:rPr>
              <w:t>普通金融债</w:t>
            </w:r>
          </w:p>
          <w:p w14:paraId="33317AB5" w14:textId="77777777" w:rsidR="009968B0" w:rsidRPr="00706618" w:rsidRDefault="009968B0" w:rsidP="009968B0">
            <w:pPr>
              <w:numPr>
                <w:ilvl w:val="0"/>
                <w:numId w:val="3"/>
              </w:numPr>
              <w:adjustRightInd w:val="0"/>
              <w:snapToGrid w:val="0"/>
              <w:ind w:left="480" w:hangingChars="200" w:hanging="480"/>
              <w:jc w:val="left"/>
              <w:rPr>
                <w:rFonts w:ascii="Calibri" w:hAnsi="Calibri" w:cs="Calibri"/>
                <w:color w:val="000000"/>
                <w:kern w:val="0"/>
                <w:sz w:val="24"/>
              </w:rPr>
            </w:pPr>
            <w:r w:rsidRPr="00706618">
              <w:rPr>
                <w:rFonts w:ascii="Calibri" w:hAnsi="Calibri" w:cs="Calibri" w:hint="eastAsia"/>
                <w:color w:val="000000"/>
                <w:kern w:val="0"/>
                <w:sz w:val="24"/>
              </w:rPr>
              <w:t>短期融资券、中期票据、企业债、公司债、非公开定向债务融资工具、大额可转让存单</w:t>
            </w:r>
          </w:p>
          <w:p w14:paraId="33317AB6" w14:textId="77777777" w:rsidR="009968B0" w:rsidRPr="00706618" w:rsidRDefault="009968B0" w:rsidP="009968B0">
            <w:pPr>
              <w:numPr>
                <w:ilvl w:val="0"/>
                <w:numId w:val="3"/>
              </w:numPr>
              <w:adjustRightInd w:val="0"/>
              <w:snapToGrid w:val="0"/>
              <w:ind w:left="480" w:hangingChars="200" w:hanging="480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706618">
              <w:rPr>
                <w:rFonts w:ascii="Calibri" w:hAnsi="Calibri" w:cs="Calibri" w:hint="eastAsia"/>
                <w:color w:val="000000"/>
                <w:kern w:val="0"/>
                <w:sz w:val="24"/>
              </w:rPr>
              <w:t>利率互换、远期利率协议</w:t>
            </w:r>
          </w:p>
        </w:tc>
      </w:tr>
    </w:tbl>
    <w:p w14:paraId="33317AB8" w14:textId="77777777" w:rsidR="009968B0" w:rsidRPr="00CF1FEA" w:rsidRDefault="009968B0" w:rsidP="009968B0">
      <w:pPr>
        <w:adjustRightInd w:val="0"/>
        <w:snapToGrid w:val="0"/>
        <w:jc w:val="center"/>
        <w:rPr>
          <w:rFonts w:ascii="黑体" w:eastAsia="黑体" w:hAnsi="黑体"/>
          <w:szCs w:val="21"/>
        </w:rPr>
      </w:pPr>
    </w:p>
    <w:p w14:paraId="33317AB9" w14:textId="77777777" w:rsidR="009968B0" w:rsidRPr="00DA712D" w:rsidRDefault="009968B0" w:rsidP="00DA712D">
      <w:pPr>
        <w:adjustRightInd w:val="0"/>
        <w:snapToGrid w:val="0"/>
        <w:spacing w:line="560" w:lineRule="atLeast"/>
        <w:ind w:firstLineChars="200" w:firstLine="680"/>
        <w:rPr>
          <w:rFonts w:ascii="仿宋_GB2312" w:eastAsia="仿宋_GB2312"/>
          <w:snapToGrid w:val="0"/>
          <w:spacing w:val="10"/>
          <w:kern w:val="0"/>
          <w:sz w:val="32"/>
          <w:szCs w:val="32"/>
        </w:rPr>
      </w:pPr>
      <w:r w:rsidRPr="00DA712D">
        <w:rPr>
          <w:rFonts w:ascii="仿宋_GB2312" w:eastAsia="仿宋_GB2312" w:hint="eastAsia"/>
          <w:snapToGrid w:val="0"/>
          <w:spacing w:val="10"/>
          <w:kern w:val="0"/>
          <w:sz w:val="32"/>
          <w:szCs w:val="32"/>
        </w:rPr>
        <w:t>（4）</w:t>
      </w:r>
      <w:r w:rsidRPr="00DA712D">
        <w:rPr>
          <w:rFonts w:ascii="仿宋_GB2312" w:eastAsia="仿宋_GB2312"/>
          <w:snapToGrid w:val="0"/>
          <w:spacing w:val="10"/>
          <w:kern w:val="0"/>
          <w:sz w:val="32"/>
          <w:szCs w:val="32"/>
        </w:rPr>
        <w:t>外币债券投资业务</w:t>
      </w:r>
    </w:p>
    <w:p w14:paraId="33317ABA" w14:textId="77777777" w:rsidR="009968B0" w:rsidRPr="00CF1FEA" w:rsidRDefault="009968B0" w:rsidP="009968B0">
      <w:pPr>
        <w:adjustRightInd w:val="0"/>
        <w:snapToGrid w:val="0"/>
        <w:jc w:val="center"/>
        <w:rPr>
          <w:rFonts w:ascii="黑体" w:eastAsia="黑体" w:hAnsi="黑体"/>
          <w:szCs w:val="21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09"/>
      </w:tblGrid>
      <w:tr w:rsidR="009968B0" w:rsidRPr="005442C0" w14:paraId="33317ABC" w14:textId="77777777" w:rsidTr="009968B0">
        <w:trPr>
          <w:trHeight w:val="385"/>
          <w:jc w:val="center"/>
        </w:trPr>
        <w:tc>
          <w:tcPr>
            <w:tcW w:w="9209" w:type="dxa"/>
            <w:shd w:val="clear" w:color="auto" w:fill="auto"/>
            <w:vAlign w:val="center"/>
          </w:tcPr>
          <w:p w14:paraId="33317ABB" w14:textId="77777777" w:rsidR="009968B0" w:rsidRPr="005442C0" w:rsidRDefault="009968B0" w:rsidP="005426DD">
            <w:pPr>
              <w:pStyle w:val="ListParagraph"/>
              <w:spacing w:line="320" w:lineRule="exact"/>
              <w:ind w:firstLineChars="0"/>
              <w:jc w:val="center"/>
              <w:rPr>
                <w:rFonts w:cs="Calibri"/>
                <w:b/>
                <w:color w:val="000000"/>
                <w:sz w:val="24"/>
              </w:rPr>
            </w:pPr>
            <w:r w:rsidRPr="005442C0">
              <w:rPr>
                <w:rFonts w:cs="Calibri"/>
                <w:b/>
                <w:color w:val="000000"/>
                <w:sz w:val="24"/>
              </w:rPr>
              <w:t>产品准入</w:t>
            </w:r>
          </w:p>
        </w:tc>
      </w:tr>
      <w:tr w:rsidR="009968B0" w:rsidRPr="005442C0" w14:paraId="33317AC0" w14:textId="77777777" w:rsidTr="009968B0">
        <w:trPr>
          <w:trHeight w:val="1441"/>
          <w:jc w:val="center"/>
        </w:trPr>
        <w:tc>
          <w:tcPr>
            <w:tcW w:w="9209" w:type="dxa"/>
            <w:shd w:val="clear" w:color="auto" w:fill="auto"/>
            <w:vAlign w:val="center"/>
          </w:tcPr>
          <w:p w14:paraId="33317ABD" w14:textId="77777777" w:rsidR="009968B0" w:rsidRPr="00252755" w:rsidRDefault="009968B0" w:rsidP="009968B0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Calibri" w:hAnsi="Calibri" w:cs="Calibri"/>
                <w:color w:val="000000"/>
                <w:kern w:val="0"/>
                <w:sz w:val="24"/>
              </w:rPr>
            </w:pPr>
            <w:r>
              <w:rPr>
                <w:rFonts w:ascii="Calibri" w:hAnsi="Calibri" w:cs="Calibri"/>
                <w:color w:val="000000"/>
                <w:kern w:val="0"/>
                <w:sz w:val="24"/>
              </w:rPr>
              <w:t>国债、政府支持机构债、国际多边机构债</w:t>
            </w:r>
          </w:p>
          <w:p w14:paraId="33317ABE" w14:textId="77777777" w:rsidR="009968B0" w:rsidRPr="009A469B" w:rsidRDefault="009968B0" w:rsidP="009968B0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Calibri" w:hAnsi="Calibri" w:cs="Calibri"/>
                <w:kern w:val="0"/>
                <w:sz w:val="24"/>
              </w:rPr>
            </w:pPr>
            <w:r w:rsidRPr="009A469B">
              <w:rPr>
                <w:rFonts w:ascii="Calibri" w:hAnsi="Calibri" w:cs="Calibri"/>
                <w:kern w:val="0"/>
                <w:sz w:val="24"/>
              </w:rPr>
              <w:t>商业票据、同业存单、公司债</w:t>
            </w:r>
          </w:p>
          <w:p w14:paraId="33317ABF" w14:textId="77777777" w:rsidR="009968B0" w:rsidRPr="005442C0" w:rsidRDefault="009968B0" w:rsidP="009968B0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Calibri" w:hAnsi="Calibri" w:cs="Calibri"/>
                <w:i/>
                <w:color w:val="000000"/>
                <w:kern w:val="0"/>
                <w:sz w:val="22"/>
              </w:rPr>
            </w:pPr>
            <w:r w:rsidRPr="0086095D">
              <w:rPr>
                <w:rFonts w:ascii="Calibri" w:hAnsi="Calibri" w:cs="Calibri"/>
                <w:kern w:val="0"/>
                <w:sz w:val="24"/>
              </w:rPr>
              <w:t>远期利率协议、利率互换、货币掉期</w:t>
            </w:r>
          </w:p>
        </w:tc>
      </w:tr>
    </w:tbl>
    <w:p w14:paraId="33317AC1" w14:textId="77777777" w:rsidR="009968B0" w:rsidRPr="00CF1FEA" w:rsidRDefault="009968B0" w:rsidP="009968B0">
      <w:pPr>
        <w:adjustRightInd w:val="0"/>
        <w:snapToGrid w:val="0"/>
        <w:jc w:val="center"/>
        <w:rPr>
          <w:rFonts w:ascii="黑体" w:eastAsia="黑体" w:hAnsi="黑体"/>
          <w:szCs w:val="21"/>
        </w:rPr>
      </w:pPr>
    </w:p>
    <w:p w14:paraId="33317AC2" w14:textId="77777777" w:rsidR="009968B0" w:rsidRPr="00DA712D" w:rsidRDefault="009968B0" w:rsidP="00DA712D">
      <w:pPr>
        <w:adjustRightInd w:val="0"/>
        <w:snapToGrid w:val="0"/>
        <w:spacing w:line="560" w:lineRule="atLeast"/>
        <w:ind w:firstLineChars="200" w:firstLine="680"/>
        <w:rPr>
          <w:rFonts w:ascii="仿宋_GB2312" w:eastAsia="仿宋_GB2312"/>
          <w:snapToGrid w:val="0"/>
          <w:spacing w:val="10"/>
          <w:kern w:val="0"/>
          <w:sz w:val="32"/>
          <w:szCs w:val="32"/>
        </w:rPr>
      </w:pPr>
      <w:r w:rsidRPr="00DA712D">
        <w:rPr>
          <w:rFonts w:ascii="仿宋_GB2312" w:eastAsia="仿宋_GB2312" w:hint="eastAsia"/>
          <w:snapToGrid w:val="0"/>
          <w:spacing w:val="10"/>
          <w:kern w:val="0"/>
          <w:sz w:val="32"/>
          <w:szCs w:val="32"/>
        </w:rPr>
        <w:t>（5）</w:t>
      </w:r>
      <w:r w:rsidRPr="00DA712D">
        <w:rPr>
          <w:rFonts w:ascii="仿宋_GB2312" w:eastAsia="仿宋_GB2312"/>
          <w:snapToGrid w:val="0"/>
          <w:spacing w:val="10"/>
          <w:kern w:val="0"/>
          <w:sz w:val="32"/>
          <w:szCs w:val="32"/>
        </w:rPr>
        <w:t>外币司库业务</w:t>
      </w:r>
    </w:p>
    <w:p w14:paraId="33317AC3" w14:textId="77777777" w:rsidR="009968B0" w:rsidRPr="00CF1FEA" w:rsidRDefault="009968B0" w:rsidP="009968B0">
      <w:pPr>
        <w:adjustRightInd w:val="0"/>
        <w:snapToGrid w:val="0"/>
        <w:jc w:val="center"/>
        <w:rPr>
          <w:rFonts w:ascii="黑体" w:eastAsia="黑体" w:hAnsi="黑体"/>
          <w:szCs w:val="21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09"/>
      </w:tblGrid>
      <w:tr w:rsidR="009968B0" w:rsidRPr="005442C0" w14:paraId="33317AC5" w14:textId="77777777" w:rsidTr="009968B0">
        <w:trPr>
          <w:tblHeader/>
          <w:jc w:val="center"/>
        </w:trPr>
        <w:tc>
          <w:tcPr>
            <w:tcW w:w="9209" w:type="dxa"/>
            <w:shd w:val="clear" w:color="auto" w:fill="auto"/>
            <w:vAlign w:val="center"/>
          </w:tcPr>
          <w:p w14:paraId="33317AC4" w14:textId="77777777" w:rsidR="009968B0" w:rsidRPr="005442C0" w:rsidRDefault="009968B0" w:rsidP="005426DD">
            <w:pPr>
              <w:spacing w:line="320" w:lineRule="exact"/>
              <w:jc w:val="center"/>
              <w:rPr>
                <w:rFonts w:ascii="Calibri" w:hAnsi="Calibri" w:cs="Calibri"/>
                <w:color w:val="000000"/>
                <w:kern w:val="0"/>
                <w:sz w:val="24"/>
              </w:rPr>
            </w:pPr>
            <w:r w:rsidRPr="005442C0">
              <w:rPr>
                <w:rFonts w:ascii="Calibri" w:hAnsi="Calibri" w:cs="Calibri"/>
                <w:b/>
                <w:bCs/>
                <w:color w:val="000000"/>
                <w:sz w:val="24"/>
              </w:rPr>
              <w:t>产品准入</w:t>
            </w:r>
          </w:p>
        </w:tc>
      </w:tr>
      <w:tr w:rsidR="009968B0" w:rsidRPr="0086095D" w14:paraId="33317ACB" w14:textId="77777777" w:rsidTr="009968B0">
        <w:trPr>
          <w:trHeight w:val="556"/>
          <w:jc w:val="center"/>
        </w:trPr>
        <w:tc>
          <w:tcPr>
            <w:tcW w:w="9209" w:type="dxa"/>
            <w:shd w:val="clear" w:color="auto" w:fill="auto"/>
            <w:vAlign w:val="center"/>
          </w:tcPr>
          <w:p w14:paraId="33317AC6" w14:textId="77777777" w:rsidR="009968B0" w:rsidRPr="005442C0" w:rsidRDefault="009968B0" w:rsidP="009968B0">
            <w:pPr>
              <w:widowControl/>
              <w:numPr>
                <w:ilvl w:val="0"/>
                <w:numId w:val="3"/>
              </w:numPr>
              <w:snapToGrid w:val="0"/>
              <w:ind w:left="0" w:firstLine="0"/>
              <w:jc w:val="left"/>
              <w:rPr>
                <w:rFonts w:ascii="Calibri" w:hAnsi="Calibri" w:cs="Calibri"/>
                <w:color w:val="000000"/>
                <w:kern w:val="0"/>
                <w:sz w:val="24"/>
              </w:rPr>
            </w:pPr>
            <w:r w:rsidRPr="005442C0">
              <w:rPr>
                <w:rFonts w:ascii="Calibri" w:hAnsi="Calibri" w:cs="Calibri"/>
                <w:color w:val="000000"/>
                <w:kern w:val="0"/>
                <w:sz w:val="24"/>
              </w:rPr>
              <w:t>资金拆借内部交易</w:t>
            </w:r>
          </w:p>
          <w:p w14:paraId="33317AC7" w14:textId="77777777" w:rsidR="009968B0" w:rsidRPr="005442C0" w:rsidRDefault="009968B0" w:rsidP="009968B0">
            <w:pPr>
              <w:widowControl/>
              <w:numPr>
                <w:ilvl w:val="0"/>
                <w:numId w:val="3"/>
              </w:numPr>
              <w:snapToGrid w:val="0"/>
              <w:jc w:val="left"/>
              <w:rPr>
                <w:rFonts w:ascii="Calibri" w:hAnsi="Calibri" w:cs="Calibri"/>
                <w:color w:val="000000"/>
                <w:kern w:val="0"/>
                <w:sz w:val="24"/>
              </w:rPr>
            </w:pPr>
            <w:r w:rsidRPr="005442C0">
              <w:rPr>
                <w:rFonts w:ascii="Calibri" w:hAnsi="Calibri" w:cs="Calibri"/>
                <w:color w:val="000000"/>
                <w:kern w:val="0"/>
                <w:sz w:val="24"/>
              </w:rPr>
              <w:t>授信范围内的同业拆借、外汇即、远</w:t>
            </w:r>
            <w:r>
              <w:rPr>
                <w:rFonts w:ascii="Calibri" w:hAnsi="Calibri" w:cs="Calibri" w:hint="eastAsia"/>
                <w:color w:val="000000"/>
                <w:kern w:val="0"/>
                <w:sz w:val="24"/>
              </w:rPr>
              <w:t>、</w:t>
            </w:r>
            <w:r w:rsidRPr="005442C0">
              <w:rPr>
                <w:rFonts w:ascii="Calibri" w:hAnsi="Calibri" w:cs="Calibri"/>
                <w:color w:val="000000"/>
                <w:kern w:val="0"/>
                <w:sz w:val="24"/>
              </w:rPr>
              <w:t>掉期</w:t>
            </w:r>
          </w:p>
          <w:p w14:paraId="33317AC8" w14:textId="77777777" w:rsidR="009968B0" w:rsidRPr="00306C18" w:rsidRDefault="009968B0" w:rsidP="009968B0">
            <w:pPr>
              <w:widowControl/>
              <w:numPr>
                <w:ilvl w:val="0"/>
                <w:numId w:val="3"/>
              </w:numPr>
              <w:snapToGrid w:val="0"/>
              <w:ind w:left="0" w:firstLine="0"/>
              <w:jc w:val="left"/>
              <w:rPr>
                <w:rFonts w:ascii="Calibri" w:hAnsi="Calibri" w:cs="Calibri"/>
                <w:kern w:val="0"/>
                <w:sz w:val="24"/>
              </w:rPr>
            </w:pPr>
            <w:r w:rsidRPr="005442C0">
              <w:rPr>
                <w:rFonts w:ascii="Calibri" w:hAnsi="Calibri" w:cs="Calibri"/>
                <w:color w:val="000000"/>
                <w:kern w:val="0"/>
                <w:sz w:val="24"/>
              </w:rPr>
              <w:t>债券回购</w:t>
            </w:r>
            <w:r>
              <w:rPr>
                <w:rFonts w:ascii="Calibri" w:hAnsi="Calibri" w:cs="Calibri"/>
                <w:color w:val="000000"/>
                <w:kern w:val="0"/>
                <w:sz w:val="24"/>
              </w:rPr>
              <w:t>、期限</w:t>
            </w:r>
            <w:r>
              <w:rPr>
                <w:rFonts w:ascii="Calibri" w:hAnsi="Calibri" w:cs="Calibri" w:hint="eastAsia"/>
                <w:color w:val="000000"/>
                <w:kern w:val="0"/>
                <w:sz w:val="24"/>
              </w:rPr>
              <w:t>1</w:t>
            </w:r>
            <w:r w:rsidRPr="005442C0">
              <w:rPr>
                <w:rFonts w:ascii="Calibri" w:hAnsi="Calibri" w:cs="Calibri"/>
                <w:color w:val="000000"/>
                <w:kern w:val="0"/>
                <w:sz w:val="24"/>
              </w:rPr>
              <w:t>年以内美国国债投资、</w:t>
            </w:r>
            <w:r w:rsidRPr="005442C0">
              <w:rPr>
                <w:rFonts w:ascii="Calibri" w:hAnsi="Calibri" w:cs="Calibri"/>
                <w:color w:val="000000"/>
                <w:kern w:val="0"/>
                <w:sz w:val="24"/>
              </w:rPr>
              <w:t>CD/</w:t>
            </w:r>
            <w:r w:rsidRPr="005442C0">
              <w:rPr>
                <w:rFonts w:ascii="Calibri" w:hAnsi="Calibri" w:cs="Calibri"/>
                <w:color w:val="000000"/>
                <w:kern w:val="0"/>
                <w:sz w:val="24"/>
              </w:rPr>
              <w:t>商业票据投资、短期公司债券</w:t>
            </w:r>
            <w:r>
              <w:rPr>
                <w:rFonts w:ascii="Calibri" w:hAnsi="Calibri" w:cs="Calibri" w:hint="eastAsia"/>
                <w:kern w:val="0"/>
                <w:sz w:val="24"/>
              </w:rPr>
              <w:t>、</w:t>
            </w:r>
            <w:r w:rsidRPr="00306C18">
              <w:rPr>
                <w:rFonts w:ascii="Calibri" w:hAnsi="Calibri" w:cs="Calibri" w:hint="eastAsia"/>
                <w:kern w:val="0"/>
                <w:sz w:val="24"/>
              </w:rPr>
              <w:t>英国国债</w:t>
            </w:r>
            <w:r>
              <w:rPr>
                <w:rFonts w:ascii="Calibri" w:hAnsi="Calibri" w:cs="Calibri" w:hint="eastAsia"/>
                <w:kern w:val="0"/>
                <w:sz w:val="24"/>
              </w:rPr>
              <w:t>、</w:t>
            </w:r>
            <w:r w:rsidRPr="00306C18">
              <w:rPr>
                <w:rFonts w:ascii="Calibri" w:hAnsi="Calibri" w:cs="Calibri" w:hint="eastAsia"/>
                <w:kern w:val="0"/>
                <w:sz w:val="24"/>
              </w:rPr>
              <w:t>德国国债</w:t>
            </w:r>
          </w:p>
          <w:p w14:paraId="33317AC9" w14:textId="77777777" w:rsidR="009968B0" w:rsidRPr="00306C18" w:rsidRDefault="009968B0" w:rsidP="009968B0">
            <w:pPr>
              <w:widowControl/>
              <w:numPr>
                <w:ilvl w:val="0"/>
                <w:numId w:val="3"/>
              </w:numPr>
              <w:snapToGrid w:val="0"/>
              <w:ind w:left="0" w:firstLine="0"/>
              <w:jc w:val="left"/>
              <w:rPr>
                <w:rFonts w:ascii="Calibri" w:hAnsi="Calibri" w:cs="Calibri"/>
                <w:kern w:val="0"/>
                <w:sz w:val="24"/>
              </w:rPr>
            </w:pPr>
            <w:r w:rsidRPr="00306C18">
              <w:rPr>
                <w:rFonts w:ascii="Calibri" w:hAnsi="Calibri" w:cs="Calibri"/>
                <w:kern w:val="0"/>
                <w:sz w:val="24"/>
              </w:rPr>
              <w:t>外币同业存单发行</w:t>
            </w:r>
          </w:p>
          <w:p w14:paraId="33317ACA" w14:textId="77777777" w:rsidR="009968B0" w:rsidRPr="0086095D" w:rsidRDefault="009968B0" w:rsidP="009968B0">
            <w:pPr>
              <w:widowControl/>
              <w:numPr>
                <w:ilvl w:val="0"/>
                <w:numId w:val="3"/>
              </w:numPr>
              <w:snapToGrid w:val="0"/>
              <w:ind w:left="0" w:firstLine="0"/>
              <w:jc w:val="left"/>
              <w:rPr>
                <w:rFonts w:ascii="Calibri" w:hAnsi="Calibri" w:cs="Calibri"/>
                <w:kern w:val="0"/>
                <w:sz w:val="24"/>
              </w:rPr>
            </w:pPr>
            <w:r w:rsidRPr="00306C18">
              <w:rPr>
                <w:rFonts w:ascii="Calibri" w:hAnsi="Calibri" w:cs="Calibri"/>
                <w:kern w:val="0"/>
                <w:sz w:val="24"/>
              </w:rPr>
              <w:t>远期利率协议、利率互换，</w:t>
            </w:r>
            <w:r w:rsidRPr="00306C18">
              <w:rPr>
                <w:rFonts w:ascii="Calibri" w:hAnsi="Calibri" w:cs="Calibri" w:hint="eastAsia"/>
                <w:kern w:val="0"/>
                <w:sz w:val="24"/>
              </w:rPr>
              <w:t>交叉货币掉期</w:t>
            </w:r>
          </w:p>
        </w:tc>
      </w:tr>
    </w:tbl>
    <w:p w14:paraId="33317ACC" w14:textId="77777777" w:rsidR="009968B0" w:rsidRPr="0053378A" w:rsidRDefault="009968B0" w:rsidP="0053378A">
      <w:pPr>
        <w:adjustRightInd w:val="0"/>
        <w:snapToGrid w:val="0"/>
        <w:jc w:val="center"/>
        <w:rPr>
          <w:rFonts w:ascii="黑体" w:eastAsia="黑体" w:hAnsi="黑体"/>
          <w:szCs w:val="21"/>
        </w:rPr>
      </w:pPr>
    </w:p>
    <w:p w14:paraId="33317ACD" w14:textId="77777777" w:rsidR="009968B0" w:rsidRPr="009B2274" w:rsidRDefault="009968B0" w:rsidP="009968B0">
      <w:pPr>
        <w:adjustRightInd w:val="0"/>
        <w:snapToGrid w:val="0"/>
        <w:spacing w:line="560" w:lineRule="atLeast"/>
        <w:ind w:firstLineChars="200" w:firstLine="680"/>
        <w:rPr>
          <w:rFonts w:ascii="仿宋_GB2312" w:eastAsia="仿宋_GB2312" w:hAnsi="仿宋"/>
          <w:spacing w:val="10"/>
          <w:sz w:val="32"/>
          <w:szCs w:val="32"/>
        </w:rPr>
      </w:pPr>
      <w:r w:rsidRPr="009B2274">
        <w:rPr>
          <w:rFonts w:ascii="仿宋_GB2312" w:eastAsia="仿宋_GB2312" w:hAnsi="仿宋" w:hint="eastAsia"/>
          <w:spacing w:val="10"/>
          <w:sz w:val="32"/>
          <w:szCs w:val="32"/>
        </w:rPr>
        <w:t>2</w:t>
      </w:r>
      <w:r w:rsidRPr="009B2274">
        <w:rPr>
          <w:rFonts w:ascii="仿宋_GB2312" w:eastAsia="仿宋_GB2312" w:hAnsi="仿宋"/>
          <w:spacing w:val="10"/>
          <w:sz w:val="32"/>
          <w:szCs w:val="32"/>
        </w:rPr>
        <w:t>.</w:t>
      </w:r>
      <w:r w:rsidRPr="009B2274">
        <w:rPr>
          <w:rFonts w:ascii="仿宋_GB2312" w:eastAsia="仿宋_GB2312" w:hAnsi="仿宋" w:hint="eastAsia"/>
          <w:spacing w:val="10"/>
          <w:sz w:val="32"/>
          <w:szCs w:val="32"/>
        </w:rPr>
        <w:t>被授权人：</w:t>
      </w:r>
      <w:r>
        <w:rPr>
          <w:rFonts w:ascii="仿宋_GB2312" w:eastAsia="仿宋_GB2312" w:hAnsi="仿宋" w:hint="eastAsia"/>
          <w:spacing w:val="10"/>
          <w:sz w:val="32"/>
          <w:szCs w:val="32"/>
        </w:rPr>
        <w:t>伦敦</w:t>
      </w:r>
      <w:r w:rsidRPr="008D242E">
        <w:rPr>
          <w:rFonts w:ascii="仿宋_GB2312" w:eastAsia="仿宋_GB2312" w:hAnsi="仿宋"/>
          <w:spacing w:val="10"/>
          <w:sz w:val="32"/>
          <w:szCs w:val="32"/>
        </w:rPr>
        <w:t>分行</w:t>
      </w:r>
      <w:r>
        <w:rPr>
          <w:rFonts w:ascii="仿宋_GB2312" w:eastAsia="仿宋_GB2312" w:hAnsi="仿宋" w:hint="eastAsia"/>
          <w:spacing w:val="10"/>
          <w:sz w:val="32"/>
          <w:szCs w:val="32"/>
        </w:rPr>
        <w:t>金融市场业务</w:t>
      </w:r>
      <w:r w:rsidRPr="008D242E">
        <w:rPr>
          <w:rFonts w:ascii="仿宋_GB2312" w:eastAsia="仿宋_GB2312" w:hAnsi="仿宋"/>
          <w:spacing w:val="10"/>
          <w:sz w:val="32"/>
          <w:szCs w:val="32"/>
        </w:rPr>
        <w:t>主管</w:t>
      </w:r>
      <w:r>
        <w:rPr>
          <w:rFonts w:ascii="仿宋_GB2312" w:eastAsia="仿宋_GB2312" w:hAnsi="仿宋" w:hint="eastAsia"/>
          <w:spacing w:val="10"/>
          <w:sz w:val="32"/>
          <w:szCs w:val="32"/>
        </w:rPr>
        <w:t>行</w:t>
      </w:r>
      <w:r w:rsidRPr="008D242E">
        <w:rPr>
          <w:rFonts w:ascii="仿宋_GB2312" w:eastAsia="仿宋_GB2312" w:hAnsi="仿宋"/>
          <w:spacing w:val="10"/>
          <w:sz w:val="32"/>
          <w:szCs w:val="32"/>
        </w:rPr>
        <w:t>领导</w:t>
      </w:r>
      <w:r w:rsidRPr="008D242E">
        <w:rPr>
          <w:rFonts w:ascii="仿宋_GB2312" w:eastAsia="仿宋_GB2312" w:hAnsi="仿宋" w:hint="eastAsia"/>
          <w:spacing w:val="10"/>
          <w:sz w:val="32"/>
          <w:szCs w:val="32"/>
        </w:rPr>
        <w:t>、</w:t>
      </w:r>
      <w:r>
        <w:rPr>
          <w:rFonts w:ascii="仿宋_GB2312" w:eastAsia="仿宋_GB2312" w:hAnsi="仿宋" w:hint="eastAsia"/>
          <w:spacing w:val="10"/>
          <w:sz w:val="32"/>
          <w:szCs w:val="32"/>
        </w:rPr>
        <w:t>伦敦</w:t>
      </w:r>
      <w:r w:rsidRPr="008D242E">
        <w:rPr>
          <w:rFonts w:ascii="仿宋_GB2312" w:eastAsia="仿宋_GB2312" w:hAnsi="仿宋"/>
          <w:spacing w:val="10"/>
          <w:sz w:val="32"/>
          <w:szCs w:val="32"/>
        </w:rPr>
        <w:t>分行</w:t>
      </w:r>
      <w:r w:rsidRPr="008D242E">
        <w:rPr>
          <w:rFonts w:ascii="仿宋_GB2312" w:eastAsia="仿宋_GB2312" w:hAnsi="仿宋" w:hint="eastAsia"/>
          <w:spacing w:val="10"/>
          <w:sz w:val="32"/>
          <w:szCs w:val="32"/>
        </w:rPr>
        <w:t>金融市场</w:t>
      </w:r>
      <w:r w:rsidR="00347470">
        <w:rPr>
          <w:rFonts w:ascii="仿宋_GB2312" w:eastAsia="仿宋_GB2312" w:hAnsi="仿宋" w:hint="eastAsia"/>
          <w:spacing w:val="10"/>
          <w:sz w:val="32"/>
          <w:szCs w:val="32"/>
        </w:rPr>
        <w:t>部</w:t>
      </w:r>
      <w:r w:rsidRPr="008D242E">
        <w:rPr>
          <w:rFonts w:ascii="仿宋_GB2312" w:eastAsia="仿宋_GB2312" w:hAnsi="仿宋"/>
          <w:spacing w:val="10"/>
          <w:sz w:val="32"/>
          <w:szCs w:val="32"/>
        </w:rPr>
        <w:t>部门</w:t>
      </w:r>
      <w:r>
        <w:rPr>
          <w:rFonts w:ascii="仿宋_GB2312" w:eastAsia="仿宋_GB2312" w:hAnsi="仿宋" w:hint="eastAsia"/>
          <w:spacing w:val="10"/>
          <w:sz w:val="32"/>
          <w:szCs w:val="32"/>
        </w:rPr>
        <w:t>负责人</w:t>
      </w:r>
    </w:p>
    <w:p w14:paraId="33317ACE" w14:textId="77777777" w:rsidR="009968B0" w:rsidRPr="009968B0" w:rsidRDefault="009968B0" w:rsidP="009968B0">
      <w:pPr>
        <w:adjustRightInd w:val="0"/>
        <w:snapToGrid w:val="0"/>
        <w:spacing w:line="590" w:lineRule="atLeast"/>
        <w:ind w:firstLineChars="200" w:firstLine="640"/>
        <w:rPr>
          <w:rFonts w:ascii="楷体_GB2312" w:eastAsia="楷体_GB2312" w:hAnsi="楷体"/>
          <w:sz w:val="32"/>
          <w:szCs w:val="32"/>
        </w:rPr>
      </w:pPr>
      <w:r w:rsidRPr="009968B0">
        <w:rPr>
          <w:rFonts w:ascii="楷体_GB2312" w:eastAsia="楷体_GB2312" w:hAnsi="楷体" w:hint="eastAsia"/>
          <w:sz w:val="32"/>
          <w:szCs w:val="32"/>
        </w:rPr>
        <w:t>（</w:t>
      </w:r>
      <w:r>
        <w:rPr>
          <w:rFonts w:ascii="楷体_GB2312" w:eastAsia="楷体_GB2312" w:hAnsi="楷体" w:hint="eastAsia"/>
          <w:sz w:val="32"/>
          <w:szCs w:val="32"/>
        </w:rPr>
        <w:t>二</w:t>
      </w:r>
      <w:r w:rsidRPr="009968B0">
        <w:rPr>
          <w:rFonts w:ascii="楷体_GB2312" w:eastAsia="楷体_GB2312" w:hAnsi="楷体"/>
          <w:sz w:val="32"/>
          <w:szCs w:val="32"/>
        </w:rPr>
        <w:t>）具体管理规定</w:t>
      </w:r>
    </w:p>
    <w:p w14:paraId="33317ACF" w14:textId="39FA1CEA" w:rsidR="009968B0" w:rsidRPr="00B36DB1" w:rsidRDefault="00F7601D" w:rsidP="00B36DB1">
      <w:pPr>
        <w:adjustRightInd w:val="0"/>
        <w:snapToGrid w:val="0"/>
        <w:spacing w:line="590" w:lineRule="atLeast"/>
        <w:ind w:firstLineChars="200" w:firstLine="680"/>
        <w:rPr>
          <w:rFonts w:ascii="仿宋_GB2312" w:eastAsia="仿宋_GB2312" w:hAnsi="仿宋"/>
          <w:spacing w:val="10"/>
          <w:sz w:val="32"/>
          <w:szCs w:val="32"/>
        </w:rPr>
      </w:pPr>
      <w:r w:rsidRPr="00F7601D">
        <w:rPr>
          <w:rFonts w:ascii="仿宋_GB2312" w:eastAsia="仿宋_GB2312" w:hAnsi="仿宋" w:hint="eastAsia"/>
          <w:spacing w:val="10"/>
          <w:sz w:val="32"/>
          <w:szCs w:val="32"/>
        </w:rPr>
        <w:t>准入业务应先行制定完备的管理制度，明确业务管理机制、操作规程、相关风险的控制措施等，严控各类风险。</w:t>
      </w:r>
    </w:p>
    <w:p w14:paraId="33317AD0" w14:textId="77777777" w:rsidR="009968B0" w:rsidRPr="008D242E" w:rsidRDefault="009968B0" w:rsidP="009968B0">
      <w:pPr>
        <w:adjustRightInd w:val="0"/>
        <w:snapToGrid w:val="0"/>
        <w:spacing w:line="560" w:lineRule="atLeast"/>
        <w:ind w:firstLineChars="192" w:firstLine="660"/>
        <w:rPr>
          <w:rFonts w:ascii="黑体" w:eastAsia="黑体" w:hAnsi="黑体"/>
          <w:spacing w:val="12"/>
          <w:sz w:val="32"/>
          <w:szCs w:val="32"/>
        </w:rPr>
      </w:pPr>
      <w:r w:rsidRPr="008D242E">
        <w:rPr>
          <w:rFonts w:ascii="黑体" w:eastAsia="黑体" w:hAnsi="黑体" w:hint="eastAsia"/>
          <w:spacing w:val="12"/>
          <w:sz w:val="32"/>
          <w:szCs w:val="32"/>
        </w:rPr>
        <w:t>二</w:t>
      </w:r>
      <w:r w:rsidRPr="008D242E">
        <w:rPr>
          <w:rFonts w:ascii="黑体" w:eastAsia="黑体" w:hAnsi="黑体"/>
          <w:spacing w:val="12"/>
          <w:sz w:val="32"/>
          <w:szCs w:val="32"/>
        </w:rPr>
        <w:t>、</w:t>
      </w:r>
      <w:r w:rsidRPr="008D242E">
        <w:rPr>
          <w:rFonts w:ascii="黑体" w:eastAsia="黑体" w:hAnsi="黑体" w:hint="eastAsia"/>
          <w:spacing w:val="12"/>
          <w:sz w:val="32"/>
          <w:szCs w:val="32"/>
        </w:rPr>
        <w:t>实施方案</w:t>
      </w:r>
    </w:p>
    <w:p w14:paraId="33317AD1" w14:textId="77777777" w:rsidR="009968B0" w:rsidRPr="00DA712D" w:rsidRDefault="009968B0" w:rsidP="00DA712D">
      <w:pPr>
        <w:adjustRightInd w:val="0"/>
        <w:snapToGrid w:val="0"/>
        <w:spacing w:line="590" w:lineRule="atLeast"/>
        <w:ind w:firstLineChars="200" w:firstLine="640"/>
        <w:rPr>
          <w:rFonts w:ascii="楷体_GB2312" w:eastAsia="楷体_GB2312" w:hAnsi="楷体"/>
          <w:sz w:val="32"/>
          <w:szCs w:val="32"/>
        </w:rPr>
      </w:pPr>
      <w:r w:rsidRPr="00DA712D">
        <w:rPr>
          <w:rFonts w:ascii="楷体_GB2312" w:eastAsia="楷体_GB2312" w:hAnsi="楷体" w:hint="eastAsia"/>
          <w:sz w:val="32"/>
          <w:szCs w:val="32"/>
        </w:rPr>
        <w:t>（一）市场风险限额</w:t>
      </w:r>
    </w:p>
    <w:p w14:paraId="33317AD2" w14:textId="77777777" w:rsidR="00DA712D" w:rsidRPr="00DA712D" w:rsidRDefault="00DA712D" w:rsidP="00DA712D">
      <w:pPr>
        <w:adjustRightInd w:val="0"/>
        <w:snapToGrid w:val="0"/>
        <w:spacing w:line="560" w:lineRule="atLeast"/>
        <w:ind w:firstLineChars="200" w:firstLine="680"/>
        <w:rPr>
          <w:rFonts w:ascii="仿宋_GB2312" w:eastAsia="仿宋_GB2312"/>
          <w:snapToGrid w:val="0"/>
          <w:spacing w:val="10"/>
          <w:kern w:val="0"/>
          <w:sz w:val="32"/>
          <w:szCs w:val="32"/>
        </w:rPr>
      </w:pPr>
      <w:r w:rsidRPr="00DA712D">
        <w:rPr>
          <w:rFonts w:ascii="仿宋_GB2312" w:eastAsia="仿宋_GB2312" w:hint="eastAsia"/>
          <w:snapToGrid w:val="0"/>
          <w:spacing w:val="10"/>
          <w:kern w:val="0"/>
          <w:sz w:val="32"/>
          <w:szCs w:val="32"/>
        </w:rPr>
        <w:t>1</w:t>
      </w:r>
      <w:r w:rsidRPr="00DA712D">
        <w:rPr>
          <w:rFonts w:ascii="仿宋_GB2312" w:eastAsia="仿宋_GB2312"/>
          <w:snapToGrid w:val="0"/>
          <w:spacing w:val="10"/>
          <w:kern w:val="0"/>
          <w:sz w:val="32"/>
          <w:szCs w:val="32"/>
        </w:rPr>
        <w:t>.</w:t>
      </w:r>
      <w:r w:rsidRPr="00DA712D">
        <w:rPr>
          <w:rFonts w:ascii="仿宋_GB2312" w:eastAsia="仿宋_GB2312" w:hint="eastAsia"/>
          <w:snapToGrid w:val="0"/>
          <w:spacing w:val="10"/>
          <w:kern w:val="0"/>
          <w:sz w:val="32"/>
          <w:szCs w:val="32"/>
        </w:rPr>
        <w:t>外币利率交易业务</w:t>
      </w:r>
    </w:p>
    <w:p w14:paraId="33317AD3" w14:textId="77777777" w:rsidR="00DA712D" w:rsidRPr="00200795" w:rsidRDefault="00DA712D" w:rsidP="00DA712D">
      <w:pPr>
        <w:adjustRightInd w:val="0"/>
        <w:snapToGrid w:val="0"/>
        <w:jc w:val="center"/>
        <w:rPr>
          <w:rFonts w:ascii="黑体" w:eastAsia="黑体" w:hAnsi="黑体"/>
          <w:szCs w:val="21"/>
        </w:rPr>
      </w:pPr>
    </w:p>
    <w:tbl>
      <w:tblPr>
        <w:tblW w:w="10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3"/>
        <w:gridCol w:w="1803"/>
        <w:gridCol w:w="3382"/>
        <w:gridCol w:w="3383"/>
      </w:tblGrid>
      <w:tr w:rsidR="007C2D09" w:rsidRPr="00467385" w14:paraId="33317AD7" w14:textId="77777777" w:rsidTr="007C2D09">
        <w:trPr>
          <w:trHeight w:val="417"/>
          <w:tblHeader/>
          <w:jc w:val="center"/>
        </w:trPr>
        <w:tc>
          <w:tcPr>
            <w:tcW w:w="1453" w:type="dxa"/>
            <w:vMerge w:val="restart"/>
            <w:tcBorders>
              <w:tl2br w:val="nil"/>
            </w:tcBorders>
            <w:shd w:val="clear" w:color="auto" w:fill="auto"/>
            <w:vAlign w:val="center"/>
          </w:tcPr>
          <w:p w14:paraId="33317AD4" w14:textId="77777777" w:rsidR="007C2D09" w:rsidRPr="00467385" w:rsidRDefault="007C2D09" w:rsidP="005426DD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b/>
                <w:sz w:val="24"/>
                <w:szCs w:val="21"/>
              </w:rPr>
            </w:pPr>
            <w:r w:rsidRPr="00467385">
              <w:rPr>
                <w:rFonts w:ascii="宋体" w:hAnsi="宋体" w:hint="eastAsia"/>
                <w:b/>
                <w:sz w:val="24"/>
                <w:szCs w:val="21"/>
              </w:rPr>
              <w:t>业务</w:t>
            </w:r>
            <w:r w:rsidRPr="00467385">
              <w:rPr>
                <w:rFonts w:ascii="宋体" w:hAnsi="宋体"/>
                <w:b/>
                <w:sz w:val="24"/>
                <w:szCs w:val="21"/>
              </w:rPr>
              <w:t>类型</w:t>
            </w:r>
          </w:p>
        </w:tc>
        <w:tc>
          <w:tcPr>
            <w:tcW w:w="1803" w:type="dxa"/>
            <w:vMerge w:val="restart"/>
            <w:shd w:val="clear" w:color="auto" w:fill="auto"/>
            <w:vAlign w:val="center"/>
          </w:tcPr>
          <w:p w14:paraId="33317AD5" w14:textId="77777777" w:rsidR="007C2D09" w:rsidRPr="00DA712D" w:rsidRDefault="007C2D09" w:rsidP="00DA712D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b/>
                <w:sz w:val="24"/>
                <w:szCs w:val="21"/>
              </w:rPr>
            </w:pPr>
            <w:r w:rsidRPr="00DA712D">
              <w:rPr>
                <w:rFonts w:ascii="宋体" w:hAnsi="宋体" w:hint="eastAsia"/>
                <w:b/>
                <w:sz w:val="24"/>
                <w:szCs w:val="21"/>
              </w:rPr>
              <w:t>组合名称</w:t>
            </w:r>
          </w:p>
        </w:tc>
        <w:tc>
          <w:tcPr>
            <w:tcW w:w="6765" w:type="dxa"/>
            <w:gridSpan w:val="2"/>
            <w:shd w:val="clear" w:color="auto" w:fill="auto"/>
            <w:vAlign w:val="center"/>
          </w:tcPr>
          <w:p w14:paraId="33317AD6" w14:textId="77777777" w:rsidR="007C2D09" w:rsidRPr="00467385" w:rsidRDefault="007C2D09" w:rsidP="005426DD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b/>
                <w:sz w:val="24"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具体限额</w:t>
            </w:r>
          </w:p>
        </w:tc>
      </w:tr>
      <w:tr w:rsidR="007C2D09" w:rsidRPr="00467385" w14:paraId="33317ADC" w14:textId="77777777" w:rsidTr="007C2D09">
        <w:trPr>
          <w:trHeight w:val="423"/>
          <w:tblHeader/>
          <w:jc w:val="center"/>
        </w:trPr>
        <w:tc>
          <w:tcPr>
            <w:tcW w:w="1453" w:type="dxa"/>
            <w:vMerge/>
            <w:tcBorders>
              <w:tl2br w:val="nil"/>
            </w:tcBorders>
            <w:shd w:val="clear" w:color="auto" w:fill="auto"/>
            <w:vAlign w:val="center"/>
          </w:tcPr>
          <w:p w14:paraId="33317AD8" w14:textId="77777777" w:rsidR="007C2D09" w:rsidRPr="00467385" w:rsidRDefault="007C2D09" w:rsidP="005426DD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b/>
                <w:sz w:val="24"/>
                <w:szCs w:val="21"/>
              </w:rPr>
            </w:pPr>
          </w:p>
        </w:tc>
        <w:tc>
          <w:tcPr>
            <w:tcW w:w="1803" w:type="dxa"/>
            <w:vMerge/>
            <w:shd w:val="clear" w:color="auto" w:fill="auto"/>
            <w:vAlign w:val="center"/>
          </w:tcPr>
          <w:p w14:paraId="33317AD9" w14:textId="77777777" w:rsidR="007C2D09" w:rsidRPr="00467385" w:rsidRDefault="007C2D09" w:rsidP="00DA712D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b/>
                <w:sz w:val="24"/>
                <w:szCs w:val="21"/>
              </w:rPr>
            </w:pPr>
          </w:p>
        </w:tc>
        <w:tc>
          <w:tcPr>
            <w:tcW w:w="3382" w:type="dxa"/>
            <w:shd w:val="clear" w:color="auto" w:fill="auto"/>
            <w:vAlign w:val="center"/>
          </w:tcPr>
          <w:p w14:paraId="33317ADA" w14:textId="77777777" w:rsidR="007C2D09" w:rsidRPr="00467385" w:rsidRDefault="007C2D09" w:rsidP="005426DD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b/>
                <w:sz w:val="24"/>
                <w:szCs w:val="21"/>
              </w:rPr>
            </w:pPr>
            <w:r w:rsidRPr="00467385">
              <w:rPr>
                <w:rFonts w:ascii="宋体" w:hAnsi="宋体" w:hint="eastAsia"/>
                <w:b/>
                <w:sz w:val="24"/>
                <w:szCs w:val="21"/>
              </w:rPr>
              <w:t>敞口</w:t>
            </w:r>
          </w:p>
        </w:tc>
        <w:tc>
          <w:tcPr>
            <w:tcW w:w="3383" w:type="dxa"/>
            <w:shd w:val="clear" w:color="auto" w:fill="auto"/>
            <w:vAlign w:val="center"/>
          </w:tcPr>
          <w:p w14:paraId="33317ADB" w14:textId="77777777" w:rsidR="007C2D09" w:rsidRPr="00467385" w:rsidRDefault="007C2D09" w:rsidP="005426DD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b/>
                <w:sz w:val="24"/>
                <w:szCs w:val="21"/>
              </w:rPr>
            </w:pPr>
            <w:r w:rsidRPr="00467385">
              <w:rPr>
                <w:rFonts w:ascii="宋体" w:hAnsi="宋体" w:hint="eastAsia"/>
                <w:b/>
                <w:sz w:val="24"/>
                <w:szCs w:val="21"/>
              </w:rPr>
              <w:t>损失</w:t>
            </w:r>
          </w:p>
        </w:tc>
      </w:tr>
      <w:tr w:rsidR="00DA712D" w:rsidRPr="00467385" w14:paraId="33317AE2" w14:textId="77777777" w:rsidTr="00707086">
        <w:trPr>
          <w:trHeight w:val="386"/>
          <w:jc w:val="center"/>
        </w:trPr>
        <w:tc>
          <w:tcPr>
            <w:tcW w:w="1453" w:type="dxa"/>
            <w:shd w:val="clear" w:color="auto" w:fill="auto"/>
            <w:vAlign w:val="center"/>
          </w:tcPr>
          <w:p w14:paraId="33317ADD" w14:textId="77777777" w:rsidR="00DA712D" w:rsidRPr="00467385" w:rsidRDefault="00DA712D" w:rsidP="005426DD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b/>
                <w:sz w:val="24"/>
                <w:szCs w:val="21"/>
              </w:rPr>
            </w:pPr>
            <w:r w:rsidRPr="00467385">
              <w:rPr>
                <w:rFonts w:ascii="宋体" w:hAnsi="宋体" w:hint="eastAsia"/>
                <w:b/>
                <w:sz w:val="24"/>
                <w:szCs w:val="21"/>
              </w:rPr>
              <w:t>代客外币利率衍生品平盘业务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33317ADE" w14:textId="77777777" w:rsidR="00DA712D" w:rsidRPr="00467385" w:rsidRDefault="00DA712D" w:rsidP="00DA712D">
            <w:pPr>
              <w:pStyle w:val="ListParagraph"/>
              <w:tabs>
                <w:tab w:val="left" w:pos="126"/>
              </w:tabs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LDFX</w:t>
            </w:r>
          </w:p>
        </w:tc>
        <w:tc>
          <w:tcPr>
            <w:tcW w:w="3382" w:type="dxa"/>
            <w:shd w:val="clear" w:color="auto" w:fill="auto"/>
          </w:tcPr>
          <w:p w14:paraId="33317ADF" w14:textId="77777777" w:rsidR="00DA712D" w:rsidRPr="00467385" w:rsidRDefault="00DA712D" w:rsidP="00707086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1"/>
              </w:rPr>
            </w:pPr>
            <w:r w:rsidRPr="00467385">
              <w:rPr>
                <w:rFonts w:ascii="宋体" w:hAnsi="宋体"/>
                <w:sz w:val="24"/>
                <w:szCs w:val="21"/>
              </w:rPr>
              <w:t>一年期以上未平盘敞口≤200万美元</w:t>
            </w:r>
          </w:p>
          <w:p w14:paraId="33317AE0" w14:textId="77777777" w:rsidR="00DA712D" w:rsidRPr="00467385" w:rsidRDefault="00DA712D" w:rsidP="00707086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1"/>
              </w:rPr>
            </w:pPr>
            <w:r w:rsidRPr="00467385">
              <w:rPr>
                <w:rFonts w:ascii="宋体" w:hAnsi="宋体"/>
                <w:sz w:val="24"/>
                <w:szCs w:val="21"/>
              </w:rPr>
              <w:t>PVBP≤2万美元</w:t>
            </w:r>
          </w:p>
        </w:tc>
        <w:tc>
          <w:tcPr>
            <w:tcW w:w="3383" w:type="dxa"/>
            <w:shd w:val="clear" w:color="auto" w:fill="auto"/>
          </w:tcPr>
          <w:p w14:paraId="33317AE1" w14:textId="77777777" w:rsidR="00DA712D" w:rsidRPr="00467385" w:rsidRDefault="00DA712D" w:rsidP="00707086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1"/>
              </w:rPr>
            </w:pPr>
            <w:r w:rsidRPr="00467385">
              <w:rPr>
                <w:rFonts w:ascii="宋体" w:hAnsi="宋体"/>
                <w:sz w:val="24"/>
                <w:szCs w:val="21"/>
              </w:rPr>
              <w:t>月度</w:t>
            </w:r>
            <w:r w:rsidRPr="00DA4C3E">
              <w:rPr>
                <w:rFonts w:ascii="宋体" w:hAnsi="宋体" w:hint="eastAsia"/>
                <w:sz w:val="24"/>
                <w:szCs w:val="24"/>
              </w:rPr>
              <w:t>损失</w:t>
            </w:r>
            <w:r w:rsidRPr="00467385">
              <w:rPr>
                <w:rFonts w:ascii="宋体" w:hAnsi="宋体" w:hint="eastAsia"/>
                <w:sz w:val="24"/>
                <w:szCs w:val="21"/>
              </w:rPr>
              <w:t>预警</w:t>
            </w:r>
            <w:r w:rsidRPr="00467385">
              <w:rPr>
                <w:rFonts w:ascii="宋体" w:hAnsi="宋体"/>
                <w:sz w:val="24"/>
                <w:szCs w:val="21"/>
              </w:rPr>
              <w:t>≤10万美元</w:t>
            </w:r>
          </w:p>
        </w:tc>
      </w:tr>
    </w:tbl>
    <w:p w14:paraId="33317AE3" w14:textId="77777777" w:rsidR="00DA712D" w:rsidRPr="00200795" w:rsidRDefault="00DA712D" w:rsidP="00DA712D">
      <w:pPr>
        <w:adjustRightInd w:val="0"/>
        <w:snapToGrid w:val="0"/>
        <w:jc w:val="center"/>
        <w:rPr>
          <w:rFonts w:ascii="黑体" w:eastAsia="黑体" w:hAnsi="黑体"/>
          <w:szCs w:val="21"/>
        </w:rPr>
      </w:pPr>
    </w:p>
    <w:p w14:paraId="33317AE4" w14:textId="65E11D87" w:rsidR="00DA712D" w:rsidRPr="00DA712D" w:rsidRDefault="00DA712D" w:rsidP="00DA712D">
      <w:pPr>
        <w:adjustRightInd w:val="0"/>
        <w:snapToGrid w:val="0"/>
        <w:spacing w:line="560" w:lineRule="atLeast"/>
        <w:ind w:firstLineChars="200" w:firstLine="680"/>
        <w:rPr>
          <w:rFonts w:ascii="仿宋_GB2312" w:eastAsia="仿宋_GB2312"/>
          <w:snapToGrid w:val="0"/>
          <w:spacing w:val="10"/>
          <w:kern w:val="0"/>
          <w:sz w:val="32"/>
          <w:szCs w:val="32"/>
        </w:rPr>
      </w:pPr>
      <w:r>
        <w:rPr>
          <w:rFonts w:ascii="仿宋_GB2312" w:eastAsia="仿宋_GB2312" w:hint="eastAsia"/>
          <w:snapToGrid w:val="0"/>
          <w:spacing w:val="10"/>
          <w:kern w:val="0"/>
          <w:sz w:val="32"/>
          <w:szCs w:val="32"/>
        </w:rPr>
        <w:t>2</w:t>
      </w:r>
      <w:r>
        <w:rPr>
          <w:rFonts w:ascii="仿宋_GB2312" w:eastAsia="仿宋_GB2312"/>
          <w:snapToGrid w:val="0"/>
          <w:spacing w:val="10"/>
          <w:kern w:val="0"/>
          <w:sz w:val="32"/>
          <w:szCs w:val="32"/>
        </w:rPr>
        <w:t>.</w:t>
      </w:r>
      <w:r w:rsidR="00D6451D">
        <w:rPr>
          <w:rFonts w:ascii="仿宋_GB2312" w:eastAsia="仿宋_GB2312"/>
          <w:snapToGrid w:val="0"/>
          <w:spacing w:val="10"/>
          <w:kern w:val="0"/>
          <w:sz w:val="32"/>
          <w:szCs w:val="32"/>
        </w:rPr>
        <w:t>外汇</w:t>
      </w:r>
      <w:r w:rsidRPr="00DA712D">
        <w:rPr>
          <w:rFonts w:ascii="仿宋_GB2312" w:eastAsia="仿宋_GB2312"/>
          <w:snapToGrid w:val="0"/>
          <w:spacing w:val="10"/>
          <w:kern w:val="0"/>
          <w:sz w:val="32"/>
          <w:szCs w:val="32"/>
        </w:rPr>
        <w:t>交易业务</w:t>
      </w:r>
    </w:p>
    <w:p w14:paraId="33317AE5" w14:textId="77777777" w:rsidR="00DA712D" w:rsidRPr="00200795" w:rsidRDefault="00DA712D" w:rsidP="00DA712D">
      <w:pPr>
        <w:adjustRightInd w:val="0"/>
        <w:snapToGrid w:val="0"/>
        <w:jc w:val="center"/>
        <w:rPr>
          <w:rFonts w:ascii="黑体" w:eastAsia="黑体" w:hAnsi="黑体"/>
          <w:szCs w:val="21"/>
        </w:rPr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1796"/>
        <w:gridCol w:w="2268"/>
        <w:gridCol w:w="2268"/>
        <w:gridCol w:w="2268"/>
      </w:tblGrid>
      <w:tr w:rsidR="007C2D09" w:rsidRPr="00467385" w14:paraId="33317AE9" w14:textId="77777777" w:rsidTr="007C2D09">
        <w:trPr>
          <w:trHeight w:val="473"/>
          <w:tblHeader/>
          <w:jc w:val="center"/>
        </w:trPr>
        <w:tc>
          <w:tcPr>
            <w:tcW w:w="1460" w:type="dxa"/>
            <w:vMerge w:val="restart"/>
            <w:shd w:val="clear" w:color="auto" w:fill="auto"/>
            <w:vAlign w:val="center"/>
          </w:tcPr>
          <w:p w14:paraId="33317AE6" w14:textId="77777777" w:rsidR="007C2D09" w:rsidRPr="00467385" w:rsidRDefault="007C2D09" w:rsidP="00DA712D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467385">
              <w:rPr>
                <w:rFonts w:ascii="宋体" w:hAnsi="宋体" w:hint="eastAsia"/>
                <w:b/>
                <w:sz w:val="24"/>
              </w:rPr>
              <w:t>业务</w:t>
            </w:r>
            <w:r w:rsidRPr="00467385">
              <w:rPr>
                <w:rFonts w:ascii="宋体" w:hAnsi="宋体"/>
                <w:b/>
                <w:sz w:val="24"/>
              </w:rPr>
              <w:t>类型</w:t>
            </w:r>
          </w:p>
        </w:tc>
        <w:tc>
          <w:tcPr>
            <w:tcW w:w="1796" w:type="dxa"/>
            <w:vMerge w:val="restart"/>
            <w:shd w:val="clear" w:color="auto" w:fill="auto"/>
            <w:vAlign w:val="center"/>
          </w:tcPr>
          <w:p w14:paraId="33317AE7" w14:textId="77777777" w:rsidR="007C2D09" w:rsidRPr="00DA712D" w:rsidRDefault="007C2D09" w:rsidP="00DA712D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b/>
                <w:sz w:val="24"/>
                <w:szCs w:val="21"/>
              </w:rPr>
            </w:pPr>
            <w:r w:rsidRPr="00DA712D">
              <w:rPr>
                <w:rFonts w:ascii="宋体" w:hAnsi="宋体" w:hint="eastAsia"/>
                <w:b/>
                <w:sz w:val="24"/>
                <w:szCs w:val="21"/>
              </w:rPr>
              <w:t>组合名称</w:t>
            </w:r>
          </w:p>
        </w:tc>
        <w:tc>
          <w:tcPr>
            <w:tcW w:w="6804" w:type="dxa"/>
            <w:gridSpan w:val="3"/>
            <w:shd w:val="clear" w:color="auto" w:fill="auto"/>
            <w:vAlign w:val="center"/>
          </w:tcPr>
          <w:p w14:paraId="33317AE8" w14:textId="77777777" w:rsidR="007C2D09" w:rsidRPr="00467385" w:rsidRDefault="007C2D09" w:rsidP="00DA712D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具体限额</w:t>
            </w:r>
          </w:p>
        </w:tc>
      </w:tr>
      <w:tr w:rsidR="007C2D09" w:rsidRPr="00467385" w14:paraId="33317AEF" w14:textId="77777777" w:rsidTr="007C2D09">
        <w:trPr>
          <w:trHeight w:val="409"/>
          <w:tblHeader/>
          <w:jc w:val="center"/>
        </w:trPr>
        <w:tc>
          <w:tcPr>
            <w:tcW w:w="1460" w:type="dxa"/>
            <w:vMerge/>
            <w:shd w:val="clear" w:color="auto" w:fill="auto"/>
            <w:vAlign w:val="center"/>
          </w:tcPr>
          <w:p w14:paraId="33317AEA" w14:textId="77777777" w:rsidR="007C2D09" w:rsidRPr="00467385" w:rsidRDefault="007C2D09" w:rsidP="00DA712D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96" w:type="dxa"/>
            <w:vMerge/>
            <w:shd w:val="clear" w:color="auto" w:fill="auto"/>
            <w:vAlign w:val="center"/>
          </w:tcPr>
          <w:p w14:paraId="33317AEB" w14:textId="77777777" w:rsidR="007C2D09" w:rsidRPr="00467385" w:rsidRDefault="007C2D09" w:rsidP="00DA712D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b/>
                <w:sz w:val="24"/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3317AEC" w14:textId="77777777" w:rsidR="007C2D09" w:rsidRPr="00467385" w:rsidRDefault="007C2D09" w:rsidP="00DA712D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467385">
              <w:rPr>
                <w:rFonts w:ascii="宋体" w:hAnsi="宋体" w:hint="eastAsia"/>
                <w:b/>
                <w:sz w:val="24"/>
              </w:rPr>
              <w:t>敞口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3317AED" w14:textId="77777777" w:rsidR="007C2D09" w:rsidRPr="00467385" w:rsidRDefault="007C2D09" w:rsidP="00DA712D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467385">
              <w:rPr>
                <w:rFonts w:ascii="宋体" w:hAnsi="宋体" w:hint="eastAsia"/>
                <w:b/>
                <w:sz w:val="24"/>
              </w:rPr>
              <w:t>损失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3317AEE" w14:textId="77777777" w:rsidR="007C2D09" w:rsidRPr="00467385" w:rsidRDefault="007C2D09" w:rsidP="00DA712D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467385">
              <w:rPr>
                <w:rFonts w:ascii="宋体" w:hAnsi="宋体" w:hint="eastAsia"/>
                <w:b/>
                <w:sz w:val="24"/>
              </w:rPr>
              <w:t>期限</w:t>
            </w:r>
          </w:p>
        </w:tc>
      </w:tr>
      <w:tr w:rsidR="00DA712D" w:rsidRPr="00467385" w14:paraId="33317AF6" w14:textId="77777777" w:rsidTr="00707086">
        <w:trPr>
          <w:trHeight w:val="467"/>
          <w:jc w:val="center"/>
        </w:trPr>
        <w:tc>
          <w:tcPr>
            <w:tcW w:w="1460" w:type="dxa"/>
            <w:shd w:val="clear" w:color="auto" w:fill="auto"/>
            <w:vAlign w:val="center"/>
          </w:tcPr>
          <w:p w14:paraId="33317AF0" w14:textId="77777777" w:rsidR="00DA712D" w:rsidRPr="00467385" w:rsidRDefault="00DA712D" w:rsidP="00DA712D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467385">
              <w:rPr>
                <w:rFonts w:ascii="宋体" w:hAnsi="宋体" w:hint="eastAsia"/>
                <w:b/>
                <w:sz w:val="24"/>
              </w:rPr>
              <w:t>即</w:t>
            </w:r>
            <w:r w:rsidRPr="00467385">
              <w:rPr>
                <w:rFonts w:ascii="宋体" w:hAnsi="宋体"/>
                <w:b/>
                <w:sz w:val="24"/>
              </w:rPr>
              <w:t>远掉期</w:t>
            </w:r>
            <w:r w:rsidRPr="00467385">
              <w:rPr>
                <w:rStyle w:val="FootnoteReference"/>
                <w:rFonts w:ascii="宋体" w:hAnsi="宋体"/>
                <w:b/>
                <w:sz w:val="24"/>
              </w:rPr>
              <w:footnoteReference w:id="2"/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33317AF1" w14:textId="77777777" w:rsidR="00DA712D" w:rsidRPr="00467385" w:rsidRDefault="00DA712D" w:rsidP="00DA712D">
            <w:pPr>
              <w:pStyle w:val="ListParagraph"/>
              <w:tabs>
                <w:tab w:val="left" w:pos="126"/>
              </w:tabs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LDFX</w:t>
            </w:r>
          </w:p>
        </w:tc>
        <w:tc>
          <w:tcPr>
            <w:tcW w:w="2268" w:type="dxa"/>
            <w:shd w:val="clear" w:color="auto" w:fill="auto"/>
          </w:tcPr>
          <w:p w14:paraId="33317AF2" w14:textId="77777777" w:rsidR="00DA712D" w:rsidRPr="00467385" w:rsidRDefault="00DA712D" w:rsidP="00707086">
            <w:pPr>
              <w:pStyle w:val="ListParagraph"/>
              <w:numPr>
                <w:ilvl w:val="0"/>
                <w:numId w:val="3"/>
              </w:numPr>
              <w:tabs>
                <w:tab w:val="left" w:pos="0"/>
                <w:tab w:val="left" w:pos="126"/>
              </w:tabs>
              <w:adjustRightInd w:val="0"/>
              <w:snapToGrid w:val="0"/>
              <w:ind w:left="0" w:firstLineChars="0" w:firstLine="0"/>
              <w:rPr>
                <w:rFonts w:ascii="宋体" w:hAnsi="宋体"/>
                <w:sz w:val="24"/>
                <w:szCs w:val="24"/>
              </w:rPr>
            </w:pPr>
            <w:r w:rsidRPr="00467385">
              <w:rPr>
                <w:rFonts w:ascii="宋体" w:hAnsi="宋体" w:hint="eastAsia"/>
                <w:sz w:val="24"/>
                <w:szCs w:val="24"/>
              </w:rPr>
              <w:t>外汇</w:t>
            </w:r>
            <w:r w:rsidRPr="00467385">
              <w:rPr>
                <w:rFonts w:ascii="宋体" w:hAnsi="宋体"/>
                <w:sz w:val="24"/>
                <w:szCs w:val="24"/>
              </w:rPr>
              <w:t>敞口≤0.05</w:t>
            </w:r>
            <w:r w:rsidRPr="00467385">
              <w:rPr>
                <w:rFonts w:ascii="宋体" w:hAnsi="宋体" w:hint="eastAsia"/>
                <w:sz w:val="24"/>
                <w:szCs w:val="24"/>
              </w:rPr>
              <w:t>亿美元</w:t>
            </w:r>
            <w:r w:rsidRPr="00467385">
              <w:rPr>
                <w:rFonts w:ascii="宋体" w:hAnsi="宋体"/>
                <w:sz w:val="24"/>
                <w:szCs w:val="24"/>
              </w:rPr>
              <w:t>，</w:t>
            </w:r>
            <w:r w:rsidRPr="00D14B9B">
              <w:rPr>
                <w:rFonts w:ascii="宋体" w:hAnsi="宋体" w:hint="eastAsia"/>
                <w:sz w:val="24"/>
                <w:szCs w:val="24"/>
              </w:rPr>
              <w:t>其中主要</w:t>
            </w:r>
            <w:r w:rsidRPr="00D14B9B">
              <w:rPr>
                <w:rFonts w:ascii="宋体" w:hAnsi="宋体"/>
                <w:sz w:val="24"/>
                <w:szCs w:val="24"/>
              </w:rPr>
              <w:t>非美元</w:t>
            </w:r>
            <w:r w:rsidRPr="00D14B9B">
              <w:rPr>
                <w:rFonts w:ascii="宋体" w:hAnsi="宋体" w:hint="eastAsia"/>
                <w:sz w:val="24"/>
                <w:szCs w:val="24"/>
              </w:rPr>
              <w:t>货币</w:t>
            </w:r>
            <w:r w:rsidRPr="00D14B9B">
              <w:rPr>
                <w:rFonts w:ascii="宋体" w:hAnsi="宋体"/>
                <w:sz w:val="24"/>
                <w:szCs w:val="24"/>
                <w:vertAlign w:val="superscript"/>
              </w:rPr>
              <w:footnoteReference w:id="3"/>
            </w:r>
            <w:r w:rsidRPr="00D14B9B">
              <w:rPr>
                <w:rFonts w:ascii="宋体" w:hAnsi="宋体"/>
                <w:sz w:val="24"/>
                <w:szCs w:val="24"/>
              </w:rPr>
              <w:t>合计敞口</w:t>
            </w:r>
            <w:r w:rsidRPr="00467385">
              <w:rPr>
                <w:rFonts w:ascii="宋体" w:hAnsi="宋体"/>
                <w:sz w:val="24"/>
                <w:szCs w:val="24"/>
              </w:rPr>
              <w:t>≤0.02</w:t>
            </w:r>
            <w:r w:rsidRPr="00467385">
              <w:rPr>
                <w:rFonts w:ascii="宋体" w:hAnsi="宋体" w:hint="eastAsia"/>
                <w:sz w:val="24"/>
                <w:szCs w:val="24"/>
              </w:rPr>
              <w:t>亿美元</w:t>
            </w:r>
          </w:p>
          <w:p w14:paraId="33317AF3" w14:textId="77777777" w:rsidR="00DA712D" w:rsidRPr="00467385" w:rsidRDefault="00DA712D" w:rsidP="00707086">
            <w:pPr>
              <w:pStyle w:val="ListParagraph"/>
              <w:numPr>
                <w:ilvl w:val="0"/>
                <w:numId w:val="3"/>
              </w:numPr>
              <w:tabs>
                <w:tab w:val="left" w:pos="0"/>
                <w:tab w:val="left" w:pos="126"/>
              </w:tabs>
              <w:adjustRightInd w:val="0"/>
              <w:snapToGrid w:val="0"/>
              <w:ind w:left="0" w:firstLineChars="0" w:firstLine="0"/>
              <w:rPr>
                <w:rFonts w:ascii="宋体" w:hAnsi="宋体"/>
                <w:sz w:val="24"/>
                <w:szCs w:val="24"/>
              </w:rPr>
            </w:pPr>
            <w:r w:rsidRPr="00467385">
              <w:rPr>
                <w:rFonts w:ascii="宋体" w:hAnsi="宋体" w:hint="eastAsia"/>
                <w:sz w:val="24"/>
                <w:szCs w:val="24"/>
              </w:rPr>
              <w:t>单边PVBP</w:t>
            </w:r>
            <w:r w:rsidRPr="00467385">
              <w:rPr>
                <w:rFonts w:ascii="宋体" w:hAnsi="宋体"/>
                <w:sz w:val="24"/>
                <w:szCs w:val="24"/>
              </w:rPr>
              <w:t>≤5</w:t>
            </w:r>
            <w:r w:rsidRPr="00467385">
              <w:rPr>
                <w:rFonts w:ascii="宋体" w:hAnsi="宋体" w:hint="eastAsia"/>
                <w:sz w:val="24"/>
                <w:szCs w:val="24"/>
              </w:rPr>
              <w:t>万元</w:t>
            </w:r>
          </w:p>
        </w:tc>
        <w:tc>
          <w:tcPr>
            <w:tcW w:w="2268" w:type="dxa"/>
            <w:shd w:val="clear" w:color="auto" w:fill="auto"/>
          </w:tcPr>
          <w:p w14:paraId="33317AF4" w14:textId="77777777" w:rsidR="00DA712D" w:rsidRPr="00467385" w:rsidRDefault="00DA712D" w:rsidP="00707086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</w:rPr>
            </w:pPr>
            <w:r w:rsidRPr="00DA4C3E">
              <w:rPr>
                <w:rFonts w:ascii="宋体" w:hAnsi="宋体" w:hint="eastAsia"/>
                <w:sz w:val="24"/>
                <w:szCs w:val="24"/>
              </w:rPr>
              <w:t>月度</w:t>
            </w:r>
            <w:r w:rsidRPr="00467385">
              <w:rPr>
                <w:rFonts w:ascii="宋体" w:hAnsi="宋体" w:hint="eastAsia"/>
                <w:sz w:val="24"/>
              </w:rPr>
              <w:t>损失预警</w:t>
            </w:r>
            <w:r w:rsidRPr="00467385">
              <w:rPr>
                <w:rFonts w:ascii="宋体" w:hAnsi="宋体"/>
                <w:sz w:val="24"/>
              </w:rPr>
              <w:t>≤150</w:t>
            </w:r>
            <w:r w:rsidRPr="00467385">
              <w:rPr>
                <w:rFonts w:ascii="宋体" w:hAnsi="宋体" w:hint="eastAsia"/>
                <w:sz w:val="24"/>
              </w:rPr>
              <w:t>万元</w:t>
            </w:r>
          </w:p>
        </w:tc>
        <w:tc>
          <w:tcPr>
            <w:tcW w:w="2268" w:type="dxa"/>
            <w:shd w:val="clear" w:color="auto" w:fill="auto"/>
          </w:tcPr>
          <w:p w14:paraId="33317AF5" w14:textId="77777777" w:rsidR="00DA712D" w:rsidRPr="00467385" w:rsidRDefault="00DA712D" w:rsidP="00707086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</w:rPr>
            </w:pPr>
            <w:r w:rsidRPr="00DA4C3E">
              <w:rPr>
                <w:rFonts w:ascii="宋体" w:hAnsi="宋体" w:hint="eastAsia"/>
                <w:sz w:val="24"/>
                <w:szCs w:val="24"/>
              </w:rPr>
              <w:t>期限</w:t>
            </w:r>
            <w:r w:rsidRPr="00467385">
              <w:rPr>
                <w:rFonts w:ascii="宋体" w:hAnsi="宋体"/>
                <w:sz w:val="24"/>
              </w:rPr>
              <w:t>≤5</w:t>
            </w:r>
            <w:r w:rsidRPr="00467385">
              <w:rPr>
                <w:rFonts w:ascii="宋体" w:hAnsi="宋体" w:hint="eastAsia"/>
                <w:sz w:val="24"/>
              </w:rPr>
              <w:t>年</w:t>
            </w:r>
          </w:p>
        </w:tc>
      </w:tr>
    </w:tbl>
    <w:p w14:paraId="33317AF7" w14:textId="77777777" w:rsidR="00DA712D" w:rsidRPr="00200795" w:rsidRDefault="00DA712D" w:rsidP="00DA712D">
      <w:pPr>
        <w:adjustRightInd w:val="0"/>
        <w:snapToGrid w:val="0"/>
        <w:jc w:val="center"/>
        <w:rPr>
          <w:rFonts w:ascii="黑体" w:eastAsia="黑体" w:hAnsi="黑体"/>
          <w:szCs w:val="21"/>
        </w:rPr>
      </w:pPr>
    </w:p>
    <w:p w14:paraId="33317AF8" w14:textId="77777777" w:rsidR="00DA712D" w:rsidRPr="00DA712D" w:rsidRDefault="00DA712D" w:rsidP="00DA712D">
      <w:pPr>
        <w:adjustRightInd w:val="0"/>
        <w:snapToGrid w:val="0"/>
        <w:spacing w:line="560" w:lineRule="atLeast"/>
        <w:ind w:firstLineChars="200" w:firstLine="680"/>
        <w:rPr>
          <w:rFonts w:ascii="仿宋_GB2312" w:eastAsia="仿宋_GB2312"/>
          <w:snapToGrid w:val="0"/>
          <w:spacing w:val="10"/>
          <w:kern w:val="0"/>
          <w:sz w:val="32"/>
          <w:szCs w:val="32"/>
        </w:rPr>
      </w:pPr>
      <w:r>
        <w:rPr>
          <w:rFonts w:ascii="仿宋_GB2312" w:eastAsia="仿宋_GB2312" w:hint="eastAsia"/>
          <w:snapToGrid w:val="0"/>
          <w:spacing w:val="10"/>
          <w:kern w:val="0"/>
          <w:sz w:val="32"/>
          <w:szCs w:val="32"/>
        </w:rPr>
        <w:t>3</w:t>
      </w:r>
      <w:r>
        <w:rPr>
          <w:rFonts w:ascii="仿宋_GB2312" w:eastAsia="仿宋_GB2312"/>
          <w:snapToGrid w:val="0"/>
          <w:spacing w:val="10"/>
          <w:kern w:val="0"/>
          <w:sz w:val="32"/>
          <w:szCs w:val="32"/>
        </w:rPr>
        <w:t>.</w:t>
      </w:r>
      <w:r w:rsidRPr="00DA712D">
        <w:rPr>
          <w:rFonts w:ascii="仿宋_GB2312" w:eastAsia="仿宋_GB2312"/>
          <w:snapToGrid w:val="0"/>
          <w:spacing w:val="10"/>
          <w:kern w:val="0"/>
          <w:sz w:val="32"/>
          <w:szCs w:val="32"/>
        </w:rPr>
        <w:t>人民币债券投资业务</w:t>
      </w:r>
    </w:p>
    <w:p w14:paraId="33317AF9" w14:textId="77777777" w:rsidR="00DA712D" w:rsidRPr="00200795" w:rsidRDefault="00DA712D" w:rsidP="00DA712D">
      <w:pPr>
        <w:adjustRightInd w:val="0"/>
        <w:snapToGrid w:val="0"/>
        <w:jc w:val="center"/>
        <w:rPr>
          <w:rFonts w:ascii="黑体" w:eastAsia="黑体" w:hAnsi="黑体"/>
          <w:szCs w:val="21"/>
        </w:rPr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1825"/>
        <w:gridCol w:w="1701"/>
        <w:gridCol w:w="1701"/>
        <w:gridCol w:w="1701"/>
        <w:gridCol w:w="1701"/>
      </w:tblGrid>
      <w:tr w:rsidR="007C2D09" w:rsidRPr="00DA4C3E" w14:paraId="33317AFD" w14:textId="77777777" w:rsidTr="007C2D09">
        <w:trPr>
          <w:trHeight w:val="439"/>
          <w:tblHeader/>
          <w:jc w:val="center"/>
        </w:trPr>
        <w:tc>
          <w:tcPr>
            <w:tcW w:w="1431" w:type="dxa"/>
            <w:vMerge w:val="restart"/>
            <w:shd w:val="clear" w:color="auto" w:fill="auto"/>
            <w:vAlign w:val="center"/>
          </w:tcPr>
          <w:p w14:paraId="33317AFA" w14:textId="77777777" w:rsidR="007C2D09" w:rsidRPr="00DA4C3E" w:rsidRDefault="007C2D09" w:rsidP="005426DD">
            <w:pPr>
              <w:adjustRightInd w:val="0"/>
              <w:snapToGrid w:val="0"/>
              <w:spacing w:line="240" w:lineRule="atLeast"/>
              <w:ind w:leftChars="-40" w:left="12" w:hangingChars="40" w:hanging="96"/>
              <w:jc w:val="center"/>
              <w:rPr>
                <w:rFonts w:ascii="宋体" w:hAnsi="宋体"/>
                <w:b/>
                <w:sz w:val="24"/>
              </w:rPr>
            </w:pPr>
            <w:r w:rsidRPr="00DA4C3E">
              <w:rPr>
                <w:rFonts w:ascii="宋体" w:hAnsi="宋体" w:hint="eastAsia"/>
                <w:b/>
                <w:sz w:val="24"/>
              </w:rPr>
              <w:t>业务类型</w:t>
            </w:r>
          </w:p>
        </w:tc>
        <w:tc>
          <w:tcPr>
            <w:tcW w:w="1825" w:type="dxa"/>
            <w:vMerge w:val="restart"/>
            <w:shd w:val="clear" w:color="auto" w:fill="auto"/>
            <w:vAlign w:val="center"/>
          </w:tcPr>
          <w:p w14:paraId="33317AFB" w14:textId="77777777" w:rsidR="007C2D09" w:rsidRPr="00DA712D" w:rsidRDefault="007C2D09" w:rsidP="00DA712D">
            <w:pPr>
              <w:adjustRightInd w:val="0"/>
              <w:snapToGrid w:val="0"/>
              <w:spacing w:line="240" w:lineRule="atLeast"/>
              <w:ind w:leftChars="-40" w:left="12" w:hangingChars="40" w:hanging="96"/>
              <w:jc w:val="center"/>
              <w:rPr>
                <w:rFonts w:ascii="宋体" w:hAnsi="宋体"/>
                <w:b/>
                <w:sz w:val="24"/>
                <w:szCs w:val="21"/>
              </w:rPr>
            </w:pPr>
            <w:r w:rsidRPr="00DA712D">
              <w:rPr>
                <w:rFonts w:ascii="宋体" w:hAnsi="宋体" w:hint="eastAsia"/>
                <w:b/>
                <w:sz w:val="24"/>
                <w:szCs w:val="21"/>
              </w:rPr>
              <w:t>组合名称</w:t>
            </w:r>
          </w:p>
        </w:tc>
        <w:tc>
          <w:tcPr>
            <w:tcW w:w="6804" w:type="dxa"/>
            <w:gridSpan w:val="4"/>
            <w:shd w:val="clear" w:color="auto" w:fill="auto"/>
            <w:vAlign w:val="center"/>
          </w:tcPr>
          <w:p w14:paraId="33317AFC" w14:textId="77777777" w:rsidR="007C2D09" w:rsidRPr="00DA4C3E" w:rsidRDefault="007C2D09" w:rsidP="005426DD">
            <w:pPr>
              <w:adjustRightInd w:val="0"/>
              <w:snapToGrid w:val="0"/>
              <w:spacing w:line="240" w:lineRule="atLeast"/>
              <w:ind w:leftChars="-40" w:left="12" w:hangingChars="40" w:hanging="9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具体限额</w:t>
            </w:r>
          </w:p>
        </w:tc>
      </w:tr>
      <w:tr w:rsidR="007C2D09" w:rsidRPr="00DA4C3E" w14:paraId="33317B04" w14:textId="77777777" w:rsidTr="007C2D09">
        <w:trPr>
          <w:trHeight w:val="417"/>
          <w:tblHeader/>
          <w:jc w:val="center"/>
        </w:trPr>
        <w:tc>
          <w:tcPr>
            <w:tcW w:w="1431" w:type="dxa"/>
            <w:vMerge/>
            <w:shd w:val="clear" w:color="auto" w:fill="auto"/>
            <w:vAlign w:val="center"/>
          </w:tcPr>
          <w:p w14:paraId="33317AFE" w14:textId="77777777" w:rsidR="007C2D09" w:rsidRPr="00DA4C3E" w:rsidRDefault="007C2D09" w:rsidP="005426DD">
            <w:pPr>
              <w:adjustRightInd w:val="0"/>
              <w:snapToGrid w:val="0"/>
              <w:spacing w:line="240" w:lineRule="atLeast"/>
              <w:ind w:leftChars="-40" w:left="12" w:hangingChars="40" w:hanging="96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25" w:type="dxa"/>
            <w:vMerge/>
            <w:shd w:val="clear" w:color="auto" w:fill="auto"/>
            <w:vAlign w:val="center"/>
          </w:tcPr>
          <w:p w14:paraId="33317AFF" w14:textId="77777777" w:rsidR="007C2D09" w:rsidRPr="00DA4C3E" w:rsidRDefault="007C2D09" w:rsidP="00DA712D">
            <w:pPr>
              <w:adjustRightInd w:val="0"/>
              <w:snapToGrid w:val="0"/>
              <w:spacing w:line="240" w:lineRule="atLeast"/>
              <w:ind w:leftChars="-40" w:left="12" w:hangingChars="40" w:hanging="96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3317B00" w14:textId="77777777" w:rsidR="007C2D09" w:rsidRPr="00DA4C3E" w:rsidRDefault="007C2D09" w:rsidP="005426DD">
            <w:pPr>
              <w:adjustRightInd w:val="0"/>
              <w:snapToGrid w:val="0"/>
              <w:spacing w:line="240" w:lineRule="atLeast"/>
              <w:ind w:leftChars="-40" w:left="12" w:hangingChars="40" w:hanging="96"/>
              <w:jc w:val="center"/>
              <w:rPr>
                <w:rFonts w:ascii="宋体" w:hAnsi="宋体"/>
                <w:b/>
                <w:sz w:val="24"/>
              </w:rPr>
            </w:pPr>
            <w:r w:rsidRPr="00DA4C3E">
              <w:rPr>
                <w:rFonts w:ascii="宋体" w:hAnsi="宋体" w:hint="eastAsia"/>
                <w:b/>
                <w:sz w:val="24"/>
              </w:rPr>
              <w:t>规模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317B01" w14:textId="77777777" w:rsidR="007C2D09" w:rsidRPr="00DA4C3E" w:rsidRDefault="007C2D09" w:rsidP="005426DD">
            <w:pPr>
              <w:adjustRightInd w:val="0"/>
              <w:snapToGrid w:val="0"/>
              <w:spacing w:line="240" w:lineRule="atLeast"/>
              <w:ind w:leftChars="-40" w:left="12" w:hangingChars="40" w:hanging="96"/>
              <w:jc w:val="center"/>
              <w:rPr>
                <w:rFonts w:ascii="宋体" w:hAnsi="宋体"/>
                <w:b/>
                <w:sz w:val="24"/>
              </w:rPr>
            </w:pPr>
            <w:r w:rsidRPr="00DA4C3E">
              <w:rPr>
                <w:rFonts w:ascii="宋体" w:hAnsi="宋体" w:hint="eastAsia"/>
                <w:b/>
                <w:sz w:val="24"/>
              </w:rPr>
              <w:t>久期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317B02" w14:textId="77777777" w:rsidR="007C2D09" w:rsidRPr="00DA4C3E" w:rsidRDefault="007C2D09" w:rsidP="005426DD">
            <w:pPr>
              <w:adjustRightInd w:val="0"/>
              <w:snapToGrid w:val="0"/>
              <w:spacing w:line="240" w:lineRule="atLeast"/>
              <w:ind w:leftChars="-40" w:left="12" w:hangingChars="40" w:hanging="96"/>
              <w:jc w:val="center"/>
              <w:rPr>
                <w:rFonts w:ascii="宋体" w:hAnsi="宋体"/>
                <w:b/>
                <w:sz w:val="24"/>
              </w:rPr>
            </w:pPr>
            <w:r w:rsidRPr="00DA4C3E">
              <w:rPr>
                <w:rFonts w:ascii="宋体" w:hAnsi="宋体" w:hint="eastAsia"/>
                <w:b/>
                <w:sz w:val="24"/>
              </w:rPr>
              <w:t>集中度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317B03" w14:textId="77777777" w:rsidR="007C2D09" w:rsidRPr="00DA4C3E" w:rsidRDefault="007C2D09" w:rsidP="005426DD">
            <w:pPr>
              <w:adjustRightInd w:val="0"/>
              <w:snapToGrid w:val="0"/>
              <w:spacing w:line="240" w:lineRule="atLeast"/>
              <w:ind w:leftChars="-40" w:left="12" w:hangingChars="40" w:hanging="96"/>
              <w:jc w:val="center"/>
              <w:rPr>
                <w:rFonts w:ascii="宋体" w:hAnsi="宋体"/>
                <w:b/>
                <w:sz w:val="24"/>
              </w:rPr>
            </w:pPr>
            <w:r w:rsidRPr="00DA4C3E">
              <w:rPr>
                <w:rFonts w:ascii="宋体" w:hAnsi="宋体" w:hint="eastAsia"/>
                <w:b/>
                <w:sz w:val="24"/>
              </w:rPr>
              <w:t>其他</w:t>
            </w:r>
          </w:p>
        </w:tc>
      </w:tr>
      <w:tr w:rsidR="00664F54" w:rsidRPr="00DA4C3E" w14:paraId="33317B0D" w14:textId="77777777" w:rsidTr="00707086">
        <w:trPr>
          <w:trHeight w:val="409"/>
          <w:jc w:val="center"/>
        </w:trPr>
        <w:tc>
          <w:tcPr>
            <w:tcW w:w="1431" w:type="dxa"/>
            <w:shd w:val="clear" w:color="auto" w:fill="auto"/>
            <w:vAlign w:val="center"/>
          </w:tcPr>
          <w:p w14:paraId="33317B05" w14:textId="77777777" w:rsidR="00664F54" w:rsidRPr="00DA4C3E" w:rsidRDefault="00664F54" w:rsidP="005426DD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b/>
                <w:sz w:val="24"/>
              </w:rPr>
            </w:pPr>
            <w:r w:rsidRPr="00DA4C3E">
              <w:rPr>
                <w:rFonts w:ascii="宋体" w:hAnsi="宋体" w:hint="eastAsia"/>
                <w:b/>
                <w:sz w:val="24"/>
              </w:rPr>
              <w:t>总体限额</w:t>
            </w:r>
          </w:p>
        </w:tc>
        <w:tc>
          <w:tcPr>
            <w:tcW w:w="1825" w:type="dxa"/>
            <w:vMerge w:val="restart"/>
            <w:shd w:val="clear" w:color="auto" w:fill="auto"/>
            <w:vAlign w:val="center"/>
          </w:tcPr>
          <w:p w14:paraId="33317B06" w14:textId="77777777" w:rsidR="00664F54" w:rsidRDefault="00664F54" w:rsidP="000A3AC2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4"/>
              </w:rPr>
            </w:pPr>
            <w:r w:rsidRPr="00664F54">
              <w:rPr>
                <w:rFonts w:ascii="宋体" w:hAnsi="宋体"/>
                <w:sz w:val="24"/>
                <w:szCs w:val="24"/>
              </w:rPr>
              <w:t>LCNV（境内银行间人民币债券投资）</w:t>
            </w:r>
          </w:p>
          <w:p w14:paraId="33317B07" w14:textId="77777777" w:rsidR="00664F54" w:rsidRPr="00DA4C3E" w:rsidRDefault="00664F54" w:rsidP="000A3AC2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4"/>
              </w:rPr>
            </w:pPr>
            <w:r w:rsidRPr="00664F54">
              <w:rPr>
                <w:rFonts w:ascii="宋体" w:hAnsi="宋体"/>
                <w:sz w:val="24"/>
                <w:szCs w:val="24"/>
              </w:rPr>
              <w:t>LINV(离岸人民币债券投资)</w:t>
            </w:r>
          </w:p>
        </w:tc>
        <w:tc>
          <w:tcPr>
            <w:tcW w:w="1701" w:type="dxa"/>
            <w:shd w:val="clear" w:color="auto" w:fill="auto"/>
          </w:tcPr>
          <w:p w14:paraId="33317B08" w14:textId="77777777" w:rsidR="00664F54" w:rsidRPr="00DA4C3E" w:rsidRDefault="002D78D9" w:rsidP="00707086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4"/>
              </w:rPr>
            </w:pPr>
            <w:r w:rsidRPr="002D78D9">
              <w:rPr>
                <w:rFonts w:ascii="宋体" w:hAnsi="宋体" w:hint="eastAsia"/>
                <w:sz w:val="24"/>
                <w:szCs w:val="24"/>
              </w:rPr>
              <w:t>本外币企业信用类债券</w:t>
            </w:r>
            <w:r w:rsidR="00303216" w:rsidRPr="00303216">
              <w:rPr>
                <w:rFonts w:ascii="宋体" w:hAnsi="宋体"/>
                <w:sz w:val="24"/>
                <w:szCs w:val="24"/>
              </w:rPr>
              <w:t>（</w:t>
            </w:r>
            <w:r w:rsidR="00303216" w:rsidRPr="00303216">
              <w:rPr>
                <w:rFonts w:ascii="宋体" w:hAnsi="宋体" w:hint="eastAsia"/>
                <w:sz w:val="24"/>
                <w:szCs w:val="24"/>
              </w:rPr>
              <w:t>不含地方政府债、</w:t>
            </w:r>
            <w:r w:rsidR="005E07E8" w:rsidRPr="00DA0BF1">
              <w:rPr>
                <w:rFonts w:ascii="宋体" w:hAnsi="宋体"/>
                <w:sz w:val="24"/>
                <w:szCs w:val="24"/>
              </w:rPr>
              <w:t>国际多边机构债</w:t>
            </w:r>
            <w:r w:rsidR="005E07E8" w:rsidRPr="00313D9E">
              <w:rPr>
                <w:rFonts w:ascii="宋体" w:hAnsi="宋体" w:hint="eastAsia"/>
                <w:sz w:val="24"/>
                <w:szCs w:val="24"/>
              </w:rPr>
              <w:t>、</w:t>
            </w:r>
            <w:r w:rsidR="00303216" w:rsidRPr="00303216">
              <w:rPr>
                <w:rFonts w:ascii="宋体" w:hAnsi="宋体" w:hint="eastAsia"/>
                <w:sz w:val="24"/>
                <w:szCs w:val="24"/>
              </w:rPr>
              <w:t>金融债</w:t>
            </w:r>
            <w:r w:rsidR="00313D9E">
              <w:rPr>
                <w:rFonts w:ascii="宋体" w:hAnsi="宋体" w:hint="eastAsia"/>
                <w:sz w:val="24"/>
                <w:szCs w:val="24"/>
              </w:rPr>
              <w:t>、同业存单</w:t>
            </w:r>
            <w:r w:rsidR="00303216" w:rsidRPr="00303216">
              <w:rPr>
                <w:rFonts w:ascii="宋体" w:hAnsi="宋体"/>
                <w:sz w:val="24"/>
                <w:szCs w:val="24"/>
              </w:rPr>
              <w:t>）</w:t>
            </w:r>
            <w:r w:rsidRPr="002D78D9">
              <w:rPr>
                <w:rFonts w:ascii="宋体" w:hAnsi="宋体" w:hint="eastAsia"/>
                <w:sz w:val="24"/>
                <w:szCs w:val="24"/>
              </w:rPr>
              <w:t>投资合计规模≤</w:t>
            </w:r>
            <w:r w:rsidRPr="002D78D9">
              <w:rPr>
                <w:rFonts w:ascii="宋体" w:hAnsi="宋体"/>
                <w:sz w:val="24"/>
                <w:szCs w:val="24"/>
              </w:rPr>
              <w:t>3亿美元</w:t>
            </w:r>
          </w:p>
        </w:tc>
        <w:tc>
          <w:tcPr>
            <w:tcW w:w="1701" w:type="dxa"/>
            <w:shd w:val="clear" w:color="auto" w:fill="auto"/>
          </w:tcPr>
          <w:p w14:paraId="33317B09" w14:textId="77777777" w:rsidR="00664F54" w:rsidRPr="00DA4C3E" w:rsidRDefault="00664F54" w:rsidP="00707086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4"/>
              </w:rPr>
            </w:pPr>
            <w:r w:rsidRPr="00DA4C3E">
              <w:rPr>
                <w:rFonts w:ascii="宋体" w:hAnsi="宋体" w:hint="eastAsia"/>
                <w:sz w:val="24"/>
                <w:szCs w:val="24"/>
              </w:rPr>
              <w:t>综合</w:t>
            </w:r>
            <w:r w:rsidRPr="00DA4C3E">
              <w:rPr>
                <w:rFonts w:ascii="宋体" w:hAnsi="宋体"/>
                <w:sz w:val="24"/>
                <w:szCs w:val="24"/>
              </w:rPr>
              <w:t>久期</w:t>
            </w:r>
            <w:r w:rsidRPr="00DA4C3E">
              <w:rPr>
                <w:rFonts w:ascii="宋体" w:hAnsi="宋体" w:hint="eastAsia"/>
                <w:sz w:val="24"/>
                <w:szCs w:val="24"/>
              </w:rPr>
              <w:t>≤4年，</w:t>
            </w:r>
            <w:r w:rsidRPr="00DA4C3E">
              <w:rPr>
                <w:rFonts w:ascii="宋体" w:hAnsi="宋体"/>
                <w:sz w:val="24"/>
                <w:szCs w:val="24"/>
              </w:rPr>
              <w:t>其中</w:t>
            </w:r>
            <w:r w:rsidRPr="00DA4C3E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33317B0A" w14:textId="77777777" w:rsidR="00664F54" w:rsidRPr="00DA4C3E" w:rsidRDefault="00664F54" w:rsidP="00707086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4"/>
              </w:rPr>
            </w:pPr>
            <w:r w:rsidRPr="00DA4C3E">
              <w:rPr>
                <w:rFonts w:ascii="宋体" w:hAnsi="宋体"/>
                <w:sz w:val="24"/>
                <w:szCs w:val="24"/>
              </w:rPr>
              <w:t>人民币</w:t>
            </w:r>
            <w:r w:rsidRPr="00DA4C3E">
              <w:rPr>
                <w:rFonts w:ascii="宋体" w:hAnsi="宋体" w:hint="eastAsia"/>
                <w:sz w:val="24"/>
                <w:szCs w:val="24"/>
              </w:rPr>
              <w:t>综合久期≤4年，</w:t>
            </w:r>
            <w:r w:rsidRPr="00DA4C3E">
              <w:rPr>
                <w:rFonts w:ascii="宋体" w:hAnsi="宋体"/>
                <w:sz w:val="24"/>
                <w:szCs w:val="24"/>
              </w:rPr>
              <w:t>FVOCI类久期</w:t>
            </w:r>
            <w:r w:rsidRPr="00DA4C3E">
              <w:rPr>
                <w:rFonts w:ascii="宋体" w:hAnsi="宋体" w:hint="eastAsia"/>
                <w:sz w:val="24"/>
                <w:szCs w:val="24"/>
              </w:rPr>
              <w:t>≤4.2年</w:t>
            </w:r>
          </w:p>
        </w:tc>
        <w:tc>
          <w:tcPr>
            <w:tcW w:w="1701" w:type="dxa"/>
            <w:shd w:val="clear" w:color="auto" w:fill="auto"/>
          </w:tcPr>
          <w:p w14:paraId="33317B0B" w14:textId="77777777" w:rsidR="00664F54" w:rsidRPr="00DA4C3E" w:rsidRDefault="00664F54" w:rsidP="00707086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4"/>
              </w:rPr>
            </w:pPr>
            <w:r w:rsidRPr="00DA4C3E">
              <w:rPr>
                <w:rFonts w:ascii="宋体" w:hAnsi="宋体" w:hint="eastAsia"/>
                <w:sz w:val="24"/>
                <w:szCs w:val="24"/>
              </w:rPr>
              <w:t>人民币信用债</w:t>
            </w:r>
            <w:r w:rsidRPr="00DA4C3E">
              <w:rPr>
                <w:rFonts w:ascii="宋体" w:hAnsi="宋体"/>
                <w:sz w:val="24"/>
                <w:szCs w:val="24"/>
              </w:rPr>
              <w:t>占比</w:t>
            </w:r>
            <w:r w:rsidRPr="00DA4C3E">
              <w:rPr>
                <w:rFonts w:ascii="宋体" w:hAnsi="宋体" w:hint="eastAsia"/>
                <w:sz w:val="24"/>
                <w:szCs w:val="24"/>
              </w:rPr>
              <w:t>≤3</w:t>
            </w:r>
            <w:r w:rsidRPr="00DA4C3E">
              <w:rPr>
                <w:rFonts w:ascii="宋体" w:hAnsi="宋体"/>
                <w:sz w:val="24"/>
                <w:szCs w:val="24"/>
              </w:rPr>
              <w:t>0%</w:t>
            </w:r>
            <w:r w:rsidRPr="00DA4C3E">
              <w:rPr>
                <w:rFonts w:ascii="宋体" w:hAnsi="宋体" w:hint="eastAsia"/>
                <w:sz w:val="24"/>
                <w:szCs w:val="24"/>
              </w:rPr>
              <w:t>，其中：人民币</w:t>
            </w:r>
            <w:r w:rsidRPr="00DA4C3E">
              <w:rPr>
                <w:rFonts w:ascii="宋体" w:hAnsi="宋体"/>
                <w:sz w:val="24"/>
                <w:szCs w:val="24"/>
              </w:rPr>
              <w:t>信用债AA级及以下</w:t>
            </w:r>
            <w:r w:rsidRPr="00DA4C3E">
              <w:rPr>
                <w:rFonts w:ascii="宋体" w:hAnsi="宋体" w:hint="eastAsia"/>
                <w:sz w:val="24"/>
                <w:szCs w:val="24"/>
              </w:rPr>
              <w:t>（含</w:t>
            </w:r>
            <w:r w:rsidRPr="00DA4C3E">
              <w:rPr>
                <w:rFonts w:ascii="宋体" w:hAnsi="宋体"/>
                <w:sz w:val="24"/>
                <w:szCs w:val="24"/>
              </w:rPr>
              <w:t>无评级</w:t>
            </w:r>
            <w:r w:rsidRPr="00DA4C3E">
              <w:rPr>
                <w:rFonts w:ascii="宋体" w:hAnsi="宋体" w:hint="eastAsia"/>
                <w:sz w:val="24"/>
                <w:szCs w:val="24"/>
              </w:rPr>
              <w:t>）占比≤</w:t>
            </w:r>
            <w:r w:rsidRPr="00DA4C3E">
              <w:rPr>
                <w:rFonts w:ascii="宋体" w:hAnsi="宋体"/>
                <w:sz w:val="24"/>
                <w:szCs w:val="24"/>
              </w:rPr>
              <w:t>5%</w:t>
            </w:r>
            <w:r w:rsidRPr="00DA4C3E">
              <w:rPr>
                <w:rStyle w:val="FootnoteReference"/>
                <w:rFonts w:ascii="宋体" w:hAnsi="宋体"/>
                <w:sz w:val="24"/>
                <w:szCs w:val="24"/>
              </w:rPr>
              <w:footnoteReference w:id="4"/>
            </w:r>
          </w:p>
        </w:tc>
        <w:tc>
          <w:tcPr>
            <w:tcW w:w="1701" w:type="dxa"/>
            <w:shd w:val="clear" w:color="auto" w:fill="auto"/>
          </w:tcPr>
          <w:p w14:paraId="33317B0C" w14:textId="77777777" w:rsidR="00664F54" w:rsidRPr="00DA4C3E" w:rsidRDefault="00664F54" w:rsidP="00707086">
            <w:pPr>
              <w:pStyle w:val="ListParagraph"/>
              <w:tabs>
                <w:tab w:val="left" w:pos="126"/>
              </w:tabs>
              <w:adjustRightInd w:val="0"/>
              <w:snapToGrid w:val="0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664F54" w:rsidRPr="00DA4C3E" w14:paraId="33317B15" w14:textId="77777777" w:rsidTr="00707086">
        <w:trPr>
          <w:trHeight w:val="409"/>
          <w:jc w:val="center"/>
        </w:trPr>
        <w:tc>
          <w:tcPr>
            <w:tcW w:w="1431" w:type="dxa"/>
            <w:shd w:val="clear" w:color="auto" w:fill="auto"/>
            <w:vAlign w:val="center"/>
          </w:tcPr>
          <w:p w14:paraId="33317B0E" w14:textId="77777777" w:rsidR="00664F54" w:rsidRPr="00DA4C3E" w:rsidRDefault="00664F54" w:rsidP="005426DD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b/>
                <w:sz w:val="24"/>
              </w:rPr>
            </w:pPr>
            <w:r w:rsidRPr="00DA4C3E">
              <w:rPr>
                <w:rFonts w:ascii="宋体" w:hAnsi="宋体" w:hint="eastAsia"/>
                <w:b/>
                <w:sz w:val="24"/>
              </w:rPr>
              <w:t>公开定向债券</w:t>
            </w:r>
          </w:p>
        </w:tc>
        <w:tc>
          <w:tcPr>
            <w:tcW w:w="1825" w:type="dxa"/>
            <w:vMerge/>
            <w:shd w:val="clear" w:color="auto" w:fill="auto"/>
          </w:tcPr>
          <w:p w14:paraId="33317B0F" w14:textId="77777777" w:rsidR="00664F54" w:rsidRPr="00DA4C3E" w:rsidRDefault="00664F54" w:rsidP="00DA712D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3317B10" w14:textId="77777777" w:rsidR="00664F54" w:rsidRPr="00DA4C3E" w:rsidRDefault="00664F54" w:rsidP="00707086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4"/>
              </w:rPr>
            </w:pPr>
            <w:r w:rsidRPr="00DA4C3E">
              <w:rPr>
                <w:rFonts w:ascii="宋体" w:hAnsi="宋体" w:hint="eastAsia"/>
                <w:sz w:val="24"/>
                <w:szCs w:val="24"/>
              </w:rPr>
              <w:t>规模≤1亿元</w:t>
            </w:r>
          </w:p>
        </w:tc>
        <w:tc>
          <w:tcPr>
            <w:tcW w:w="1701" w:type="dxa"/>
            <w:shd w:val="clear" w:color="auto" w:fill="auto"/>
          </w:tcPr>
          <w:p w14:paraId="33317B11" w14:textId="77777777" w:rsidR="00664F54" w:rsidRPr="00DA4C3E" w:rsidRDefault="00664F54" w:rsidP="00707086">
            <w:pPr>
              <w:pStyle w:val="ListParagraph"/>
              <w:tabs>
                <w:tab w:val="left" w:pos="126"/>
              </w:tabs>
              <w:adjustRightInd w:val="0"/>
              <w:snapToGrid w:val="0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3317B12" w14:textId="77777777" w:rsidR="00664F54" w:rsidRPr="00DA4C3E" w:rsidRDefault="00664F54" w:rsidP="00707086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4"/>
              </w:rPr>
            </w:pPr>
            <w:r w:rsidRPr="00DA4C3E">
              <w:rPr>
                <w:rFonts w:ascii="宋体" w:hAnsi="宋体" w:hint="eastAsia"/>
                <w:sz w:val="24"/>
                <w:szCs w:val="24"/>
              </w:rPr>
              <w:t>单只余额占发行额比例≤</w:t>
            </w:r>
            <w:r w:rsidRPr="00DA4C3E">
              <w:rPr>
                <w:rFonts w:ascii="宋体" w:hAnsi="宋体"/>
                <w:sz w:val="24"/>
                <w:szCs w:val="24"/>
              </w:rPr>
              <w:t>50%</w:t>
            </w:r>
            <w:r w:rsidRPr="00DA4C3E">
              <w:rPr>
                <w:rFonts w:ascii="宋体" w:hAnsi="宋体"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1701" w:type="dxa"/>
            <w:shd w:val="clear" w:color="auto" w:fill="auto"/>
          </w:tcPr>
          <w:p w14:paraId="33317B13" w14:textId="77777777" w:rsidR="00664F54" w:rsidRPr="00DA4C3E" w:rsidRDefault="00664F54" w:rsidP="00707086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4"/>
              </w:rPr>
            </w:pPr>
            <w:r w:rsidRPr="00DA4C3E">
              <w:rPr>
                <w:rFonts w:ascii="宋体" w:hAnsi="宋体"/>
                <w:sz w:val="24"/>
                <w:szCs w:val="24"/>
              </w:rPr>
              <w:t>最低</w:t>
            </w:r>
            <w:r w:rsidRPr="00DA4C3E">
              <w:rPr>
                <w:rFonts w:ascii="宋体" w:hAnsi="宋体" w:hint="eastAsia"/>
                <w:sz w:val="24"/>
                <w:szCs w:val="24"/>
              </w:rPr>
              <w:t>主体</w:t>
            </w:r>
            <w:r w:rsidRPr="00DA4C3E">
              <w:rPr>
                <w:rFonts w:ascii="宋体" w:hAnsi="宋体"/>
                <w:sz w:val="24"/>
                <w:szCs w:val="24"/>
              </w:rPr>
              <w:t>评级AA</w:t>
            </w:r>
            <w:r w:rsidRPr="00DA4C3E">
              <w:rPr>
                <w:rFonts w:ascii="宋体" w:hAnsi="宋体" w:hint="eastAsia"/>
                <w:sz w:val="24"/>
                <w:szCs w:val="24"/>
              </w:rPr>
              <w:t>+</w:t>
            </w:r>
          </w:p>
          <w:p w14:paraId="33317B14" w14:textId="77777777" w:rsidR="00664F54" w:rsidRPr="00DA4C3E" w:rsidRDefault="00664F54" w:rsidP="00707086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4"/>
              </w:rPr>
            </w:pPr>
            <w:r w:rsidRPr="00DA4C3E">
              <w:rPr>
                <w:rFonts w:ascii="宋体" w:hAnsi="宋体" w:hint="eastAsia"/>
                <w:sz w:val="24"/>
                <w:szCs w:val="24"/>
              </w:rPr>
              <w:t>期限≤</w:t>
            </w:r>
            <w:r w:rsidRPr="00DA4C3E">
              <w:rPr>
                <w:rFonts w:ascii="宋体" w:hAnsi="宋体"/>
                <w:sz w:val="24"/>
                <w:szCs w:val="24"/>
              </w:rPr>
              <w:t>5年</w:t>
            </w:r>
          </w:p>
        </w:tc>
      </w:tr>
      <w:tr w:rsidR="00DA712D" w:rsidRPr="00DA4C3E" w14:paraId="33317B18" w14:textId="77777777" w:rsidTr="007C2D09">
        <w:trPr>
          <w:trHeight w:val="540"/>
          <w:jc w:val="center"/>
        </w:trPr>
        <w:tc>
          <w:tcPr>
            <w:tcW w:w="10060" w:type="dxa"/>
            <w:gridSpan w:val="6"/>
            <w:shd w:val="clear" w:color="auto" w:fill="auto"/>
          </w:tcPr>
          <w:p w14:paraId="33317B16" w14:textId="77777777" w:rsidR="00DA712D" w:rsidRDefault="00DA712D" w:rsidP="00DA712D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4"/>
              </w:rPr>
            </w:pPr>
            <w:r w:rsidRPr="00DA4C3E">
              <w:rPr>
                <w:rFonts w:ascii="宋体" w:hAnsi="宋体" w:hint="eastAsia"/>
                <w:sz w:val="24"/>
                <w:szCs w:val="24"/>
              </w:rPr>
              <w:t>上述</w:t>
            </w:r>
            <w:r>
              <w:rPr>
                <w:rFonts w:ascii="宋体" w:hAnsi="宋体" w:hint="eastAsia"/>
                <w:sz w:val="24"/>
                <w:szCs w:val="24"/>
              </w:rPr>
              <w:t>久期、集中度</w:t>
            </w:r>
            <w:r w:rsidRPr="00DA4C3E">
              <w:rPr>
                <w:rFonts w:ascii="宋体" w:hAnsi="宋体"/>
                <w:sz w:val="24"/>
                <w:szCs w:val="24"/>
              </w:rPr>
              <w:t>限额与总行</w:t>
            </w:r>
            <w:r w:rsidRPr="00DA4C3E">
              <w:rPr>
                <w:rFonts w:ascii="宋体" w:hAnsi="宋体" w:hint="eastAsia"/>
                <w:sz w:val="24"/>
                <w:szCs w:val="24"/>
              </w:rPr>
              <w:t>金融</w:t>
            </w:r>
            <w:r w:rsidRPr="00DA4C3E">
              <w:rPr>
                <w:rFonts w:ascii="宋体" w:hAnsi="宋体"/>
                <w:sz w:val="24"/>
                <w:szCs w:val="24"/>
              </w:rPr>
              <w:t>市场部合并计算</w:t>
            </w:r>
            <w:r w:rsidR="00664F54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33317B17" w14:textId="77777777" w:rsidR="002D78D9" w:rsidRPr="009B2274" w:rsidRDefault="00664F54" w:rsidP="009B2274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4"/>
              </w:rPr>
            </w:pPr>
            <w:r w:rsidRPr="00664F54">
              <w:rPr>
                <w:rFonts w:ascii="宋体" w:hAnsi="宋体"/>
                <w:sz w:val="24"/>
                <w:szCs w:val="24"/>
              </w:rPr>
              <w:t>单</w:t>
            </w:r>
            <w:r w:rsidR="0042446B">
              <w:rPr>
                <w:rFonts w:ascii="宋体" w:hAnsi="宋体" w:hint="eastAsia"/>
                <w:sz w:val="24"/>
                <w:szCs w:val="24"/>
              </w:rPr>
              <w:t>笔</w:t>
            </w:r>
            <w:r w:rsidR="002D78D9">
              <w:rPr>
                <w:rFonts w:ascii="宋体" w:hAnsi="宋体"/>
                <w:sz w:val="24"/>
                <w:szCs w:val="24"/>
              </w:rPr>
              <w:t>企业信用</w:t>
            </w:r>
            <w:r w:rsidR="00905EEE">
              <w:rPr>
                <w:rFonts w:ascii="宋体" w:hAnsi="宋体"/>
                <w:sz w:val="24"/>
                <w:szCs w:val="24"/>
              </w:rPr>
              <w:t>类债券发行人</w:t>
            </w:r>
            <w:r w:rsidR="003E3640" w:rsidRPr="003E3640">
              <w:rPr>
                <w:rFonts w:ascii="宋体" w:hAnsi="宋体"/>
                <w:sz w:val="24"/>
                <w:szCs w:val="24"/>
              </w:rPr>
              <w:t>（</w:t>
            </w:r>
            <w:r w:rsidR="003E3640" w:rsidRPr="003E3640">
              <w:rPr>
                <w:rFonts w:ascii="宋体" w:hAnsi="宋体" w:hint="eastAsia"/>
                <w:sz w:val="24"/>
                <w:szCs w:val="24"/>
              </w:rPr>
              <w:t>不含地方政府债、</w:t>
            </w:r>
            <w:r w:rsidR="003E3640" w:rsidRPr="003E3640">
              <w:rPr>
                <w:rFonts w:ascii="宋体" w:hAnsi="宋体"/>
                <w:sz w:val="24"/>
                <w:szCs w:val="24"/>
              </w:rPr>
              <w:t>国际多边机构债</w:t>
            </w:r>
            <w:r w:rsidR="003E3640" w:rsidRPr="003E3640">
              <w:rPr>
                <w:rFonts w:ascii="宋体" w:hAnsi="宋体" w:hint="eastAsia"/>
                <w:sz w:val="24"/>
                <w:szCs w:val="24"/>
              </w:rPr>
              <w:t>、金融债、同业存单</w:t>
            </w:r>
            <w:r w:rsidR="003E3640" w:rsidRPr="003E3640">
              <w:rPr>
                <w:rFonts w:ascii="宋体" w:hAnsi="宋体"/>
                <w:sz w:val="24"/>
                <w:szCs w:val="24"/>
              </w:rPr>
              <w:t>）</w:t>
            </w:r>
            <w:r w:rsidRPr="00664F54">
              <w:rPr>
                <w:rFonts w:ascii="宋体" w:hAnsi="宋体"/>
                <w:sz w:val="24"/>
                <w:szCs w:val="24"/>
              </w:rPr>
              <w:t>投资规模超过3000万美元需提交总行金融市场部审批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</w:tbl>
    <w:p w14:paraId="33317B19" w14:textId="77777777" w:rsidR="00DA712D" w:rsidRPr="00200795" w:rsidRDefault="00DA712D" w:rsidP="00DA712D">
      <w:pPr>
        <w:adjustRightInd w:val="0"/>
        <w:snapToGrid w:val="0"/>
        <w:jc w:val="center"/>
        <w:rPr>
          <w:rFonts w:ascii="黑体" w:eastAsia="黑体" w:hAnsi="黑体"/>
          <w:szCs w:val="21"/>
        </w:rPr>
      </w:pPr>
    </w:p>
    <w:p w14:paraId="33317B1A" w14:textId="77777777" w:rsidR="00DA712D" w:rsidRPr="00DA712D" w:rsidRDefault="00DA712D" w:rsidP="00DA712D">
      <w:pPr>
        <w:adjustRightInd w:val="0"/>
        <w:snapToGrid w:val="0"/>
        <w:spacing w:line="560" w:lineRule="atLeast"/>
        <w:ind w:firstLineChars="200" w:firstLine="680"/>
        <w:rPr>
          <w:rFonts w:ascii="仿宋_GB2312" w:eastAsia="仿宋_GB2312"/>
          <w:snapToGrid w:val="0"/>
          <w:spacing w:val="10"/>
          <w:kern w:val="0"/>
          <w:sz w:val="32"/>
          <w:szCs w:val="32"/>
        </w:rPr>
      </w:pPr>
      <w:r>
        <w:rPr>
          <w:rFonts w:ascii="仿宋_GB2312" w:eastAsia="仿宋_GB2312" w:hint="eastAsia"/>
          <w:snapToGrid w:val="0"/>
          <w:spacing w:val="10"/>
          <w:kern w:val="0"/>
          <w:sz w:val="32"/>
          <w:szCs w:val="32"/>
        </w:rPr>
        <w:t>4</w:t>
      </w:r>
      <w:r>
        <w:rPr>
          <w:rFonts w:ascii="仿宋_GB2312" w:eastAsia="仿宋_GB2312"/>
          <w:snapToGrid w:val="0"/>
          <w:spacing w:val="10"/>
          <w:kern w:val="0"/>
          <w:sz w:val="32"/>
          <w:szCs w:val="32"/>
        </w:rPr>
        <w:t>.</w:t>
      </w:r>
      <w:r w:rsidRPr="00DA712D">
        <w:rPr>
          <w:rFonts w:ascii="仿宋_GB2312" w:eastAsia="仿宋_GB2312"/>
          <w:snapToGrid w:val="0"/>
          <w:spacing w:val="10"/>
          <w:kern w:val="0"/>
          <w:sz w:val="32"/>
          <w:szCs w:val="32"/>
        </w:rPr>
        <w:t>外币债券投资业务</w:t>
      </w:r>
    </w:p>
    <w:p w14:paraId="33317B1B" w14:textId="77777777" w:rsidR="00DA712D" w:rsidRPr="00200795" w:rsidRDefault="00DA712D" w:rsidP="00DA712D">
      <w:pPr>
        <w:adjustRightInd w:val="0"/>
        <w:snapToGrid w:val="0"/>
        <w:jc w:val="center"/>
        <w:rPr>
          <w:rFonts w:ascii="黑体" w:eastAsia="黑体" w:hAnsi="黑体"/>
          <w:szCs w:val="21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1851"/>
        <w:gridCol w:w="2315"/>
        <w:gridCol w:w="2315"/>
        <w:gridCol w:w="2315"/>
      </w:tblGrid>
      <w:tr w:rsidR="007C2D09" w:rsidRPr="00467385" w14:paraId="33317B1F" w14:textId="77777777" w:rsidTr="007C2D09">
        <w:trPr>
          <w:trHeight w:val="382"/>
          <w:tblHeader/>
          <w:jc w:val="center"/>
        </w:trPr>
        <w:tc>
          <w:tcPr>
            <w:tcW w:w="1405" w:type="dxa"/>
            <w:vMerge w:val="restart"/>
            <w:shd w:val="clear" w:color="auto" w:fill="auto"/>
            <w:vAlign w:val="center"/>
          </w:tcPr>
          <w:p w14:paraId="33317B1C" w14:textId="77777777" w:rsidR="007C2D09" w:rsidRPr="00467385" w:rsidRDefault="007C2D09" w:rsidP="005426DD">
            <w:pPr>
              <w:adjustRightInd w:val="0"/>
              <w:snapToGrid w:val="0"/>
              <w:spacing w:line="240" w:lineRule="atLeast"/>
              <w:ind w:leftChars="-40" w:left="12" w:hangingChars="40" w:hanging="96"/>
              <w:jc w:val="center"/>
              <w:rPr>
                <w:rFonts w:ascii="宋体" w:hAnsi="宋体"/>
                <w:b/>
                <w:sz w:val="24"/>
              </w:rPr>
            </w:pPr>
            <w:r w:rsidRPr="00467385">
              <w:rPr>
                <w:rFonts w:ascii="宋体" w:hAnsi="宋体" w:hint="eastAsia"/>
                <w:b/>
                <w:sz w:val="24"/>
              </w:rPr>
              <w:t>业务</w:t>
            </w:r>
            <w:r w:rsidRPr="00467385">
              <w:rPr>
                <w:rFonts w:ascii="宋体" w:hAnsi="宋体"/>
                <w:b/>
                <w:sz w:val="24"/>
              </w:rPr>
              <w:t>类型</w:t>
            </w:r>
          </w:p>
        </w:tc>
        <w:tc>
          <w:tcPr>
            <w:tcW w:w="1851" w:type="dxa"/>
            <w:vMerge w:val="restart"/>
            <w:shd w:val="clear" w:color="auto" w:fill="auto"/>
            <w:vAlign w:val="center"/>
          </w:tcPr>
          <w:p w14:paraId="33317B1D" w14:textId="77777777" w:rsidR="007C2D09" w:rsidRPr="00DA712D" w:rsidRDefault="007C2D09" w:rsidP="00664F54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b/>
                <w:sz w:val="24"/>
                <w:szCs w:val="21"/>
              </w:rPr>
            </w:pPr>
            <w:r w:rsidRPr="00DA712D">
              <w:rPr>
                <w:rFonts w:ascii="宋体" w:hAnsi="宋体" w:hint="eastAsia"/>
                <w:b/>
                <w:sz w:val="24"/>
                <w:szCs w:val="21"/>
              </w:rPr>
              <w:t>组合名称</w:t>
            </w:r>
          </w:p>
        </w:tc>
        <w:tc>
          <w:tcPr>
            <w:tcW w:w="6945" w:type="dxa"/>
            <w:gridSpan w:val="3"/>
            <w:shd w:val="clear" w:color="auto" w:fill="auto"/>
            <w:vAlign w:val="center"/>
          </w:tcPr>
          <w:p w14:paraId="33317B1E" w14:textId="77777777" w:rsidR="007C2D09" w:rsidRPr="00467385" w:rsidRDefault="007C2D09" w:rsidP="005426DD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具体限额</w:t>
            </w:r>
          </w:p>
        </w:tc>
      </w:tr>
      <w:tr w:rsidR="007C2D09" w:rsidRPr="00467385" w14:paraId="33317B25" w14:textId="77777777" w:rsidTr="007C2D09">
        <w:trPr>
          <w:trHeight w:val="417"/>
          <w:tblHeader/>
          <w:jc w:val="center"/>
        </w:trPr>
        <w:tc>
          <w:tcPr>
            <w:tcW w:w="1405" w:type="dxa"/>
            <w:vMerge/>
            <w:shd w:val="clear" w:color="auto" w:fill="auto"/>
            <w:vAlign w:val="center"/>
          </w:tcPr>
          <w:p w14:paraId="33317B20" w14:textId="77777777" w:rsidR="007C2D09" w:rsidRPr="00467385" w:rsidRDefault="007C2D09" w:rsidP="005426DD">
            <w:pPr>
              <w:adjustRightInd w:val="0"/>
              <w:snapToGrid w:val="0"/>
              <w:spacing w:line="240" w:lineRule="atLeast"/>
              <w:ind w:leftChars="-40" w:left="12" w:hangingChars="40" w:hanging="96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51" w:type="dxa"/>
            <w:vMerge/>
            <w:shd w:val="clear" w:color="auto" w:fill="auto"/>
            <w:vAlign w:val="center"/>
          </w:tcPr>
          <w:p w14:paraId="33317B21" w14:textId="77777777" w:rsidR="007C2D09" w:rsidRPr="00467385" w:rsidRDefault="007C2D09" w:rsidP="00664F54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315" w:type="dxa"/>
            <w:shd w:val="clear" w:color="auto" w:fill="auto"/>
            <w:vAlign w:val="center"/>
          </w:tcPr>
          <w:p w14:paraId="33317B22" w14:textId="77777777" w:rsidR="007C2D09" w:rsidRPr="00467385" w:rsidRDefault="007C2D09" w:rsidP="005426DD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b/>
                <w:sz w:val="24"/>
              </w:rPr>
            </w:pPr>
            <w:r w:rsidRPr="00467385">
              <w:rPr>
                <w:rFonts w:ascii="宋体" w:hAnsi="宋体" w:hint="eastAsia"/>
                <w:b/>
                <w:sz w:val="24"/>
              </w:rPr>
              <w:t>规模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33317B23" w14:textId="77777777" w:rsidR="007C2D09" w:rsidRPr="00467385" w:rsidRDefault="007C2D09" w:rsidP="005426DD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b/>
                <w:sz w:val="24"/>
              </w:rPr>
            </w:pPr>
            <w:r w:rsidRPr="00467385">
              <w:rPr>
                <w:rFonts w:ascii="宋体" w:hAnsi="宋体" w:hint="eastAsia"/>
                <w:b/>
                <w:sz w:val="24"/>
              </w:rPr>
              <w:t>久期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33317B24" w14:textId="77777777" w:rsidR="007C2D09" w:rsidRPr="00467385" w:rsidRDefault="007C2D09" w:rsidP="005426DD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b/>
                <w:sz w:val="24"/>
              </w:rPr>
            </w:pPr>
            <w:r w:rsidRPr="00467385">
              <w:rPr>
                <w:rFonts w:ascii="宋体" w:hAnsi="宋体" w:hint="eastAsia"/>
                <w:b/>
                <w:sz w:val="24"/>
              </w:rPr>
              <w:t>集中度</w:t>
            </w:r>
          </w:p>
        </w:tc>
      </w:tr>
      <w:tr w:rsidR="00664F54" w:rsidRPr="00467385" w14:paraId="33317B2E" w14:textId="77777777" w:rsidTr="00707086">
        <w:trPr>
          <w:trHeight w:val="524"/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33317B26" w14:textId="77777777" w:rsidR="00664F54" w:rsidRPr="00467385" w:rsidRDefault="00664F54" w:rsidP="005426DD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b/>
                <w:sz w:val="24"/>
              </w:rPr>
            </w:pPr>
            <w:r w:rsidRPr="00467385">
              <w:rPr>
                <w:rFonts w:ascii="宋体" w:hAnsi="宋体" w:hint="eastAsia"/>
                <w:b/>
                <w:sz w:val="24"/>
              </w:rPr>
              <w:t>总体</w:t>
            </w:r>
            <w:r w:rsidRPr="00467385">
              <w:rPr>
                <w:rFonts w:ascii="宋体" w:hAnsi="宋体"/>
                <w:b/>
                <w:sz w:val="24"/>
              </w:rPr>
              <w:t>限额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33317B27" w14:textId="77777777" w:rsidR="00664F54" w:rsidRPr="00467385" w:rsidRDefault="00664F54" w:rsidP="00664F54">
            <w:pPr>
              <w:pStyle w:val="ListParagraph"/>
              <w:tabs>
                <w:tab w:val="left" w:pos="126"/>
              </w:tabs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LINV</w:t>
            </w:r>
          </w:p>
        </w:tc>
        <w:tc>
          <w:tcPr>
            <w:tcW w:w="2315" w:type="dxa"/>
            <w:shd w:val="clear" w:color="auto" w:fill="auto"/>
          </w:tcPr>
          <w:p w14:paraId="33317B28" w14:textId="77777777" w:rsidR="00664F54" w:rsidRPr="00467385" w:rsidRDefault="00664F54" w:rsidP="00707086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4"/>
              </w:rPr>
            </w:pPr>
            <w:r w:rsidRPr="00467385">
              <w:rPr>
                <w:rFonts w:ascii="宋体" w:hAnsi="宋体" w:hint="eastAsia"/>
                <w:sz w:val="24"/>
                <w:szCs w:val="24"/>
              </w:rPr>
              <w:t>本外币</w:t>
            </w:r>
            <w:r w:rsidR="002D78D9">
              <w:rPr>
                <w:rFonts w:ascii="宋体" w:hAnsi="宋体" w:hint="eastAsia"/>
                <w:sz w:val="24"/>
                <w:szCs w:val="24"/>
              </w:rPr>
              <w:t>企业</w:t>
            </w:r>
            <w:r w:rsidRPr="00467385">
              <w:rPr>
                <w:rFonts w:ascii="宋体" w:hAnsi="宋体" w:hint="eastAsia"/>
                <w:sz w:val="24"/>
                <w:szCs w:val="24"/>
              </w:rPr>
              <w:t>信用</w:t>
            </w:r>
            <w:r w:rsidR="002D78D9">
              <w:rPr>
                <w:rFonts w:ascii="宋体" w:hAnsi="宋体" w:hint="eastAsia"/>
                <w:sz w:val="24"/>
                <w:szCs w:val="24"/>
              </w:rPr>
              <w:t>类</w:t>
            </w:r>
            <w:r w:rsidRPr="00467385">
              <w:rPr>
                <w:rFonts w:ascii="宋体" w:hAnsi="宋体" w:hint="eastAsia"/>
                <w:sz w:val="24"/>
                <w:szCs w:val="24"/>
              </w:rPr>
              <w:t>债</w:t>
            </w:r>
            <w:r w:rsidR="002D78D9">
              <w:rPr>
                <w:rFonts w:ascii="宋体" w:hAnsi="宋体" w:hint="eastAsia"/>
                <w:sz w:val="24"/>
                <w:szCs w:val="24"/>
              </w:rPr>
              <w:t>券</w:t>
            </w:r>
            <w:r w:rsidR="00303216" w:rsidRPr="00303216">
              <w:rPr>
                <w:rFonts w:ascii="宋体" w:hAnsi="宋体"/>
                <w:sz w:val="24"/>
                <w:szCs w:val="24"/>
              </w:rPr>
              <w:t>（</w:t>
            </w:r>
            <w:r w:rsidR="00303216" w:rsidRPr="00303216">
              <w:rPr>
                <w:rFonts w:ascii="宋体" w:hAnsi="宋体" w:hint="eastAsia"/>
                <w:sz w:val="24"/>
                <w:szCs w:val="24"/>
              </w:rPr>
              <w:t>不含地方政府债、</w:t>
            </w:r>
            <w:r w:rsidR="005E07E8" w:rsidRPr="00DA0BF1">
              <w:rPr>
                <w:rFonts w:ascii="宋体" w:hAnsi="宋体"/>
                <w:sz w:val="24"/>
                <w:szCs w:val="24"/>
              </w:rPr>
              <w:t>国际多边机构债</w:t>
            </w:r>
            <w:r w:rsidR="005E07E8" w:rsidRPr="00313D9E">
              <w:rPr>
                <w:rFonts w:ascii="宋体" w:hAnsi="宋体" w:hint="eastAsia"/>
                <w:sz w:val="24"/>
                <w:szCs w:val="24"/>
              </w:rPr>
              <w:t>、</w:t>
            </w:r>
            <w:r w:rsidR="00303216" w:rsidRPr="00303216">
              <w:rPr>
                <w:rFonts w:ascii="宋体" w:hAnsi="宋体" w:hint="eastAsia"/>
                <w:sz w:val="24"/>
                <w:szCs w:val="24"/>
              </w:rPr>
              <w:t>金融债</w:t>
            </w:r>
            <w:r w:rsidR="00313D9E">
              <w:rPr>
                <w:rFonts w:ascii="宋体" w:hAnsi="宋体" w:hint="eastAsia"/>
                <w:sz w:val="24"/>
                <w:szCs w:val="24"/>
              </w:rPr>
              <w:t>、同业存单</w:t>
            </w:r>
            <w:r w:rsidR="00303216" w:rsidRPr="00303216">
              <w:rPr>
                <w:rFonts w:ascii="宋体" w:hAnsi="宋体"/>
                <w:sz w:val="24"/>
                <w:szCs w:val="24"/>
              </w:rPr>
              <w:t>）</w:t>
            </w:r>
            <w:r w:rsidRPr="00467385">
              <w:rPr>
                <w:rFonts w:ascii="宋体" w:hAnsi="宋体" w:hint="eastAsia"/>
                <w:sz w:val="24"/>
                <w:szCs w:val="24"/>
              </w:rPr>
              <w:t>投资合计规模≤</w:t>
            </w:r>
            <w:r>
              <w:rPr>
                <w:rFonts w:ascii="宋体" w:hAnsi="宋体"/>
                <w:sz w:val="24"/>
                <w:szCs w:val="24"/>
              </w:rPr>
              <w:t>3</w:t>
            </w:r>
            <w:r w:rsidRPr="00467385">
              <w:rPr>
                <w:rFonts w:ascii="宋体" w:hAnsi="宋体"/>
                <w:sz w:val="24"/>
                <w:szCs w:val="24"/>
              </w:rPr>
              <w:t>亿美元</w:t>
            </w:r>
          </w:p>
        </w:tc>
        <w:tc>
          <w:tcPr>
            <w:tcW w:w="2315" w:type="dxa"/>
            <w:shd w:val="clear" w:color="auto" w:fill="auto"/>
          </w:tcPr>
          <w:p w14:paraId="33317B29" w14:textId="77777777" w:rsidR="00664F54" w:rsidRPr="00467385" w:rsidRDefault="00664F54" w:rsidP="00707086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4"/>
              </w:rPr>
            </w:pPr>
            <w:r w:rsidRPr="00467385">
              <w:rPr>
                <w:rFonts w:ascii="宋体" w:hAnsi="宋体" w:hint="eastAsia"/>
                <w:sz w:val="24"/>
                <w:szCs w:val="24"/>
              </w:rPr>
              <w:t>综合</w:t>
            </w:r>
            <w:r w:rsidRPr="00467385">
              <w:rPr>
                <w:rFonts w:ascii="宋体" w:hAnsi="宋体"/>
                <w:sz w:val="24"/>
                <w:szCs w:val="24"/>
              </w:rPr>
              <w:t>久期</w:t>
            </w:r>
            <w:r w:rsidRPr="00467385">
              <w:rPr>
                <w:rFonts w:ascii="宋体" w:hAnsi="宋体" w:hint="eastAsia"/>
                <w:sz w:val="24"/>
                <w:szCs w:val="24"/>
              </w:rPr>
              <w:t>≤4年，</w:t>
            </w:r>
            <w:r w:rsidRPr="00467385">
              <w:rPr>
                <w:rFonts w:ascii="宋体" w:hAnsi="宋体"/>
                <w:sz w:val="24"/>
                <w:szCs w:val="24"/>
              </w:rPr>
              <w:t>其中</w:t>
            </w:r>
            <w:r w:rsidRPr="00467385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33317B2A" w14:textId="77777777" w:rsidR="00664F54" w:rsidRPr="00467385" w:rsidRDefault="00664F54" w:rsidP="007A0BD1">
            <w:pPr>
              <w:pStyle w:val="ListParagraph"/>
              <w:tabs>
                <w:tab w:val="left" w:pos="126"/>
              </w:tabs>
              <w:adjustRightInd w:val="0"/>
              <w:snapToGrid w:val="0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467385">
              <w:rPr>
                <w:rFonts w:ascii="宋体" w:hAnsi="宋体" w:hint="eastAsia"/>
                <w:sz w:val="24"/>
                <w:szCs w:val="24"/>
              </w:rPr>
              <w:t>外币综合</w:t>
            </w:r>
            <w:r w:rsidRPr="00467385">
              <w:rPr>
                <w:rFonts w:ascii="宋体" w:hAnsi="宋体"/>
                <w:sz w:val="24"/>
                <w:szCs w:val="24"/>
              </w:rPr>
              <w:t>久期</w:t>
            </w:r>
            <w:r w:rsidRPr="00467385">
              <w:rPr>
                <w:rFonts w:ascii="宋体" w:hAnsi="宋体" w:hint="eastAsia"/>
                <w:sz w:val="24"/>
                <w:szCs w:val="24"/>
              </w:rPr>
              <w:t>≤2.5年，</w:t>
            </w:r>
            <w:r w:rsidRPr="00467385">
              <w:rPr>
                <w:rFonts w:ascii="宋体" w:hAnsi="宋体"/>
                <w:sz w:val="24"/>
                <w:szCs w:val="24"/>
              </w:rPr>
              <w:t>FVOCI类久期</w:t>
            </w:r>
            <w:r w:rsidRPr="00467385">
              <w:rPr>
                <w:rFonts w:ascii="宋体" w:hAnsi="宋体" w:hint="eastAsia"/>
                <w:sz w:val="24"/>
                <w:szCs w:val="24"/>
              </w:rPr>
              <w:t>≤</w:t>
            </w:r>
            <w:r w:rsidRPr="00467385">
              <w:rPr>
                <w:rFonts w:ascii="宋体" w:hAnsi="宋体"/>
                <w:sz w:val="24"/>
                <w:szCs w:val="24"/>
              </w:rPr>
              <w:t>2.5年</w:t>
            </w:r>
          </w:p>
        </w:tc>
        <w:tc>
          <w:tcPr>
            <w:tcW w:w="2315" w:type="dxa"/>
            <w:shd w:val="clear" w:color="auto" w:fill="auto"/>
          </w:tcPr>
          <w:p w14:paraId="33317B2B" w14:textId="77777777" w:rsidR="00664F54" w:rsidRPr="00467385" w:rsidRDefault="00664F54" w:rsidP="00707086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4"/>
              </w:rPr>
            </w:pPr>
            <w:r w:rsidRPr="00467385">
              <w:rPr>
                <w:rFonts w:ascii="宋体" w:hAnsi="宋体" w:hint="eastAsia"/>
                <w:sz w:val="24"/>
                <w:szCs w:val="24"/>
              </w:rPr>
              <w:t>外币</w:t>
            </w:r>
            <w:r w:rsidRPr="00467385">
              <w:rPr>
                <w:rFonts w:ascii="宋体" w:hAnsi="宋体"/>
                <w:sz w:val="24"/>
                <w:szCs w:val="24"/>
              </w:rPr>
              <w:t>单只信用债持有规模占发行量比例≤30%</w:t>
            </w:r>
            <w:r w:rsidRPr="00467385">
              <w:rPr>
                <w:rFonts w:ascii="宋体" w:hAnsi="宋体"/>
                <w:sz w:val="24"/>
                <w:szCs w:val="24"/>
                <w:vertAlign w:val="superscript"/>
              </w:rPr>
              <w:footnoteReference w:id="6"/>
            </w:r>
          </w:p>
          <w:p w14:paraId="33317B2C" w14:textId="77777777" w:rsidR="00664F54" w:rsidRPr="00467385" w:rsidRDefault="00664F54" w:rsidP="00707086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4"/>
              </w:rPr>
            </w:pPr>
            <w:r w:rsidRPr="00467385">
              <w:rPr>
                <w:rFonts w:ascii="宋体" w:hAnsi="宋体" w:hint="eastAsia"/>
                <w:sz w:val="24"/>
                <w:szCs w:val="24"/>
              </w:rPr>
              <w:t>外币债券</w:t>
            </w:r>
            <w:r w:rsidRPr="00467385">
              <w:rPr>
                <w:rFonts w:ascii="宋体" w:hAnsi="宋体"/>
                <w:sz w:val="24"/>
                <w:szCs w:val="24"/>
              </w:rPr>
              <w:t>平均评级≥BBB-</w:t>
            </w:r>
            <w:r w:rsidRPr="00467385">
              <w:rPr>
                <w:rStyle w:val="FootnoteReference"/>
                <w:sz w:val="24"/>
                <w:szCs w:val="24"/>
              </w:rPr>
              <w:footnoteReference w:id="7"/>
            </w:r>
          </w:p>
          <w:p w14:paraId="33317B2D" w14:textId="77777777" w:rsidR="00664F54" w:rsidRPr="00467385" w:rsidRDefault="00664F54" w:rsidP="00707086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4"/>
              </w:rPr>
            </w:pPr>
            <w:r w:rsidRPr="00467385">
              <w:rPr>
                <w:rFonts w:ascii="宋体" w:hAnsi="宋体" w:hint="eastAsia"/>
                <w:sz w:val="24"/>
                <w:szCs w:val="24"/>
              </w:rPr>
              <w:t>其中：外币信用债</w:t>
            </w:r>
            <w:r w:rsidRPr="00467385">
              <w:rPr>
                <w:rFonts w:ascii="宋体" w:hAnsi="宋体"/>
                <w:sz w:val="24"/>
                <w:szCs w:val="24"/>
              </w:rPr>
              <w:t>BB及以下（含无评级</w:t>
            </w:r>
            <w:r w:rsidRPr="00467385">
              <w:rPr>
                <w:rFonts w:ascii="宋体" w:hAnsi="宋体" w:hint="eastAsia"/>
                <w:sz w:val="24"/>
                <w:szCs w:val="24"/>
              </w:rPr>
              <w:t>）</w:t>
            </w:r>
            <w:r w:rsidRPr="00467385">
              <w:rPr>
                <w:rFonts w:ascii="宋体" w:hAnsi="宋体"/>
                <w:sz w:val="24"/>
                <w:szCs w:val="24"/>
              </w:rPr>
              <w:t>≤5%</w:t>
            </w:r>
            <w:r w:rsidRPr="00467385">
              <w:rPr>
                <w:rFonts w:ascii="宋体" w:hAnsi="宋体" w:hint="eastAsia"/>
                <w:sz w:val="24"/>
                <w:szCs w:val="24"/>
              </w:rPr>
              <w:t>；</w:t>
            </w:r>
            <w:r w:rsidRPr="00467385">
              <w:rPr>
                <w:rFonts w:ascii="宋体" w:hAnsi="宋体"/>
                <w:sz w:val="24"/>
                <w:szCs w:val="24"/>
              </w:rPr>
              <w:t>出具维好协议的</w:t>
            </w:r>
            <w:r w:rsidRPr="00467385">
              <w:rPr>
                <w:rFonts w:ascii="宋体" w:hAnsi="宋体" w:hint="eastAsia"/>
                <w:sz w:val="24"/>
                <w:szCs w:val="24"/>
              </w:rPr>
              <w:t>外币</w:t>
            </w:r>
            <w:r w:rsidRPr="00467385">
              <w:rPr>
                <w:rFonts w:ascii="宋体" w:hAnsi="宋体"/>
                <w:sz w:val="24"/>
                <w:szCs w:val="24"/>
              </w:rPr>
              <w:t>债券规模占外币债券投资余额的比例</w:t>
            </w:r>
            <w:r w:rsidRPr="00467385">
              <w:rPr>
                <w:rFonts w:ascii="宋体" w:hAnsi="宋体" w:hint="eastAsia"/>
                <w:sz w:val="24"/>
                <w:szCs w:val="24"/>
              </w:rPr>
              <w:t>≤</w:t>
            </w:r>
            <w:r w:rsidRPr="00467385">
              <w:rPr>
                <w:rFonts w:ascii="宋体" w:hAnsi="宋体"/>
                <w:sz w:val="24"/>
                <w:szCs w:val="24"/>
              </w:rPr>
              <w:t>10%</w:t>
            </w:r>
          </w:p>
        </w:tc>
      </w:tr>
      <w:tr w:rsidR="00664F54" w:rsidRPr="00467385" w14:paraId="33317B31" w14:textId="77777777" w:rsidTr="007C2D09">
        <w:trPr>
          <w:trHeight w:val="524"/>
          <w:jc w:val="center"/>
        </w:trPr>
        <w:tc>
          <w:tcPr>
            <w:tcW w:w="10201" w:type="dxa"/>
            <w:gridSpan w:val="5"/>
            <w:shd w:val="clear" w:color="auto" w:fill="auto"/>
          </w:tcPr>
          <w:p w14:paraId="33317B2F" w14:textId="77777777" w:rsidR="00664F54" w:rsidRDefault="00664F54" w:rsidP="00DA712D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4"/>
              </w:rPr>
            </w:pPr>
            <w:r w:rsidRPr="00467385">
              <w:rPr>
                <w:rFonts w:ascii="宋体" w:hAnsi="宋体" w:hint="eastAsia"/>
                <w:sz w:val="24"/>
                <w:szCs w:val="24"/>
              </w:rPr>
              <w:t>上述</w:t>
            </w:r>
            <w:r>
              <w:rPr>
                <w:rFonts w:ascii="宋体" w:hAnsi="宋体" w:hint="eastAsia"/>
                <w:sz w:val="24"/>
                <w:szCs w:val="24"/>
              </w:rPr>
              <w:t>久期、集中度</w:t>
            </w:r>
            <w:r w:rsidRPr="00467385">
              <w:rPr>
                <w:rFonts w:ascii="宋体" w:hAnsi="宋体"/>
                <w:sz w:val="24"/>
                <w:szCs w:val="24"/>
              </w:rPr>
              <w:t>限额与总行</w:t>
            </w:r>
            <w:r w:rsidRPr="00467385">
              <w:rPr>
                <w:rFonts w:ascii="宋体" w:hAnsi="宋体" w:hint="eastAsia"/>
                <w:sz w:val="24"/>
                <w:szCs w:val="24"/>
              </w:rPr>
              <w:t>金融</w:t>
            </w:r>
            <w:r w:rsidRPr="00467385">
              <w:rPr>
                <w:rFonts w:ascii="宋体" w:hAnsi="宋体"/>
                <w:sz w:val="24"/>
                <w:szCs w:val="24"/>
              </w:rPr>
              <w:t>市场部合并计算</w:t>
            </w:r>
            <w:r w:rsidR="00905EEE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33317B30" w14:textId="77777777" w:rsidR="00664F54" w:rsidRPr="00467385" w:rsidRDefault="002D78D9" w:rsidP="00DA0BF1">
            <w:pPr>
              <w:pStyle w:val="ListParagraph"/>
              <w:numPr>
                <w:ilvl w:val="0"/>
                <w:numId w:val="3"/>
              </w:numPr>
              <w:tabs>
                <w:tab w:val="left" w:pos="126"/>
              </w:tabs>
              <w:adjustRightInd w:val="0"/>
              <w:snapToGrid w:val="0"/>
              <w:ind w:left="0" w:firstLineChars="0" w:hanging="16"/>
              <w:rPr>
                <w:rFonts w:ascii="宋体" w:hAnsi="宋体"/>
                <w:sz w:val="24"/>
                <w:szCs w:val="24"/>
              </w:rPr>
            </w:pPr>
            <w:r w:rsidRPr="00664F54">
              <w:rPr>
                <w:rFonts w:ascii="宋体" w:hAnsi="宋体"/>
                <w:sz w:val="24"/>
                <w:szCs w:val="24"/>
              </w:rPr>
              <w:t>单</w:t>
            </w:r>
            <w:r w:rsidR="0042446B">
              <w:rPr>
                <w:rFonts w:ascii="宋体" w:hAnsi="宋体" w:hint="eastAsia"/>
                <w:sz w:val="24"/>
                <w:szCs w:val="24"/>
              </w:rPr>
              <w:t>笔</w:t>
            </w:r>
            <w:r>
              <w:rPr>
                <w:rFonts w:ascii="宋体" w:hAnsi="宋体"/>
                <w:sz w:val="24"/>
                <w:szCs w:val="24"/>
              </w:rPr>
              <w:t>企业信用类债券发行人</w:t>
            </w:r>
            <w:r w:rsidR="003E3640" w:rsidRPr="003E3640">
              <w:rPr>
                <w:rFonts w:ascii="宋体" w:hAnsi="宋体"/>
                <w:sz w:val="24"/>
                <w:szCs w:val="24"/>
              </w:rPr>
              <w:t>（</w:t>
            </w:r>
            <w:r w:rsidR="003E3640" w:rsidRPr="003E3640">
              <w:rPr>
                <w:rFonts w:ascii="宋体" w:hAnsi="宋体" w:hint="eastAsia"/>
                <w:sz w:val="24"/>
                <w:szCs w:val="24"/>
              </w:rPr>
              <w:t>不含地方政府债、</w:t>
            </w:r>
            <w:r w:rsidR="003E3640" w:rsidRPr="003E3640">
              <w:rPr>
                <w:rFonts w:ascii="宋体" w:hAnsi="宋体"/>
                <w:sz w:val="24"/>
                <w:szCs w:val="24"/>
              </w:rPr>
              <w:t>国际多边机构债</w:t>
            </w:r>
            <w:r w:rsidR="003E3640" w:rsidRPr="003E3640">
              <w:rPr>
                <w:rFonts w:ascii="宋体" w:hAnsi="宋体" w:hint="eastAsia"/>
                <w:sz w:val="24"/>
                <w:szCs w:val="24"/>
              </w:rPr>
              <w:t>、金融债、同业存单</w:t>
            </w:r>
            <w:r w:rsidR="003E3640" w:rsidRPr="003E3640">
              <w:rPr>
                <w:rFonts w:ascii="宋体" w:hAnsi="宋体"/>
                <w:sz w:val="24"/>
                <w:szCs w:val="24"/>
              </w:rPr>
              <w:t>）</w:t>
            </w:r>
            <w:r w:rsidRPr="00664F54">
              <w:rPr>
                <w:rFonts w:ascii="宋体" w:hAnsi="宋体"/>
                <w:sz w:val="24"/>
                <w:szCs w:val="24"/>
              </w:rPr>
              <w:t>投资规模超过3000万美元需提交总行金融市场部审批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</w:tbl>
    <w:p w14:paraId="33317B32" w14:textId="77777777" w:rsidR="00DA712D" w:rsidRPr="00440510" w:rsidRDefault="00DA712D" w:rsidP="00440510">
      <w:pPr>
        <w:adjustRightInd w:val="0"/>
        <w:snapToGrid w:val="0"/>
        <w:jc w:val="center"/>
        <w:rPr>
          <w:rFonts w:ascii="黑体" w:eastAsia="黑体" w:hAnsi="黑体"/>
          <w:szCs w:val="21"/>
        </w:rPr>
      </w:pPr>
    </w:p>
    <w:p w14:paraId="33317B33" w14:textId="77777777" w:rsidR="009968B0" w:rsidRDefault="009968B0" w:rsidP="00905EEE">
      <w:pPr>
        <w:adjustRightInd w:val="0"/>
        <w:snapToGrid w:val="0"/>
        <w:spacing w:line="590" w:lineRule="atLeast"/>
        <w:ind w:firstLineChars="200" w:firstLine="640"/>
        <w:rPr>
          <w:rFonts w:ascii="楷体_GB2312" w:eastAsia="楷体_GB2312" w:hAnsi="楷体"/>
          <w:sz w:val="32"/>
          <w:szCs w:val="32"/>
        </w:rPr>
      </w:pPr>
      <w:r w:rsidRPr="00905EEE">
        <w:rPr>
          <w:rFonts w:ascii="楷体_GB2312" w:eastAsia="楷体_GB2312" w:hAnsi="楷体" w:hint="eastAsia"/>
          <w:sz w:val="32"/>
          <w:szCs w:val="32"/>
        </w:rPr>
        <w:t>（二）执行责任人：</w:t>
      </w:r>
      <w:r w:rsidR="00905EEE">
        <w:rPr>
          <w:rFonts w:ascii="楷体_GB2312" w:eastAsia="楷体_GB2312" w:hAnsi="楷体"/>
          <w:sz w:val="32"/>
          <w:szCs w:val="32"/>
        </w:rPr>
        <w:t>伦敦</w:t>
      </w:r>
      <w:r w:rsidRPr="00905EEE">
        <w:rPr>
          <w:rFonts w:ascii="楷体_GB2312" w:eastAsia="楷体_GB2312" w:hAnsi="楷体"/>
          <w:sz w:val="32"/>
          <w:szCs w:val="32"/>
        </w:rPr>
        <w:t>分行</w:t>
      </w:r>
      <w:r w:rsidRPr="00905EEE">
        <w:rPr>
          <w:rFonts w:ascii="楷体_GB2312" w:eastAsia="楷体_GB2312" w:hAnsi="楷体" w:hint="eastAsia"/>
          <w:sz w:val="32"/>
          <w:szCs w:val="32"/>
        </w:rPr>
        <w:t>金融市场</w:t>
      </w:r>
      <w:r w:rsidR="00347470">
        <w:rPr>
          <w:rFonts w:ascii="楷体_GB2312" w:eastAsia="楷体_GB2312" w:hAnsi="楷体" w:hint="eastAsia"/>
          <w:sz w:val="32"/>
          <w:szCs w:val="32"/>
        </w:rPr>
        <w:t>部</w:t>
      </w:r>
      <w:r w:rsidRPr="00905EEE">
        <w:rPr>
          <w:rFonts w:ascii="楷体_GB2312" w:eastAsia="楷体_GB2312" w:hAnsi="楷体" w:hint="eastAsia"/>
          <w:sz w:val="32"/>
          <w:szCs w:val="32"/>
        </w:rPr>
        <w:t>部门</w:t>
      </w:r>
      <w:r w:rsidRPr="00905EEE">
        <w:rPr>
          <w:rFonts w:ascii="楷体_GB2312" w:eastAsia="楷体_GB2312" w:hAnsi="楷体"/>
          <w:sz w:val="32"/>
          <w:szCs w:val="32"/>
        </w:rPr>
        <w:t>负责人</w:t>
      </w:r>
    </w:p>
    <w:p w14:paraId="3E69883D" w14:textId="77777777" w:rsidR="003020B3" w:rsidRDefault="003020B3" w:rsidP="003020B3">
      <w:pPr>
        <w:adjustRightInd w:val="0"/>
        <w:snapToGrid w:val="0"/>
        <w:spacing w:line="560" w:lineRule="atLeast"/>
        <w:ind w:firstLineChars="192" w:firstLine="660"/>
        <w:rPr>
          <w:rFonts w:ascii="黑体" w:eastAsia="黑体" w:hAnsi="黑体"/>
          <w:spacing w:val="12"/>
          <w:sz w:val="32"/>
          <w:szCs w:val="32"/>
        </w:rPr>
      </w:pPr>
      <w:r w:rsidRPr="008D242E">
        <w:rPr>
          <w:rFonts w:ascii="黑体" w:eastAsia="黑体" w:hAnsi="黑体" w:hint="eastAsia"/>
          <w:spacing w:val="12"/>
          <w:sz w:val="32"/>
          <w:szCs w:val="32"/>
        </w:rPr>
        <w:t>三</w:t>
      </w:r>
      <w:r w:rsidRPr="008D242E">
        <w:rPr>
          <w:rFonts w:ascii="黑体" w:eastAsia="黑体" w:hAnsi="黑体"/>
          <w:spacing w:val="12"/>
          <w:sz w:val="32"/>
          <w:szCs w:val="32"/>
        </w:rPr>
        <w:t>、管理要求</w:t>
      </w:r>
    </w:p>
    <w:p w14:paraId="719C7056" w14:textId="77777777" w:rsidR="003020B3" w:rsidRPr="00B36DB1" w:rsidRDefault="003020B3" w:rsidP="003020B3">
      <w:pPr>
        <w:adjustRightInd w:val="0"/>
        <w:snapToGrid w:val="0"/>
        <w:spacing w:line="590" w:lineRule="atLeast"/>
        <w:ind w:firstLineChars="200" w:firstLine="680"/>
        <w:rPr>
          <w:rFonts w:ascii="仿宋_GB2312" w:eastAsia="仿宋_GB2312" w:hAnsi="仿宋"/>
          <w:spacing w:val="10"/>
          <w:sz w:val="32"/>
          <w:szCs w:val="32"/>
        </w:rPr>
      </w:pPr>
      <w:r>
        <w:rPr>
          <w:rFonts w:ascii="仿宋_GB2312" w:eastAsia="仿宋_GB2312" w:hAnsi="仿宋" w:hint="eastAsia"/>
          <w:spacing w:val="10"/>
          <w:sz w:val="32"/>
          <w:szCs w:val="32"/>
        </w:rPr>
        <w:t>（一）</w:t>
      </w:r>
      <w:r w:rsidRPr="00B36DB1">
        <w:rPr>
          <w:rFonts w:ascii="仿宋_GB2312" w:eastAsia="仿宋_GB2312" w:hAnsi="仿宋" w:hint="eastAsia"/>
          <w:spacing w:val="10"/>
          <w:sz w:val="32"/>
          <w:szCs w:val="32"/>
        </w:rPr>
        <w:t>应建立</w:t>
      </w:r>
      <w:r w:rsidRPr="00B36DB1">
        <w:rPr>
          <w:rFonts w:ascii="仿宋_GB2312" w:eastAsia="仿宋_GB2312" w:hAnsi="仿宋"/>
          <w:spacing w:val="10"/>
          <w:sz w:val="32"/>
          <w:szCs w:val="32"/>
        </w:rPr>
        <w:t>健全</w:t>
      </w:r>
      <w:r w:rsidRPr="00B36DB1">
        <w:rPr>
          <w:rFonts w:ascii="仿宋_GB2312" w:eastAsia="仿宋_GB2312" w:hAnsi="仿宋" w:hint="eastAsia"/>
          <w:spacing w:val="10"/>
          <w:sz w:val="32"/>
          <w:szCs w:val="32"/>
        </w:rPr>
        <w:t>内控机制，严格执行业务</w:t>
      </w:r>
      <w:r w:rsidRPr="00B36DB1">
        <w:rPr>
          <w:rFonts w:ascii="仿宋_GB2312" w:eastAsia="仿宋_GB2312" w:hAnsi="仿宋"/>
          <w:spacing w:val="10"/>
          <w:sz w:val="32"/>
          <w:szCs w:val="32"/>
        </w:rPr>
        <w:t>准入和</w:t>
      </w:r>
      <w:r w:rsidRPr="00B36DB1">
        <w:rPr>
          <w:rFonts w:ascii="仿宋_GB2312" w:eastAsia="仿宋_GB2312" w:hAnsi="仿宋" w:hint="eastAsia"/>
          <w:spacing w:val="10"/>
          <w:sz w:val="32"/>
          <w:szCs w:val="32"/>
        </w:rPr>
        <w:t>市场风险限额，落实相关管理要求。</w:t>
      </w:r>
    </w:p>
    <w:p w14:paraId="198E8DD4" w14:textId="77777777" w:rsidR="003020B3" w:rsidRDefault="003020B3" w:rsidP="003020B3">
      <w:pPr>
        <w:adjustRightInd w:val="0"/>
        <w:snapToGrid w:val="0"/>
        <w:spacing w:line="590" w:lineRule="atLeast"/>
        <w:ind w:firstLineChars="200" w:firstLine="680"/>
        <w:rPr>
          <w:rFonts w:ascii="仿宋_GB2312" w:eastAsia="仿宋_GB2312" w:hAnsi="仿宋"/>
          <w:spacing w:val="10"/>
          <w:sz w:val="32"/>
          <w:szCs w:val="32"/>
        </w:rPr>
      </w:pPr>
      <w:r>
        <w:rPr>
          <w:rFonts w:ascii="仿宋_GB2312" w:eastAsia="仿宋_GB2312" w:hAnsi="仿宋" w:hint="eastAsia"/>
          <w:spacing w:val="10"/>
          <w:sz w:val="32"/>
          <w:szCs w:val="32"/>
        </w:rPr>
        <w:t>（二）</w:t>
      </w:r>
      <w:r w:rsidRPr="00B36DB1">
        <w:rPr>
          <w:rFonts w:ascii="仿宋_GB2312" w:eastAsia="仿宋_GB2312" w:hAnsi="仿宋" w:hint="eastAsia"/>
          <w:spacing w:val="10"/>
          <w:sz w:val="32"/>
          <w:szCs w:val="32"/>
        </w:rPr>
        <w:t>各级被授权人</w:t>
      </w:r>
      <w:r w:rsidRPr="00B36DB1">
        <w:rPr>
          <w:rFonts w:ascii="仿宋_GB2312" w:eastAsia="仿宋_GB2312" w:hAnsi="仿宋"/>
          <w:spacing w:val="10"/>
          <w:sz w:val="32"/>
          <w:szCs w:val="32"/>
        </w:rPr>
        <w:t>应</w:t>
      </w:r>
      <w:r w:rsidRPr="00B36DB1">
        <w:rPr>
          <w:rFonts w:ascii="仿宋_GB2312" w:eastAsia="仿宋_GB2312" w:hAnsi="仿宋" w:hint="eastAsia"/>
          <w:spacing w:val="10"/>
          <w:sz w:val="32"/>
          <w:szCs w:val="32"/>
        </w:rPr>
        <w:t>在既定权限内规范审批业务、</w:t>
      </w:r>
      <w:r w:rsidRPr="00B36DB1">
        <w:rPr>
          <w:rFonts w:ascii="仿宋_GB2312" w:eastAsia="仿宋_GB2312" w:hAnsi="仿宋"/>
          <w:spacing w:val="10"/>
          <w:sz w:val="32"/>
          <w:szCs w:val="32"/>
        </w:rPr>
        <w:t>合规</w:t>
      </w:r>
      <w:r w:rsidRPr="00B36DB1">
        <w:rPr>
          <w:rFonts w:ascii="仿宋_GB2312" w:eastAsia="仿宋_GB2312" w:hAnsi="仿宋" w:hint="eastAsia"/>
          <w:spacing w:val="10"/>
          <w:sz w:val="32"/>
          <w:szCs w:val="32"/>
        </w:rPr>
        <w:t>办理业务；市场风险限额执行责任人应严格执行市场风险限额指标，落实相关管理规定和要求。严禁发生超业务准入和超市场风险限额的</w:t>
      </w:r>
      <w:r w:rsidRPr="00B36DB1">
        <w:rPr>
          <w:rFonts w:ascii="仿宋_GB2312" w:eastAsia="仿宋_GB2312" w:hAnsi="仿宋"/>
          <w:spacing w:val="10"/>
          <w:sz w:val="32"/>
          <w:szCs w:val="32"/>
        </w:rPr>
        <w:t>情况</w:t>
      </w:r>
      <w:r w:rsidRPr="00B36DB1">
        <w:rPr>
          <w:rFonts w:ascii="仿宋_GB2312" w:eastAsia="仿宋_GB2312" w:hAnsi="仿宋" w:hint="eastAsia"/>
          <w:spacing w:val="10"/>
          <w:sz w:val="32"/>
          <w:szCs w:val="32"/>
        </w:rPr>
        <w:t>。</w:t>
      </w:r>
    </w:p>
    <w:p w14:paraId="0CE3B7CA" w14:textId="77777777" w:rsidR="003020B3" w:rsidRPr="00B36DB1" w:rsidRDefault="003020B3" w:rsidP="003020B3">
      <w:pPr>
        <w:adjustRightInd w:val="0"/>
        <w:snapToGrid w:val="0"/>
        <w:spacing w:line="590" w:lineRule="atLeast"/>
        <w:ind w:firstLineChars="200" w:firstLine="680"/>
        <w:rPr>
          <w:rFonts w:ascii="仿宋_GB2312" w:eastAsia="仿宋_GB2312" w:hAnsi="仿宋"/>
          <w:spacing w:val="10"/>
          <w:sz w:val="32"/>
          <w:szCs w:val="32"/>
        </w:rPr>
      </w:pPr>
      <w:r>
        <w:rPr>
          <w:rFonts w:ascii="仿宋_GB2312" w:eastAsia="仿宋_GB2312" w:hAnsi="仿宋" w:hint="eastAsia"/>
          <w:spacing w:val="10"/>
          <w:sz w:val="32"/>
          <w:szCs w:val="32"/>
        </w:rPr>
        <w:t>（三）</w:t>
      </w:r>
      <w:r w:rsidRPr="00B36DB1">
        <w:rPr>
          <w:rFonts w:ascii="仿宋_GB2312" w:eastAsia="仿宋_GB2312" w:hAnsi="仿宋"/>
          <w:spacing w:val="10"/>
          <w:sz w:val="32"/>
          <w:szCs w:val="32"/>
        </w:rPr>
        <w:t>你</w:t>
      </w:r>
      <w:r>
        <w:rPr>
          <w:rFonts w:ascii="仿宋_GB2312" w:eastAsia="仿宋_GB2312" w:hAnsi="仿宋"/>
          <w:spacing w:val="10"/>
          <w:sz w:val="32"/>
          <w:szCs w:val="32"/>
        </w:rPr>
        <w:t>分</w:t>
      </w:r>
      <w:r w:rsidRPr="00B36DB1">
        <w:rPr>
          <w:rFonts w:ascii="仿宋_GB2312" w:eastAsia="仿宋_GB2312" w:hAnsi="仿宋" w:hint="eastAsia"/>
          <w:spacing w:val="10"/>
          <w:sz w:val="32"/>
          <w:szCs w:val="32"/>
        </w:rPr>
        <w:t>行风险管理部门应按日监控本机构转授权和市场风险限额</w:t>
      </w:r>
      <w:r w:rsidRPr="00B36DB1">
        <w:rPr>
          <w:rFonts w:ascii="仿宋_GB2312" w:eastAsia="仿宋_GB2312" w:hAnsi="仿宋"/>
          <w:spacing w:val="10"/>
          <w:sz w:val="32"/>
          <w:szCs w:val="32"/>
        </w:rPr>
        <w:t>实施</w:t>
      </w:r>
      <w:r w:rsidRPr="00B36DB1">
        <w:rPr>
          <w:rFonts w:ascii="仿宋_GB2312" w:eastAsia="仿宋_GB2312" w:hAnsi="仿宋" w:hint="eastAsia"/>
          <w:spacing w:val="10"/>
          <w:sz w:val="32"/>
          <w:szCs w:val="32"/>
        </w:rPr>
        <w:t>方案的执行情况，每日向本机构金融市场业务部门和总行风险管理部报告。</w:t>
      </w:r>
    </w:p>
    <w:p w14:paraId="170E7596" w14:textId="77777777" w:rsidR="003020B3" w:rsidRDefault="003020B3" w:rsidP="003020B3">
      <w:pPr>
        <w:adjustRightInd w:val="0"/>
        <w:snapToGrid w:val="0"/>
        <w:spacing w:line="590" w:lineRule="atLeast"/>
        <w:ind w:firstLineChars="200" w:firstLine="680"/>
        <w:rPr>
          <w:rFonts w:ascii="仿宋_GB2312" w:eastAsia="仿宋_GB2312" w:hAnsi="仿宋"/>
          <w:spacing w:val="10"/>
          <w:sz w:val="32"/>
          <w:szCs w:val="32"/>
        </w:rPr>
      </w:pPr>
      <w:r>
        <w:rPr>
          <w:rFonts w:ascii="仿宋_GB2312" w:eastAsia="仿宋_GB2312" w:hAnsi="仿宋" w:hint="eastAsia"/>
          <w:spacing w:val="10"/>
          <w:sz w:val="32"/>
          <w:szCs w:val="32"/>
        </w:rPr>
        <w:t>（四）涉及合并计算的指标，</w:t>
      </w:r>
      <w:r w:rsidRPr="00440510">
        <w:rPr>
          <w:rFonts w:ascii="仿宋_GB2312" w:eastAsia="仿宋_GB2312" w:hAnsi="仿宋" w:hint="eastAsia"/>
          <w:spacing w:val="10"/>
          <w:sz w:val="32"/>
          <w:szCs w:val="32"/>
        </w:rPr>
        <w:t>应密切关注指标的执行情况，必要时采取有效控制措施。</w:t>
      </w:r>
    </w:p>
    <w:p w14:paraId="53FB068D" w14:textId="77777777" w:rsidR="003020B3" w:rsidRPr="00905EEE" w:rsidRDefault="003020B3" w:rsidP="00905EEE">
      <w:pPr>
        <w:adjustRightInd w:val="0"/>
        <w:snapToGrid w:val="0"/>
        <w:spacing w:line="590" w:lineRule="atLeast"/>
        <w:ind w:firstLineChars="200" w:firstLine="640"/>
        <w:rPr>
          <w:rFonts w:ascii="楷体_GB2312" w:eastAsia="楷体_GB2312" w:hAnsi="楷体"/>
          <w:sz w:val="32"/>
          <w:szCs w:val="32"/>
        </w:rPr>
      </w:pPr>
    </w:p>
    <w:sectPr w:rsidR="003020B3" w:rsidRPr="00905EEE" w:rsidSect="0029189D">
      <w:pgSz w:w="11906" w:h="16838" w:code="9"/>
      <w:pgMar w:top="1899" w:right="1418" w:bottom="1843" w:left="1474" w:header="851" w:footer="1474" w:gutter="0"/>
      <w:cols w:space="425"/>
      <w:docGrid w:type="lines" w:linePitch="59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4096C" w14:textId="77777777" w:rsidR="0047123D" w:rsidRDefault="0047123D" w:rsidP="009968B0">
      <w:r>
        <w:separator/>
      </w:r>
    </w:p>
  </w:endnote>
  <w:endnote w:type="continuationSeparator" w:id="0">
    <w:p w14:paraId="2CFA9189" w14:textId="77777777" w:rsidR="0047123D" w:rsidRDefault="0047123D" w:rsidP="00996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7B3F" w14:textId="77777777" w:rsidR="00617A92" w:rsidRDefault="0032609A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317B40" w14:textId="77777777" w:rsidR="00617A92" w:rsidRDefault="00FB30E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7B41" w14:textId="77777777" w:rsidR="00617A92" w:rsidRPr="00617A92" w:rsidRDefault="0032609A">
    <w:pPr>
      <w:pStyle w:val="Footer"/>
      <w:framePr w:w="1701" w:wrap="around" w:vAnchor="text" w:hAnchor="margin" w:xAlign="outside" w:y="1"/>
      <w:ind w:firstLineChars="100" w:firstLine="280"/>
      <w:rPr>
        <w:rStyle w:val="PageNumber"/>
        <w:rFonts w:ascii="宋体" w:hAnsi="宋体"/>
        <w:sz w:val="28"/>
        <w:szCs w:val="28"/>
      </w:rPr>
    </w:pPr>
    <w:r w:rsidRPr="00617A92">
      <w:rPr>
        <w:rStyle w:val="PageNumber"/>
        <w:rFonts w:ascii="宋体" w:hAnsi="宋体" w:hint="eastAsia"/>
        <w:sz w:val="28"/>
        <w:szCs w:val="28"/>
      </w:rPr>
      <w:t>—</w:t>
    </w:r>
    <w:r>
      <w:rPr>
        <w:rStyle w:val="PageNumber"/>
        <w:rFonts w:ascii="宋体" w:hAnsi="宋体" w:hint="eastAsia"/>
        <w:sz w:val="28"/>
        <w:szCs w:val="28"/>
      </w:rPr>
      <w:t xml:space="preserve"> </w:t>
    </w:r>
    <w:r w:rsidRPr="00617A92">
      <w:rPr>
        <w:rStyle w:val="PageNumber"/>
        <w:rFonts w:ascii="宋体" w:hAnsi="宋体"/>
        <w:sz w:val="28"/>
        <w:szCs w:val="28"/>
      </w:rPr>
      <w:fldChar w:fldCharType="begin"/>
    </w:r>
    <w:r w:rsidRPr="00617A92">
      <w:rPr>
        <w:rStyle w:val="PageNumber"/>
        <w:rFonts w:ascii="宋体" w:hAnsi="宋体"/>
        <w:sz w:val="28"/>
        <w:szCs w:val="28"/>
      </w:rPr>
      <w:instrText xml:space="preserve">PAGE  </w:instrText>
    </w:r>
    <w:r w:rsidRPr="00617A92">
      <w:rPr>
        <w:rStyle w:val="PageNumber"/>
        <w:rFonts w:ascii="宋体" w:hAnsi="宋体"/>
        <w:sz w:val="28"/>
        <w:szCs w:val="28"/>
      </w:rPr>
      <w:fldChar w:fldCharType="separate"/>
    </w:r>
    <w:r w:rsidR="00FB30EC">
      <w:rPr>
        <w:rStyle w:val="PageNumber"/>
        <w:rFonts w:ascii="宋体" w:hAnsi="宋体"/>
        <w:noProof/>
        <w:sz w:val="28"/>
        <w:szCs w:val="28"/>
      </w:rPr>
      <w:t>3</w:t>
    </w:r>
    <w:r w:rsidRPr="00617A92">
      <w:rPr>
        <w:rStyle w:val="PageNumber"/>
        <w:rFonts w:ascii="宋体" w:hAnsi="宋体"/>
        <w:sz w:val="28"/>
        <w:szCs w:val="28"/>
      </w:rPr>
      <w:fldChar w:fldCharType="end"/>
    </w:r>
    <w:r>
      <w:rPr>
        <w:rStyle w:val="PageNumber"/>
        <w:rFonts w:ascii="宋体" w:hAnsi="宋体" w:hint="eastAsia"/>
        <w:sz w:val="28"/>
        <w:szCs w:val="28"/>
      </w:rPr>
      <w:t xml:space="preserve"> </w:t>
    </w:r>
    <w:r w:rsidRPr="00617A92">
      <w:rPr>
        <w:rStyle w:val="PageNumber"/>
        <w:rFonts w:ascii="宋体" w:hAnsi="宋体" w:hint="eastAsia"/>
        <w:sz w:val="28"/>
        <w:szCs w:val="28"/>
      </w:rPr>
      <w:t>—</w:t>
    </w:r>
  </w:p>
  <w:p w14:paraId="33317B42" w14:textId="77777777" w:rsidR="00617A92" w:rsidRDefault="00FB30E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2EAFA" w14:textId="77777777" w:rsidR="0047123D" w:rsidRDefault="0047123D" w:rsidP="009968B0">
      <w:r>
        <w:separator/>
      </w:r>
    </w:p>
  </w:footnote>
  <w:footnote w:type="continuationSeparator" w:id="0">
    <w:p w14:paraId="6991A9A2" w14:textId="77777777" w:rsidR="0047123D" w:rsidRDefault="0047123D" w:rsidP="009968B0">
      <w:r>
        <w:continuationSeparator/>
      </w:r>
    </w:p>
  </w:footnote>
  <w:footnote w:id="1">
    <w:p w14:paraId="33317B43" w14:textId="77777777" w:rsidR="009968B0" w:rsidRDefault="009968B0" w:rsidP="009968B0">
      <w:pPr>
        <w:pStyle w:val="FootnoteText"/>
        <w:rPr>
          <w:rFonts w:ascii="宋体" w:hAnsi="宋体"/>
        </w:rPr>
      </w:pPr>
      <w:r>
        <w:rPr>
          <w:rStyle w:val="FootnoteReference"/>
          <w:rFonts w:ascii="宋体" w:hAnsi="宋体"/>
        </w:rPr>
        <w:footnoteRef/>
      </w:r>
      <w:r>
        <w:rPr>
          <w:rFonts w:ascii="宋体" w:hAnsi="宋体" w:hint="eastAsia"/>
        </w:rPr>
        <w:t xml:space="preserve"> 结售汇业务包括即期结售汇与远掉期结售汇业务。</w:t>
      </w:r>
    </w:p>
  </w:footnote>
  <w:footnote w:id="2">
    <w:p w14:paraId="33317B44" w14:textId="77777777" w:rsidR="00DA712D" w:rsidRDefault="00DA712D" w:rsidP="00DA71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包含外汇</w:t>
      </w:r>
      <w:r>
        <w:t>交易业务</w:t>
      </w:r>
      <w:r>
        <w:rPr>
          <w:rFonts w:hint="eastAsia"/>
        </w:rPr>
        <w:t>，以及</w:t>
      </w:r>
      <w:r>
        <w:t>贵金属及大宗商品业</w:t>
      </w:r>
      <w:r>
        <w:rPr>
          <w:rFonts w:hint="eastAsia"/>
        </w:rPr>
        <w:t>务</w:t>
      </w:r>
      <w:r>
        <w:t>中</w:t>
      </w:r>
      <w:r w:rsidRPr="00CB0B04">
        <w:rPr>
          <w:rFonts w:hint="eastAsia"/>
        </w:rPr>
        <w:t>即期</w:t>
      </w:r>
      <w:r w:rsidRPr="00CB0B04">
        <w:t>结售汇、远掉期结售汇、货币掉期、外汇买卖</w:t>
      </w:r>
      <w:r w:rsidRPr="00CB0B04">
        <w:rPr>
          <w:rFonts w:hint="eastAsia"/>
        </w:rPr>
        <w:t>。</w:t>
      </w:r>
    </w:p>
  </w:footnote>
  <w:footnote w:id="3">
    <w:p w14:paraId="33317B45" w14:textId="77777777" w:rsidR="00DA712D" w:rsidRDefault="00DA712D" w:rsidP="00DA71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欧元</w:t>
      </w:r>
      <w:r>
        <w:t>、</w:t>
      </w:r>
      <w:r w:rsidRPr="00E501DE">
        <w:t>日元</w:t>
      </w:r>
      <w:r>
        <w:rPr>
          <w:rFonts w:hint="eastAsia"/>
        </w:rPr>
        <w:t>、</w:t>
      </w:r>
      <w:r w:rsidRPr="00E501DE">
        <w:t>英镑</w:t>
      </w:r>
      <w:r>
        <w:rPr>
          <w:rFonts w:hint="eastAsia"/>
        </w:rPr>
        <w:t>、</w:t>
      </w:r>
      <w:r w:rsidRPr="00E501DE">
        <w:t>澳元</w:t>
      </w:r>
      <w:r>
        <w:rPr>
          <w:rFonts w:hint="eastAsia"/>
        </w:rPr>
        <w:t>、</w:t>
      </w:r>
      <w:r w:rsidRPr="00E501DE">
        <w:t>加元</w:t>
      </w:r>
      <w:r>
        <w:rPr>
          <w:rFonts w:hint="eastAsia"/>
        </w:rPr>
        <w:t>、</w:t>
      </w:r>
      <w:r w:rsidRPr="00E501DE">
        <w:t>瑞士法郎</w:t>
      </w:r>
      <w:r>
        <w:rPr>
          <w:rFonts w:hint="eastAsia"/>
        </w:rPr>
        <w:t>、</w:t>
      </w:r>
      <w:r>
        <w:t>港币</w:t>
      </w:r>
      <w:r>
        <w:rPr>
          <w:rFonts w:hint="eastAsia"/>
        </w:rPr>
        <w:t>、新</w:t>
      </w:r>
      <w:r>
        <w:t>西</w:t>
      </w:r>
      <w:r>
        <w:rPr>
          <w:rFonts w:hint="eastAsia"/>
        </w:rPr>
        <w:t>兰元</w:t>
      </w:r>
      <w:r>
        <w:t>。</w:t>
      </w:r>
    </w:p>
  </w:footnote>
  <w:footnote w:id="4">
    <w:p w14:paraId="33317B46" w14:textId="77777777" w:rsidR="00664F54" w:rsidRPr="0069031A" w:rsidRDefault="00664F54" w:rsidP="00DA71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计算</w:t>
      </w:r>
      <w:r w:rsidRPr="00CF2888">
        <w:rPr>
          <w:rFonts w:cs="宋体" w:hint="eastAsia"/>
        </w:rPr>
        <w:t>范围不含存量理财业务回表的债券；</w:t>
      </w:r>
      <w:r>
        <w:rPr>
          <w:rFonts w:hint="eastAsia"/>
        </w:rPr>
        <w:t>有</w:t>
      </w:r>
      <w:r w:rsidRPr="00CF2888">
        <w:rPr>
          <w:rFonts w:cs="宋体" w:hint="eastAsia"/>
        </w:rPr>
        <w:t>债项评级的以债项评级为准，无债项评级的以主体评级为准，外币债券评级计算规则相同。</w:t>
      </w:r>
    </w:p>
  </w:footnote>
  <w:footnote w:id="5">
    <w:p w14:paraId="33317B47" w14:textId="77777777" w:rsidR="00664F54" w:rsidRDefault="00664F54" w:rsidP="00DA712D">
      <w:pPr>
        <w:pStyle w:val="FootnoteText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对于我行主承销债券，该比例不得高于</w:t>
      </w:r>
      <w:r>
        <w:rPr>
          <w:rFonts w:hint="eastAsia"/>
        </w:rPr>
        <w:t>20%</w:t>
      </w:r>
      <w:r>
        <w:rPr>
          <w:rFonts w:hint="eastAsia"/>
        </w:rPr>
        <w:t>。</w:t>
      </w:r>
    </w:p>
  </w:footnote>
  <w:footnote w:id="6">
    <w:p w14:paraId="33317B48" w14:textId="77777777" w:rsidR="00664F54" w:rsidRDefault="00664F54" w:rsidP="00DA712D">
      <w:pPr>
        <w:pStyle w:val="FootnoteText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825E7B">
        <w:rPr>
          <w:rFonts w:hint="eastAsia"/>
        </w:rPr>
        <w:t>与外币债券交易业务合并计算</w:t>
      </w:r>
      <w:r>
        <w:rPr>
          <w:rFonts w:hint="eastAsia"/>
        </w:rPr>
        <w:t>。</w:t>
      </w:r>
      <w:r w:rsidRPr="009651CF">
        <w:rPr>
          <w:rFonts w:hint="eastAsia"/>
        </w:rPr>
        <w:t>如私募债、结构化债券和</w:t>
      </w:r>
      <w:r w:rsidRPr="009651CF">
        <w:t>CD</w:t>
      </w:r>
      <w:r w:rsidRPr="00F64DCE">
        <w:rPr>
          <w:rFonts w:hint="eastAsia"/>
        </w:rPr>
        <w:t>集中度高于上述限额，应履行部门内部审批程序，审批结果抄送风险管理部</w:t>
      </w:r>
      <w:r>
        <w:rPr>
          <w:rFonts w:hint="eastAsia"/>
        </w:rPr>
        <w:t>。</w:t>
      </w:r>
    </w:p>
  </w:footnote>
  <w:footnote w:id="7">
    <w:p w14:paraId="33317B49" w14:textId="77777777" w:rsidR="00664F54" w:rsidRDefault="00664F54" w:rsidP="00DA712D">
      <w:pPr>
        <w:pStyle w:val="FootnoteText"/>
      </w:pPr>
      <w:r w:rsidRPr="004436E3">
        <w:rPr>
          <w:rStyle w:val="FootnoteReference"/>
        </w:rPr>
        <w:footnoteRef/>
      </w:r>
      <w:r w:rsidRPr="004436E3">
        <w:t xml:space="preserve"> </w:t>
      </w:r>
      <w:r w:rsidRPr="004436E3">
        <w:rPr>
          <w:rFonts w:hint="eastAsia"/>
        </w:rPr>
        <w:t>对</w:t>
      </w:r>
      <w:r w:rsidRPr="004436E3">
        <w:t>平均评级</w:t>
      </w:r>
      <w:r w:rsidRPr="004436E3">
        <w:rPr>
          <w:rFonts w:hint="eastAsia"/>
        </w:rPr>
        <w:t>、</w:t>
      </w:r>
      <w:r w:rsidRPr="004436E3">
        <w:rPr>
          <w:rFonts w:hint="eastAsia"/>
        </w:rPr>
        <w:t>BB</w:t>
      </w:r>
      <w:r w:rsidRPr="004436E3">
        <w:rPr>
          <w:rFonts w:hint="eastAsia"/>
        </w:rPr>
        <w:t>及</w:t>
      </w:r>
      <w:r w:rsidRPr="004436E3">
        <w:t>以下</w:t>
      </w:r>
      <w:r w:rsidRPr="004436E3">
        <w:rPr>
          <w:rFonts w:hint="eastAsia"/>
        </w:rPr>
        <w:t>评级</w:t>
      </w:r>
      <w:r w:rsidRPr="004436E3">
        <w:t>债券</w:t>
      </w:r>
      <w:r>
        <w:rPr>
          <w:rFonts w:hint="eastAsia"/>
        </w:rPr>
        <w:t>占比</w:t>
      </w:r>
      <w:r w:rsidRPr="004436E3">
        <w:t>指标，</w:t>
      </w:r>
      <w:r>
        <w:rPr>
          <w:rFonts w:hint="eastAsia"/>
        </w:rPr>
        <w:t>不含</w:t>
      </w:r>
      <w:r w:rsidRPr="004436E3">
        <w:rPr>
          <w:rFonts w:hint="eastAsia"/>
        </w:rPr>
        <w:t>中信银行集团内部子公司发行人</w:t>
      </w:r>
      <w:r w:rsidRPr="004436E3">
        <w:t>。</w:t>
      </w:r>
      <w:r w:rsidRPr="00980FAF">
        <w:rPr>
          <w:rFonts w:cs="宋体"/>
        </w:rPr>
        <w:t>对于无评级债券</w:t>
      </w:r>
      <w:r w:rsidRPr="00980FAF">
        <w:rPr>
          <w:rFonts w:cs="宋体" w:hint="eastAsia"/>
        </w:rPr>
        <w:t>，</w:t>
      </w:r>
      <w:r w:rsidRPr="00980FAF">
        <w:rPr>
          <w:rFonts w:cs="宋体"/>
        </w:rPr>
        <w:t>如发行人或担保人、维好人、备用信用证提供人有境内评级，则豁免</w:t>
      </w:r>
      <w:r w:rsidRPr="00980FAF">
        <w:rPr>
          <w:rFonts w:cs="宋体" w:hint="eastAsia"/>
        </w:rPr>
        <w:t>境内</w:t>
      </w:r>
      <w:r w:rsidRPr="00980FAF">
        <w:rPr>
          <w:rFonts w:cs="宋体"/>
        </w:rPr>
        <w:t>AA+</w:t>
      </w:r>
      <w:r w:rsidRPr="00980FAF">
        <w:rPr>
          <w:rFonts w:cs="宋体"/>
        </w:rPr>
        <w:t>（含）以上评级债券</w:t>
      </w:r>
      <w:r w:rsidRPr="00980FAF">
        <w:rPr>
          <w:rFonts w:cs="宋体" w:hint="eastAsia"/>
        </w:rPr>
        <w:t>；</w:t>
      </w:r>
      <w:r w:rsidRPr="00825E7B">
        <w:rPr>
          <w:rFonts w:hint="eastAsia"/>
        </w:rPr>
        <w:t>维好人境内评级</w:t>
      </w:r>
      <w:r w:rsidRPr="00825E7B">
        <w:t>AAA</w:t>
      </w:r>
      <w:r w:rsidRPr="00825E7B">
        <w:t>以上的金融机构债</w:t>
      </w:r>
      <w:r>
        <w:rPr>
          <w:rFonts w:hint="eastAsia"/>
        </w:rPr>
        <w:t>不适用。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6AB731A4"/>
    <w:name w:val="Numbered"/>
    <w:lvl w:ilvl="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E5636E0"/>
    <w:name w:val="Bulleted"/>
    <w:lvl w:ilvl="0" w:tplc="FFFFFFFF">
      <w:start w:val="1"/>
      <w:numFmt w:val="japaneseCounting"/>
      <w:lvlText w:val="%1、"/>
      <w:lvlJc w:val="left"/>
      <w:pPr>
        <w:ind w:left="138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00" w:hanging="420"/>
      </w:pPr>
    </w:lvl>
    <w:lvl w:ilvl="2" w:tplc="FFFFFFFF" w:tentative="1">
      <w:start w:val="1"/>
      <w:numFmt w:val="lowerRoman"/>
      <w:lvlText w:val="%3."/>
      <w:lvlJc w:val="right"/>
      <w:pPr>
        <w:ind w:left="1920" w:hanging="420"/>
      </w:pPr>
    </w:lvl>
    <w:lvl w:ilvl="3" w:tplc="FFFFFFFF" w:tentative="1">
      <w:start w:val="1"/>
      <w:numFmt w:val="decimal"/>
      <w:lvlText w:val="%4."/>
      <w:lvlJc w:val="left"/>
      <w:pPr>
        <w:ind w:left="2340" w:hanging="420"/>
      </w:pPr>
    </w:lvl>
    <w:lvl w:ilvl="4" w:tplc="FFFFFFFF" w:tentative="1">
      <w:start w:val="1"/>
      <w:numFmt w:val="lowerLetter"/>
      <w:lvlText w:val="%5)"/>
      <w:lvlJc w:val="left"/>
      <w:pPr>
        <w:ind w:left="2760" w:hanging="420"/>
      </w:pPr>
    </w:lvl>
    <w:lvl w:ilvl="5" w:tplc="FFFFFFFF" w:tentative="1">
      <w:start w:val="1"/>
      <w:numFmt w:val="lowerRoman"/>
      <w:lvlText w:val="%6."/>
      <w:lvlJc w:val="right"/>
      <w:pPr>
        <w:ind w:left="3180" w:hanging="420"/>
      </w:pPr>
    </w:lvl>
    <w:lvl w:ilvl="6" w:tplc="FFFFFFFF" w:tentative="1">
      <w:start w:val="1"/>
      <w:numFmt w:val="decimal"/>
      <w:lvlText w:val="%7."/>
      <w:lvlJc w:val="left"/>
      <w:pPr>
        <w:ind w:left="3600" w:hanging="420"/>
      </w:pPr>
    </w:lvl>
    <w:lvl w:ilvl="7" w:tplc="FFFFFFFF" w:tentative="1">
      <w:start w:val="1"/>
      <w:numFmt w:val="lowerLetter"/>
      <w:lvlText w:val="%8)"/>
      <w:lvlJc w:val="left"/>
      <w:pPr>
        <w:ind w:left="4020" w:hanging="420"/>
      </w:pPr>
    </w:lvl>
    <w:lvl w:ilvl="8" w:tplc="FFFFFFFF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 w15:restartNumberingAfterBreak="0">
    <w:nsid w:val="00000003"/>
    <w:multiLevelType w:val="multilevel"/>
    <w:tmpl w:val="6AB731A4"/>
    <w:name w:val="Numbered_87e14f80-dbec-4d67-b22e-2f76fdec5eb6"/>
    <w:lvl w:ilvl="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F52342"/>
    <w:multiLevelType w:val="multilevel"/>
    <w:tmpl w:val="0DF52342"/>
    <w:lvl w:ilvl="0">
      <w:start w:val="1"/>
      <w:numFmt w:val="bullet"/>
      <w:suff w:val="space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markup="0" w:formatting="0"/>
  <w:documentProtection w:edit="readOnly" w:enforcement="1" w:cryptProviderType="rsaAES" w:cryptAlgorithmClass="hash" w:cryptAlgorithmType="typeAny" w:cryptAlgorithmSid="14" w:cryptSpinCount="100000" w:hash="ZGJD75t44Na5z9dKliQrLj6ETxSVE4rNR2ImIIFdobZgMN+PmvNgCMnrOCl/EEmr9BmbeefL/qM/6bJy3bsD8A==" w:salt="+qh5qZbP+w0DldyHAqXHQ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B0"/>
    <w:rsid w:val="0003182A"/>
    <w:rsid w:val="00051AAA"/>
    <w:rsid w:val="000753EE"/>
    <w:rsid w:val="000A3AC2"/>
    <w:rsid w:val="001773EC"/>
    <w:rsid w:val="001F6543"/>
    <w:rsid w:val="002D205F"/>
    <w:rsid w:val="002D78D9"/>
    <w:rsid w:val="003020B3"/>
    <w:rsid w:val="00303216"/>
    <w:rsid w:val="00313D9E"/>
    <w:rsid w:val="0032609A"/>
    <w:rsid w:val="00347470"/>
    <w:rsid w:val="003E3640"/>
    <w:rsid w:val="0042446B"/>
    <w:rsid w:val="00440510"/>
    <w:rsid w:val="00460808"/>
    <w:rsid w:val="0047123D"/>
    <w:rsid w:val="0053378A"/>
    <w:rsid w:val="005D6A12"/>
    <w:rsid w:val="005E07E8"/>
    <w:rsid w:val="005E59B8"/>
    <w:rsid w:val="00646311"/>
    <w:rsid w:val="00664F54"/>
    <w:rsid w:val="00695ADC"/>
    <w:rsid w:val="00707086"/>
    <w:rsid w:val="00710069"/>
    <w:rsid w:val="007A0BD1"/>
    <w:rsid w:val="007C2D09"/>
    <w:rsid w:val="00887955"/>
    <w:rsid w:val="008E02B8"/>
    <w:rsid w:val="00905EEE"/>
    <w:rsid w:val="00914D5B"/>
    <w:rsid w:val="009968B0"/>
    <w:rsid w:val="009B2274"/>
    <w:rsid w:val="00A24B00"/>
    <w:rsid w:val="00B36DB1"/>
    <w:rsid w:val="00B66E14"/>
    <w:rsid w:val="00C803D3"/>
    <w:rsid w:val="00D227B2"/>
    <w:rsid w:val="00D30E72"/>
    <w:rsid w:val="00D6451D"/>
    <w:rsid w:val="00D8561B"/>
    <w:rsid w:val="00DA0BF1"/>
    <w:rsid w:val="00DA712D"/>
    <w:rsid w:val="00F7601D"/>
    <w:rsid w:val="00FB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317A74"/>
  <w15:chartTrackingRefBased/>
  <w15:docId w15:val="{89FA4951-49F8-44EE-953E-B9C4F5C4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8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96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9968B0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9968B0"/>
  </w:style>
  <w:style w:type="character" w:styleId="FootnoteReference">
    <w:name w:val="footnote reference"/>
    <w:uiPriority w:val="99"/>
    <w:rsid w:val="009968B0"/>
    <w:rPr>
      <w:vertAlign w:val="superscript"/>
    </w:rPr>
  </w:style>
  <w:style w:type="character" w:customStyle="1" w:styleId="FootnoteTextChar">
    <w:name w:val="Footnote Text Char"/>
    <w:link w:val="FootnoteText"/>
    <w:uiPriority w:val="99"/>
    <w:rsid w:val="009968B0"/>
    <w:rPr>
      <w:rFonts w:ascii="Calibri" w:hAnsi="Calibr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rsid w:val="009968B0"/>
    <w:pPr>
      <w:snapToGrid w:val="0"/>
      <w:jc w:val="left"/>
    </w:pPr>
    <w:rPr>
      <w:rFonts w:ascii="Calibri" w:eastAsiaTheme="minorEastAsia" w:hAnsi="Calibri" w:cstheme="minorBidi"/>
      <w:sz w:val="18"/>
      <w:szCs w:val="18"/>
    </w:rPr>
  </w:style>
  <w:style w:type="character" w:customStyle="1" w:styleId="Char1">
    <w:name w:val="脚注文本 Char1"/>
    <w:basedOn w:val="DefaultParagraphFont"/>
    <w:uiPriority w:val="99"/>
    <w:semiHidden/>
    <w:rsid w:val="009968B0"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9968B0"/>
    <w:pPr>
      <w:ind w:firstLineChars="200" w:firstLine="420"/>
    </w:pPr>
    <w:rPr>
      <w:rFonts w:ascii="Calibri" w:hAnsi="Calibri"/>
      <w:szCs w:val="22"/>
    </w:rPr>
  </w:style>
  <w:style w:type="character" w:customStyle="1" w:styleId="ListParagraphChar">
    <w:name w:val="List Paragraph Char"/>
    <w:link w:val="ListParagraph"/>
    <w:rsid w:val="009968B0"/>
    <w:rPr>
      <w:rFonts w:ascii="Calibri" w:eastAsia="宋体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B2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B227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33b4251-a59a-4cf2-9261-a123672fc30b">6SFWCU267MRR-11-237269</_dlc_DocId>
    <_dlc_DocIdUrl xmlns="033b4251-a59a-4cf2-9261-a123672fc30b">
      <Url>http://itdoc.citicbank.com/_layouts/15/DocIdRedir.aspx?ID=6SFWCU267MRR-11-237269</Url>
      <Description>6SFWCU267MRR-11-237269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4DEE83711D75744A92AC32C445F6BB6" ma:contentTypeVersion="0" ma:contentTypeDescription="新建文档。" ma:contentTypeScope="" ma:versionID="3e2a4fa624c43eefb88f31cf99f10c39">
  <xsd:schema xmlns:xsd="http://www.w3.org/2001/XMLSchema" xmlns:xs="http://www.w3.org/2001/XMLSchema" xmlns:p="http://schemas.microsoft.com/office/2006/metadata/properties" xmlns:ns2="033b4251-a59a-4cf2-9261-a123672fc30b" targetNamespace="http://schemas.microsoft.com/office/2006/metadata/properties" ma:root="true" ma:fieldsID="0093f9b4954f23ca14c6632b71bdfee9" ns2:_="">
    <xsd:import namespace="033b4251-a59a-4cf2-9261-a123672fc30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b4251-a59a-4cf2-9261-a123672fc3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1BE8FEE-7BFF-4D24-A7DF-D1EF45BB6C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9CB41C-ADDC-463D-A510-34FDA2F4D16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033b4251-a59a-4cf2-9261-a123672fc30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9D043CC-C7F6-42CC-A928-86DED10E7B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b4251-a59a-4cf2-9261-a123672fc3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F651B4-6878-434A-AA29-D9DE51FAE38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278</Words>
  <Characters>1586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陈曦</dc:creator>
  <cp:keywords/>
  <dc:description/>
  <cp:lastModifiedBy>任俏翘</cp:lastModifiedBy>
  <cp:revision>2</cp:revision>
  <dcterms:created xsi:type="dcterms:W3CDTF">2022-04-21T13:47:00Z</dcterms:created>
  <dcterms:modified xsi:type="dcterms:W3CDTF">2022-04-21T13:47:00Z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a74d5b4b-0353-4b58-a2b9-8f160625b607</vt:lpwstr>
  </property>
  <property fmtid="{D5CDD505-2E9C-101B-9397-08002B2CF9AE}" pid="3" name="ContentTypeId">
    <vt:lpwstr>0x01010074DEE83711D75744A92AC32C445F6BB6</vt:lpwstr>
  </property>
</Properties>
</file>