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33" w:rsidRDefault="00B94D33">
      <w:pPr>
        <w:widowControl/>
        <w:pBdr>
          <w:bottom w:val="single" w:sz="6" w:space="4" w:color="7F7F7F"/>
        </w:pBdr>
        <w:adjustRightInd w:val="0"/>
        <w:snapToGrid w:val="0"/>
        <w:spacing w:beforeLines="50" w:before="297" w:afterLines="50" w:after="297"/>
        <w:jc w:val="center"/>
        <w:rPr>
          <w:rFonts w:eastAsia="方正小标宋简体"/>
          <w:kern w:val="0"/>
          <w:sz w:val="24"/>
        </w:rPr>
      </w:pPr>
    </w:p>
    <w:p w:rsidR="00DA3A2D" w:rsidRDefault="00DA3A2D">
      <w:pPr>
        <w:widowControl/>
        <w:pBdr>
          <w:bottom w:val="single" w:sz="6" w:space="4" w:color="7F7F7F"/>
        </w:pBdr>
        <w:adjustRightInd w:val="0"/>
        <w:snapToGrid w:val="0"/>
        <w:spacing w:beforeLines="50" w:before="297" w:afterLines="50" w:after="297"/>
        <w:jc w:val="center"/>
        <w:rPr>
          <w:rFonts w:eastAsia="方正小标宋简体"/>
          <w:kern w:val="0"/>
          <w:sz w:val="24"/>
        </w:rPr>
      </w:pPr>
    </w:p>
    <w:p w:rsidR="00DA3A2D" w:rsidRDefault="00DA3A2D">
      <w:pPr>
        <w:widowControl/>
        <w:pBdr>
          <w:bottom w:val="single" w:sz="6" w:space="4" w:color="7F7F7F"/>
        </w:pBdr>
        <w:adjustRightInd w:val="0"/>
        <w:snapToGrid w:val="0"/>
        <w:spacing w:beforeLines="50" w:before="297" w:afterLines="50" w:after="297"/>
        <w:jc w:val="center"/>
        <w:rPr>
          <w:rFonts w:eastAsia="方正小标宋简体"/>
          <w:kern w:val="0"/>
          <w:sz w:val="24"/>
        </w:rPr>
      </w:pPr>
    </w:p>
    <w:p w:rsidR="00B94D33" w:rsidRDefault="00694BC1">
      <w:pPr>
        <w:widowControl/>
        <w:pBdr>
          <w:bottom w:val="single" w:sz="6" w:space="4" w:color="7F7F7F"/>
        </w:pBdr>
        <w:adjustRightInd w:val="0"/>
        <w:snapToGrid w:val="0"/>
        <w:spacing w:beforeLines="50" w:before="297" w:afterLines="50" w:after="297"/>
        <w:jc w:val="center"/>
        <w:rPr>
          <w:rFonts w:eastAsia="方正小标宋简体"/>
          <w:b/>
          <w:bCs/>
          <w:kern w:val="0"/>
          <w:sz w:val="28"/>
          <w:szCs w:val="28"/>
        </w:rPr>
      </w:pPr>
      <w:r>
        <w:rPr>
          <w:rFonts w:eastAsia="方正小标宋简体"/>
          <w:b/>
          <w:bCs/>
          <w:kern w:val="0"/>
          <w:sz w:val="28"/>
          <w:szCs w:val="28"/>
          <w:lang w:val="en"/>
        </w:rPr>
        <w:t>2022 Implementation Plan for Financial Markets Business Access Reauthorization and Market Risk Limits for London Branch</w:t>
      </w:r>
    </w:p>
    <w:p w:rsidR="00B94D33" w:rsidRDefault="00B94D33">
      <w:pPr>
        <w:widowControl/>
        <w:pBdr>
          <w:bottom w:val="single" w:sz="6" w:space="4" w:color="7F7F7F"/>
        </w:pBdr>
        <w:adjustRightInd w:val="0"/>
        <w:snapToGrid w:val="0"/>
        <w:spacing w:beforeLines="50" w:before="297" w:afterLines="50" w:after="297"/>
        <w:jc w:val="center"/>
        <w:rPr>
          <w:rFonts w:eastAsia="方正小标宋简体"/>
          <w:kern w:val="0"/>
          <w:sz w:val="24"/>
        </w:rPr>
      </w:pPr>
    </w:p>
    <w:p w:rsidR="00B94D33" w:rsidRDefault="00694BC1">
      <w:pPr>
        <w:adjustRightInd w:val="0"/>
        <w:snapToGrid w:val="0"/>
        <w:spacing w:beforeLines="50" w:before="297" w:afterLines="50" w:after="297"/>
        <w:jc w:val="center"/>
        <w:rPr>
          <w:rFonts w:eastAsia="方正小标宋简体"/>
          <w:spacing w:val="12"/>
          <w:sz w:val="24"/>
        </w:rPr>
      </w:pPr>
      <w:r>
        <w:rPr>
          <w:rFonts w:eastAsia="方正小标宋简体"/>
          <w:spacing w:val="12"/>
          <w:sz w:val="24"/>
        </w:rPr>
        <w:t>Version 1 in 2022</w:t>
      </w:r>
    </w:p>
    <w:p w:rsidR="00B94D33" w:rsidRDefault="00B94D33">
      <w:pPr>
        <w:adjustRightInd w:val="0"/>
        <w:snapToGrid w:val="0"/>
        <w:spacing w:beforeLines="50" w:before="297" w:afterLines="50" w:after="297"/>
        <w:jc w:val="center"/>
        <w:rPr>
          <w:rFonts w:eastAsia="方正小标宋简体"/>
          <w:spacing w:val="12"/>
          <w:sz w:val="24"/>
        </w:rPr>
      </w:pPr>
    </w:p>
    <w:p w:rsidR="00B94D33" w:rsidRDefault="00B94D33">
      <w:pPr>
        <w:adjustRightInd w:val="0"/>
        <w:snapToGrid w:val="0"/>
        <w:spacing w:beforeLines="50" w:before="297" w:afterLines="50" w:after="297"/>
        <w:jc w:val="center"/>
        <w:rPr>
          <w:rFonts w:eastAsia="方正小标宋简体"/>
          <w:spacing w:val="12"/>
          <w:sz w:val="24"/>
        </w:rPr>
      </w:pPr>
    </w:p>
    <w:p w:rsidR="00B94D33" w:rsidRDefault="00B94D33">
      <w:pPr>
        <w:adjustRightInd w:val="0"/>
        <w:snapToGrid w:val="0"/>
        <w:spacing w:beforeLines="50" w:before="297" w:afterLines="50" w:after="297"/>
        <w:jc w:val="center"/>
        <w:rPr>
          <w:rFonts w:eastAsia="方正小标宋简体"/>
          <w:spacing w:val="12"/>
          <w:sz w:val="24"/>
        </w:rPr>
      </w:pPr>
    </w:p>
    <w:p w:rsidR="00B94D33" w:rsidRDefault="00B94D33">
      <w:pPr>
        <w:adjustRightInd w:val="0"/>
        <w:snapToGrid w:val="0"/>
        <w:spacing w:beforeLines="50" w:before="297" w:afterLines="50" w:after="297"/>
        <w:jc w:val="center"/>
        <w:rPr>
          <w:rFonts w:eastAsia="方正小标宋简体"/>
          <w:spacing w:val="12"/>
          <w:sz w:val="24"/>
        </w:rPr>
      </w:pPr>
    </w:p>
    <w:p w:rsidR="00B94D33" w:rsidRDefault="00B94D33">
      <w:pPr>
        <w:adjustRightInd w:val="0"/>
        <w:snapToGrid w:val="0"/>
        <w:spacing w:beforeLines="50" w:before="297" w:afterLines="50" w:after="297"/>
        <w:jc w:val="center"/>
        <w:rPr>
          <w:rFonts w:eastAsia="方正小标宋简体"/>
          <w:spacing w:val="12"/>
          <w:sz w:val="24"/>
        </w:rPr>
      </w:pPr>
    </w:p>
    <w:p w:rsidR="00B94D33" w:rsidRDefault="00B94D33">
      <w:pPr>
        <w:adjustRightInd w:val="0"/>
        <w:snapToGrid w:val="0"/>
        <w:spacing w:beforeLines="50" w:before="297" w:afterLines="50" w:after="297"/>
        <w:jc w:val="center"/>
        <w:rPr>
          <w:rFonts w:eastAsia="方正小标宋简体"/>
          <w:spacing w:val="2"/>
          <w:sz w:val="24"/>
        </w:rPr>
        <w:sectPr w:rsidR="00B94D33">
          <w:footerReference w:type="even" r:id="rId12"/>
          <w:footerReference w:type="default" r:id="rId13"/>
          <w:pgSz w:w="11906" w:h="16838"/>
          <w:pgMar w:top="1899" w:right="1418" w:bottom="1843" w:left="1474" w:header="851" w:footer="1474" w:gutter="0"/>
          <w:cols w:space="425"/>
          <w:docGrid w:type="lines" w:linePitch="595"/>
        </w:sect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1414"/>
        <w:gridCol w:w="5471"/>
      </w:tblGrid>
      <w:tr w:rsidR="00B94D33">
        <w:trPr>
          <w:trHeight w:val="560"/>
          <w:jc w:val="center"/>
        </w:trPr>
        <w:tc>
          <w:tcPr>
            <w:tcW w:w="8296" w:type="dxa"/>
            <w:gridSpan w:val="3"/>
            <w:vAlign w:val="center"/>
          </w:tcPr>
          <w:p w:rsidR="00B94D33" w:rsidRDefault="00694BC1">
            <w:pPr>
              <w:adjustRightInd w:val="0"/>
              <w:snapToGrid w:val="0"/>
              <w:jc w:val="center"/>
              <w:rPr>
                <w:rFonts w:eastAsia="仿宋"/>
                <w:b/>
                <w:sz w:val="24"/>
              </w:rPr>
            </w:pPr>
            <w:r>
              <w:rPr>
                <w:rFonts w:eastAsia="仿宋"/>
                <w:b/>
                <w:bCs/>
                <w:sz w:val="24"/>
                <w:lang w:val="en"/>
              </w:rPr>
              <w:lastRenderedPageBreak/>
              <w:t>Version Description</w:t>
            </w:r>
          </w:p>
        </w:tc>
      </w:tr>
      <w:tr w:rsidR="00B94D33">
        <w:trPr>
          <w:trHeight w:val="540"/>
          <w:jc w:val="center"/>
        </w:trPr>
        <w:tc>
          <w:tcPr>
            <w:tcW w:w="1411" w:type="dxa"/>
            <w:vAlign w:val="center"/>
          </w:tcPr>
          <w:p w:rsidR="00B94D33" w:rsidRDefault="00694BC1">
            <w:pPr>
              <w:adjustRightInd w:val="0"/>
              <w:snapToGrid w:val="0"/>
              <w:jc w:val="center"/>
              <w:rPr>
                <w:rFonts w:eastAsia="仿宋"/>
                <w:b/>
                <w:sz w:val="24"/>
              </w:rPr>
            </w:pPr>
            <w:r>
              <w:rPr>
                <w:rFonts w:eastAsia="仿宋"/>
                <w:b/>
                <w:bCs/>
                <w:sz w:val="24"/>
                <w:lang w:val="en"/>
              </w:rPr>
              <w:t>Version No.</w:t>
            </w:r>
          </w:p>
        </w:tc>
        <w:tc>
          <w:tcPr>
            <w:tcW w:w="1414" w:type="dxa"/>
            <w:vAlign w:val="center"/>
          </w:tcPr>
          <w:p w:rsidR="00B94D33" w:rsidRDefault="00694BC1">
            <w:pPr>
              <w:adjustRightInd w:val="0"/>
              <w:snapToGrid w:val="0"/>
              <w:jc w:val="center"/>
              <w:rPr>
                <w:rFonts w:eastAsia="仿宋"/>
                <w:b/>
                <w:sz w:val="24"/>
              </w:rPr>
            </w:pPr>
            <w:r>
              <w:rPr>
                <w:rFonts w:eastAsia="仿宋"/>
                <w:b/>
                <w:bCs/>
                <w:sz w:val="24"/>
                <w:lang w:val="en"/>
              </w:rPr>
              <w:t>Version</w:t>
            </w:r>
          </w:p>
        </w:tc>
        <w:tc>
          <w:tcPr>
            <w:tcW w:w="5471" w:type="dxa"/>
            <w:vAlign w:val="center"/>
          </w:tcPr>
          <w:p w:rsidR="00B94D33" w:rsidRDefault="00694BC1">
            <w:pPr>
              <w:adjustRightInd w:val="0"/>
              <w:snapToGrid w:val="0"/>
              <w:jc w:val="center"/>
              <w:rPr>
                <w:rFonts w:eastAsia="仿宋"/>
                <w:b/>
                <w:sz w:val="24"/>
              </w:rPr>
            </w:pPr>
            <w:r>
              <w:rPr>
                <w:rFonts w:eastAsia="仿宋"/>
                <w:b/>
                <w:bCs/>
                <w:sz w:val="24"/>
                <w:lang w:val="en"/>
              </w:rPr>
              <w:t>Description</w:t>
            </w:r>
          </w:p>
        </w:tc>
      </w:tr>
      <w:tr w:rsidR="00B94D33">
        <w:trPr>
          <w:trHeight w:val="576"/>
          <w:jc w:val="center"/>
        </w:trPr>
        <w:tc>
          <w:tcPr>
            <w:tcW w:w="1411" w:type="dxa"/>
            <w:vAlign w:val="center"/>
          </w:tcPr>
          <w:p w:rsidR="00B94D33" w:rsidRDefault="00694BC1">
            <w:pPr>
              <w:adjustRightInd w:val="0"/>
              <w:snapToGrid w:val="0"/>
              <w:jc w:val="center"/>
              <w:rPr>
                <w:rFonts w:eastAsia="仿宋"/>
                <w:sz w:val="24"/>
              </w:rPr>
            </w:pPr>
            <w:r>
              <w:rPr>
                <w:rFonts w:eastAsia="仿宋"/>
                <w:sz w:val="24"/>
                <w:lang w:val="en"/>
              </w:rPr>
              <w:t>1</w:t>
            </w:r>
          </w:p>
        </w:tc>
        <w:tc>
          <w:tcPr>
            <w:tcW w:w="1414" w:type="dxa"/>
            <w:vAlign w:val="center"/>
          </w:tcPr>
          <w:p w:rsidR="00B94D33" w:rsidRDefault="00694BC1">
            <w:pPr>
              <w:adjustRightInd w:val="0"/>
              <w:snapToGrid w:val="0"/>
              <w:jc w:val="center"/>
              <w:rPr>
                <w:rFonts w:eastAsia="仿宋"/>
                <w:sz w:val="24"/>
              </w:rPr>
            </w:pPr>
            <w:r>
              <w:rPr>
                <w:rFonts w:eastAsia="仿宋"/>
                <w:sz w:val="24"/>
                <w:lang w:val="en"/>
              </w:rPr>
              <w:t>Version 1 in 2022</w:t>
            </w:r>
          </w:p>
        </w:tc>
        <w:tc>
          <w:tcPr>
            <w:tcW w:w="5471" w:type="dxa"/>
            <w:vAlign w:val="center"/>
          </w:tcPr>
          <w:p w:rsidR="00B94D33" w:rsidRDefault="00694BC1">
            <w:pPr>
              <w:numPr>
                <w:ilvl w:val="0"/>
                <w:numId w:val="1"/>
              </w:numPr>
              <w:adjustRightInd w:val="0"/>
              <w:snapToGrid w:val="0"/>
              <w:ind w:firstLine="0"/>
              <w:rPr>
                <w:rFonts w:eastAsia="仿宋"/>
                <w:sz w:val="24"/>
              </w:rPr>
            </w:pPr>
            <w:r>
              <w:rPr>
                <w:rFonts w:eastAsia="仿宋"/>
                <w:sz w:val="24"/>
                <w:lang w:val="en"/>
              </w:rPr>
              <w:t>Created.</w:t>
            </w:r>
          </w:p>
        </w:tc>
      </w:tr>
    </w:tbl>
    <w:p w:rsidR="00B94D33" w:rsidRDefault="00B94D33">
      <w:pPr>
        <w:adjustRightInd w:val="0"/>
        <w:snapToGrid w:val="0"/>
        <w:spacing w:beforeLines="50" w:before="297" w:afterLines="50" w:after="297"/>
        <w:jc w:val="center"/>
        <w:rPr>
          <w:rFonts w:eastAsia="方正小标宋简体"/>
          <w:spacing w:val="2"/>
          <w:sz w:val="24"/>
        </w:rPr>
      </w:pPr>
    </w:p>
    <w:p w:rsidR="00B94D33" w:rsidRDefault="00B94D33">
      <w:pPr>
        <w:adjustRightInd w:val="0"/>
        <w:snapToGrid w:val="0"/>
        <w:spacing w:beforeLines="50" w:before="297" w:afterLines="50" w:after="297"/>
        <w:jc w:val="center"/>
        <w:rPr>
          <w:rFonts w:eastAsia="方正小标宋简体"/>
          <w:spacing w:val="2"/>
          <w:sz w:val="24"/>
        </w:rPr>
        <w:sectPr w:rsidR="00B94D33">
          <w:pgSz w:w="11906" w:h="16838"/>
          <w:pgMar w:top="1899" w:right="1418" w:bottom="1843" w:left="1474" w:header="851" w:footer="1474" w:gutter="0"/>
          <w:cols w:space="425"/>
          <w:docGrid w:type="lines" w:linePitch="595"/>
        </w:sectPr>
      </w:pPr>
    </w:p>
    <w:p w:rsidR="00B94D33" w:rsidRDefault="00694BC1">
      <w:pPr>
        <w:adjustRightInd w:val="0"/>
        <w:snapToGrid w:val="0"/>
        <w:spacing w:beforeLines="50" w:before="297" w:afterLines="50" w:after="297"/>
        <w:jc w:val="center"/>
        <w:rPr>
          <w:rFonts w:eastAsia="方正小标宋简体"/>
          <w:b/>
          <w:bCs/>
          <w:spacing w:val="2"/>
          <w:sz w:val="28"/>
          <w:szCs w:val="28"/>
        </w:rPr>
      </w:pPr>
      <w:r>
        <w:rPr>
          <w:rFonts w:eastAsia="方正小标宋简体"/>
          <w:b/>
          <w:bCs/>
          <w:sz w:val="28"/>
          <w:szCs w:val="28"/>
          <w:lang w:val="en"/>
        </w:rPr>
        <w:lastRenderedPageBreak/>
        <w:t>2022 Implementation Plan for Financial Markets Business Access Reauthorization and Market Risk Limits for London Branch</w:t>
      </w:r>
    </w:p>
    <w:p w:rsidR="00B94D33" w:rsidRDefault="00B94D33">
      <w:pPr>
        <w:adjustRightInd w:val="0"/>
        <w:snapToGrid w:val="0"/>
        <w:spacing w:beforeLines="50" w:before="297" w:afterLines="50" w:after="297"/>
        <w:jc w:val="center"/>
        <w:rPr>
          <w:rFonts w:eastAsia="方正小标宋简体"/>
          <w:spacing w:val="2"/>
          <w:sz w:val="24"/>
        </w:rPr>
      </w:pPr>
    </w:p>
    <w:p w:rsidR="00B94D33" w:rsidRPr="00DA3A2D" w:rsidRDefault="00694BC1">
      <w:pPr>
        <w:adjustRightInd w:val="0"/>
        <w:snapToGrid w:val="0"/>
        <w:spacing w:beforeLines="50" w:before="297" w:afterLines="50" w:after="297"/>
        <w:rPr>
          <w:rFonts w:eastAsia="黑体"/>
          <w:b/>
          <w:spacing w:val="12"/>
          <w:sz w:val="24"/>
        </w:rPr>
      </w:pPr>
      <w:r w:rsidRPr="00DA3A2D">
        <w:rPr>
          <w:rFonts w:eastAsia="黑体"/>
          <w:b/>
          <w:sz w:val="24"/>
          <w:lang w:val="en"/>
        </w:rPr>
        <w:t>I. Reauthorization</w:t>
      </w:r>
    </w:p>
    <w:p w:rsidR="00B94D33" w:rsidRDefault="00694BC1">
      <w:pPr>
        <w:adjustRightInd w:val="0"/>
        <w:snapToGrid w:val="0"/>
        <w:spacing w:beforeLines="50" w:before="297" w:afterLines="50" w:after="297"/>
        <w:rPr>
          <w:rFonts w:eastAsia="楷体_GB2312"/>
          <w:sz w:val="24"/>
        </w:rPr>
      </w:pPr>
      <w:r>
        <w:rPr>
          <w:rFonts w:eastAsia="楷体_GB2312"/>
          <w:sz w:val="24"/>
          <w:lang w:val="en"/>
        </w:rPr>
        <w:t>i. Businesses available for access</w:t>
      </w:r>
    </w:p>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1. Specific businesses involved</w:t>
      </w:r>
    </w:p>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(1) Foreign currency-denominated interest rate transactions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1"/>
        <w:gridCol w:w="6548"/>
      </w:tblGrid>
      <w:tr w:rsidR="00B94D33">
        <w:trPr>
          <w:trHeight w:val="453"/>
          <w:tblHeader/>
          <w:jc w:val="center"/>
        </w:trPr>
        <w:tc>
          <w:tcPr>
            <w:tcW w:w="9209" w:type="dxa"/>
            <w:gridSpan w:val="2"/>
            <w:shd w:val="clear" w:color="auto" w:fill="auto"/>
            <w:vAlign w:val="center"/>
          </w:tcPr>
          <w:p w:rsidR="00B94D33" w:rsidRDefault="00694BC1">
            <w:pPr>
              <w:widowControl/>
              <w:adjustRightInd w:val="0"/>
              <w:snapToGrid w:val="0"/>
              <w:jc w:val="center"/>
              <w:rPr>
                <w:b/>
                <w:kern w:val="0"/>
                <w:sz w:val="24"/>
              </w:rPr>
            </w:pPr>
            <w:r>
              <w:rPr>
                <w:b/>
                <w:bCs/>
                <w:kern w:val="0"/>
                <w:sz w:val="24"/>
                <w:lang w:val="en"/>
              </w:rPr>
              <w:t>Products available for access</w:t>
            </w:r>
          </w:p>
        </w:tc>
      </w:tr>
      <w:tr w:rsidR="00B94D33">
        <w:trPr>
          <w:trHeight w:val="451"/>
          <w:jc w:val="center"/>
        </w:trPr>
        <w:tc>
          <w:tcPr>
            <w:tcW w:w="2661" w:type="dxa"/>
            <w:shd w:val="clear" w:color="auto" w:fill="auto"/>
            <w:vAlign w:val="center"/>
          </w:tcPr>
          <w:p w:rsidR="00B94D33" w:rsidRDefault="00694BC1">
            <w:pPr>
              <w:adjustRightInd w:val="0"/>
              <w:snapToGrid w:val="0"/>
              <w:rPr>
                <w:kern w:val="0"/>
                <w:sz w:val="24"/>
              </w:rPr>
            </w:pPr>
            <w:r>
              <w:rPr>
                <w:kern w:val="0"/>
                <w:sz w:val="24"/>
                <w:lang w:val="en"/>
              </w:rPr>
              <w:t>Closing of foreign currency-denominated interest rate derivatives on behalf of customers</w:t>
            </w:r>
          </w:p>
        </w:tc>
        <w:tc>
          <w:tcPr>
            <w:tcW w:w="6548" w:type="dxa"/>
            <w:shd w:val="clear" w:color="auto" w:fill="auto"/>
            <w:vAlign w:val="center"/>
          </w:tcPr>
          <w:p w:rsidR="00B94D33" w:rsidRDefault="00694BC1">
            <w:pPr>
              <w:numPr>
                <w:ilvl w:val="0"/>
                <w:numId w:val="2"/>
              </w:numPr>
              <w:adjustRightInd w:val="0"/>
              <w:snapToGrid w:val="0"/>
              <w:ind w:firstLine="0"/>
              <w:rPr>
                <w:kern w:val="0"/>
                <w:sz w:val="24"/>
              </w:rPr>
            </w:pPr>
            <w:r>
              <w:rPr>
                <w:kern w:val="0"/>
                <w:sz w:val="24"/>
                <w:lang w:val="en"/>
              </w:rPr>
              <w:t>Interest rate swaps; currencies available include USD, EUR, JPY, HKD, GBP, and offshore RMB.</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(2) Exchange rate transactions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1701"/>
        <w:gridCol w:w="6540"/>
      </w:tblGrid>
      <w:tr w:rsidR="00B94D33">
        <w:trPr>
          <w:trHeight w:val="567"/>
          <w:jc w:val="center"/>
        </w:trPr>
        <w:tc>
          <w:tcPr>
            <w:tcW w:w="968" w:type="dxa"/>
            <w:shd w:val="clear" w:color="auto" w:fill="auto"/>
            <w:vAlign w:val="center"/>
          </w:tcPr>
          <w:p w:rsidR="00B94D33" w:rsidRDefault="00694BC1">
            <w:pPr>
              <w:widowControl/>
              <w:adjustRightInd w:val="0"/>
              <w:snapToGrid w:val="0"/>
              <w:jc w:val="center"/>
              <w:rPr>
                <w:b/>
                <w:kern w:val="0"/>
                <w:sz w:val="24"/>
              </w:rPr>
            </w:pPr>
            <w:r>
              <w:rPr>
                <w:b/>
                <w:bCs/>
                <w:kern w:val="0"/>
                <w:sz w:val="24"/>
                <w:lang w:val="en"/>
              </w:rPr>
              <w:t>S/N</w:t>
            </w:r>
          </w:p>
        </w:tc>
        <w:tc>
          <w:tcPr>
            <w:tcW w:w="1701" w:type="dxa"/>
            <w:shd w:val="clear" w:color="auto" w:fill="auto"/>
            <w:vAlign w:val="center"/>
          </w:tcPr>
          <w:p w:rsidR="00B94D33" w:rsidRDefault="00694BC1">
            <w:pPr>
              <w:widowControl/>
              <w:adjustRightInd w:val="0"/>
              <w:snapToGrid w:val="0"/>
              <w:jc w:val="center"/>
              <w:rPr>
                <w:b/>
                <w:kern w:val="0"/>
                <w:sz w:val="24"/>
              </w:rPr>
            </w:pPr>
            <w:r>
              <w:rPr>
                <w:b/>
                <w:bCs/>
                <w:kern w:val="0"/>
                <w:sz w:val="24"/>
                <w:lang w:val="en"/>
              </w:rPr>
              <w:t>Business type</w:t>
            </w:r>
          </w:p>
        </w:tc>
        <w:tc>
          <w:tcPr>
            <w:tcW w:w="6540" w:type="dxa"/>
            <w:shd w:val="clear" w:color="auto" w:fill="auto"/>
            <w:vAlign w:val="center"/>
          </w:tcPr>
          <w:p w:rsidR="00B94D33" w:rsidRDefault="00694BC1">
            <w:pPr>
              <w:widowControl/>
              <w:adjustRightInd w:val="0"/>
              <w:snapToGrid w:val="0"/>
              <w:jc w:val="center"/>
              <w:rPr>
                <w:b/>
                <w:kern w:val="0"/>
                <w:sz w:val="24"/>
              </w:rPr>
            </w:pPr>
            <w:r>
              <w:rPr>
                <w:b/>
                <w:bCs/>
                <w:kern w:val="0"/>
                <w:sz w:val="24"/>
                <w:lang w:val="en"/>
              </w:rPr>
              <w:t>Products available for access</w:t>
            </w:r>
          </w:p>
        </w:tc>
      </w:tr>
      <w:tr w:rsidR="00B94D33">
        <w:trPr>
          <w:trHeight w:val="584"/>
          <w:jc w:val="center"/>
        </w:trPr>
        <w:tc>
          <w:tcPr>
            <w:tcW w:w="968" w:type="dxa"/>
            <w:shd w:val="clear" w:color="auto" w:fill="auto"/>
            <w:vAlign w:val="center"/>
          </w:tcPr>
          <w:p w:rsidR="00B94D33" w:rsidRDefault="00694BC1">
            <w:pPr>
              <w:widowControl/>
              <w:adjustRightInd w:val="0"/>
              <w:snapToGrid w:val="0"/>
              <w:jc w:val="center"/>
              <w:rPr>
                <w:kern w:val="0"/>
                <w:sz w:val="24"/>
              </w:rPr>
            </w:pPr>
            <w:r>
              <w:rPr>
                <w:kern w:val="0"/>
                <w:sz w:val="24"/>
                <w:lang w:val="en"/>
              </w:rPr>
              <w:t>1</w:t>
            </w:r>
          </w:p>
        </w:tc>
        <w:tc>
          <w:tcPr>
            <w:tcW w:w="1701" w:type="dxa"/>
            <w:shd w:val="clear" w:color="auto" w:fill="auto"/>
            <w:vAlign w:val="center"/>
          </w:tcPr>
          <w:p w:rsidR="00B94D33" w:rsidRDefault="00694BC1">
            <w:pPr>
              <w:widowControl/>
              <w:adjustRightInd w:val="0"/>
              <w:snapToGrid w:val="0"/>
              <w:jc w:val="center"/>
              <w:rPr>
                <w:kern w:val="0"/>
                <w:sz w:val="24"/>
              </w:rPr>
            </w:pPr>
            <w:r>
              <w:rPr>
                <w:kern w:val="0"/>
                <w:sz w:val="24"/>
                <w:lang w:val="en"/>
              </w:rPr>
              <w:t>Foreign exchange (FX) settlement and sale</w:t>
            </w:r>
            <w:r>
              <w:rPr>
                <w:sz w:val="24"/>
                <w:vertAlign w:val="superscript"/>
                <w:lang w:val="en"/>
              </w:rPr>
              <w:footnoteReference w:id="1"/>
            </w:r>
          </w:p>
        </w:tc>
        <w:tc>
          <w:tcPr>
            <w:tcW w:w="6540" w:type="dxa"/>
            <w:shd w:val="clear" w:color="auto" w:fill="auto"/>
            <w:vAlign w:val="center"/>
          </w:tcPr>
          <w:p w:rsidR="00B94D33" w:rsidRDefault="00694BC1">
            <w:pPr>
              <w:widowControl/>
              <w:numPr>
                <w:ilvl w:val="0"/>
                <w:numId w:val="2"/>
              </w:numPr>
              <w:adjustRightInd w:val="0"/>
              <w:snapToGrid w:val="0"/>
              <w:ind w:left="284" w:firstLine="0"/>
              <w:jc w:val="left"/>
              <w:rPr>
                <w:kern w:val="0"/>
                <w:sz w:val="24"/>
              </w:rPr>
            </w:pPr>
            <w:r>
              <w:rPr>
                <w:kern w:val="0"/>
                <w:sz w:val="24"/>
                <w:lang w:val="en"/>
              </w:rPr>
              <w:t>RMB spot, forward, and swap transactions</w:t>
            </w:r>
          </w:p>
        </w:tc>
      </w:tr>
      <w:tr w:rsidR="00B94D33">
        <w:trPr>
          <w:trHeight w:val="567"/>
          <w:jc w:val="center"/>
        </w:trPr>
        <w:tc>
          <w:tcPr>
            <w:tcW w:w="968" w:type="dxa"/>
            <w:shd w:val="clear" w:color="auto" w:fill="auto"/>
            <w:vAlign w:val="center"/>
          </w:tcPr>
          <w:p w:rsidR="00B94D33" w:rsidRDefault="00694BC1">
            <w:pPr>
              <w:widowControl/>
              <w:adjustRightInd w:val="0"/>
              <w:snapToGrid w:val="0"/>
              <w:jc w:val="center"/>
              <w:rPr>
                <w:kern w:val="0"/>
                <w:sz w:val="24"/>
              </w:rPr>
            </w:pPr>
            <w:r>
              <w:rPr>
                <w:kern w:val="0"/>
                <w:sz w:val="24"/>
                <w:lang w:val="en"/>
              </w:rPr>
              <w:t>2</w:t>
            </w:r>
          </w:p>
        </w:tc>
        <w:tc>
          <w:tcPr>
            <w:tcW w:w="1701" w:type="dxa"/>
            <w:shd w:val="clear" w:color="auto" w:fill="auto"/>
            <w:vAlign w:val="center"/>
          </w:tcPr>
          <w:p w:rsidR="00B94D33" w:rsidRDefault="00694BC1">
            <w:pPr>
              <w:widowControl/>
              <w:adjustRightInd w:val="0"/>
              <w:snapToGrid w:val="0"/>
              <w:jc w:val="center"/>
              <w:rPr>
                <w:kern w:val="0"/>
                <w:sz w:val="24"/>
              </w:rPr>
            </w:pPr>
            <w:r>
              <w:rPr>
                <w:kern w:val="0"/>
                <w:sz w:val="24"/>
                <w:lang w:val="en"/>
              </w:rPr>
              <w:t>FX trading</w:t>
            </w:r>
          </w:p>
        </w:tc>
        <w:tc>
          <w:tcPr>
            <w:tcW w:w="6540" w:type="dxa"/>
            <w:shd w:val="clear" w:color="auto" w:fill="auto"/>
            <w:vAlign w:val="center"/>
          </w:tcPr>
          <w:p w:rsidR="00B94D33" w:rsidRDefault="00694BC1">
            <w:pPr>
              <w:widowControl/>
              <w:numPr>
                <w:ilvl w:val="0"/>
                <w:numId w:val="2"/>
              </w:numPr>
              <w:adjustRightInd w:val="0"/>
              <w:snapToGrid w:val="0"/>
              <w:ind w:left="284" w:firstLine="0"/>
              <w:jc w:val="left"/>
              <w:rPr>
                <w:kern w:val="0"/>
                <w:sz w:val="24"/>
              </w:rPr>
            </w:pPr>
            <w:r>
              <w:rPr>
                <w:kern w:val="0"/>
                <w:sz w:val="24"/>
                <w:lang w:val="en"/>
              </w:rPr>
              <w:t>FX spot, forward, and swap transactions</w:t>
            </w:r>
          </w:p>
        </w:tc>
      </w:tr>
      <w:tr w:rsidR="00B94D33">
        <w:trPr>
          <w:trHeight w:val="553"/>
          <w:jc w:val="center"/>
        </w:trPr>
        <w:tc>
          <w:tcPr>
            <w:tcW w:w="968" w:type="dxa"/>
            <w:shd w:val="clear" w:color="auto" w:fill="auto"/>
            <w:vAlign w:val="center"/>
          </w:tcPr>
          <w:p w:rsidR="00B94D33" w:rsidRDefault="00694BC1">
            <w:pPr>
              <w:widowControl/>
              <w:adjustRightInd w:val="0"/>
              <w:snapToGrid w:val="0"/>
              <w:jc w:val="center"/>
              <w:rPr>
                <w:kern w:val="0"/>
                <w:sz w:val="24"/>
              </w:rPr>
            </w:pPr>
            <w:r>
              <w:rPr>
                <w:kern w:val="0"/>
                <w:sz w:val="24"/>
                <w:lang w:val="en"/>
              </w:rPr>
              <w:t>3</w:t>
            </w:r>
          </w:p>
        </w:tc>
        <w:tc>
          <w:tcPr>
            <w:tcW w:w="1701" w:type="dxa"/>
            <w:shd w:val="clear" w:color="auto" w:fill="auto"/>
            <w:vAlign w:val="center"/>
          </w:tcPr>
          <w:p w:rsidR="00B94D33" w:rsidRDefault="00694BC1">
            <w:pPr>
              <w:widowControl/>
              <w:adjustRightInd w:val="0"/>
              <w:snapToGrid w:val="0"/>
              <w:jc w:val="center"/>
              <w:rPr>
                <w:kern w:val="0"/>
                <w:sz w:val="24"/>
              </w:rPr>
            </w:pPr>
            <w:r>
              <w:rPr>
                <w:kern w:val="0"/>
                <w:sz w:val="24"/>
                <w:lang w:val="en"/>
              </w:rPr>
              <w:t>Currency swaps</w:t>
            </w:r>
          </w:p>
        </w:tc>
        <w:tc>
          <w:tcPr>
            <w:tcW w:w="6540" w:type="dxa"/>
            <w:shd w:val="clear" w:color="auto" w:fill="auto"/>
            <w:vAlign w:val="center"/>
          </w:tcPr>
          <w:p w:rsidR="00B94D33" w:rsidRDefault="00694BC1">
            <w:pPr>
              <w:widowControl/>
              <w:numPr>
                <w:ilvl w:val="0"/>
                <w:numId w:val="2"/>
              </w:numPr>
              <w:adjustRightInd w:val="0"/>
              <w:snapToGrid w:val="0"/>
              <w:ind w:left="284" w:firstLine="0"/>
              <w:rPr>
                <w:kern w:val="0"/>
                <w:sz w:val="24"/>
              </w:rPr>
            </w:pPr>
            <w:r>
              <w:rPr>
                <w:kern w:val="0"/>
                <w:sz w:val="24"/>
                <w:lang w:val="en"/>
              </w:rPr>
              <w:t>Currency swaps (including offshore RMB swaps)</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(3) RMB bond investments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B94D33">
        <w:trPr>
          <w:trHeight w:val="385"/>
          <w:jc w:val="center"/>
        </w:trPr>
        <w:tc>
          <w:tcPr>
            <w:tcW w:w="9209" w:type="dxa"/>
            <w:shd w:val="clear" w:color="auto" w:fill="auto"/>
            <w:vAlign w:val="center"/>
          </w:tcPr>
          <w:p w:rsidR="00B94D33" w:rsidRDefault="00694BC1">
            <w:pPr>
              <w:pStyle w:val="a8"/>
              <w:adjustRightInd w:val="0"/>
              <w:snapToGrid w:val="0"/>
              <w:ind w:firstLineChars="0" w:firstLine="0"/>
              <w:jc w:val="center"/>
              <w:rPr>
                <w:rFonts w:ascii="Times New Roman" w:hAnsi="Times New Roman"/>
                <w:b/>
                <w:color w:val="000000"/>
                <w:sz w:val="24"/>
                <w:szCs w:val="24"/>
              </w:rPr>
            </w:pPr>
            <w:r>
              <w:rPr>
                <w:rFonts w:ascii="Times New Roman" w:hAnsi="Times New Roman"/>
                <w:b/>
                <w:bCs/>
                <w:color w:val="000000"/>
                <w:sz w:val="24"/>
                <w:szCs w:val="24"/>
                <w:lang w:val="en"/>
              </w:rPr>
              <w:t>Products available for access</w:t>
            </w:r>
          </w:p>
        </w:tc>
      </w:tr>
      <w:tr w:rsidR="00B94D33">
        <w:trPr>
          <w:trHeight w:val="2228"/>
          <w:jc w:val="center"/>
        </w:trPr>
        <w:tc>
          <w:tcPr>
            <w:tcW w:w="9209" w:type="dxa"/>
            <w:shd w:val="clear" w:color="auto" w:fill="auto"/>
            <w:vAlign w:val="center"/>
          </w:tcPr>
          <w:p w:rsidR="00B94D33" w:rsidRDefault="00694BC1">
            <w:pPr>
              <w:numPr>
                <w:ilvl w:val="0"/>
                <w:numId w:val="2"/>
              </w:numPr>
              <w:adjustRightInd w:val="0"/>
              <w:snapToGrid w:val="0"/>
              <w:ind w:left="480" w:firstLine="0"/>
              <w:rPr>
                <w:color w:val="000000"/>
                <w:kern w:val="0"/>
                <w:sz w:val="24"/>
              </w:rPr>
            </w:pPr>
            <w:r>
              <w:rPr>
                <w:color w:val="000000"/>
                <w:kern w:val="0"/>
                <w:sz w:val="24"/>
                <w:lang w:val="en"/>
              </w:rPr>
              <w:t>Chinese government bonds (CGBs), local government bonds (LGBs), central bank bills, and financial bonds issued by policy banks</w:t>
            </w:r>
          </w:p>
          <w:p w:rsidR="00B94D33" w:rsidRDefault="00694BC1">
            <w:pPr>
              <w:numPr>
                <w:ilvl w:val="0"/>
                <w:numId w:val="2"/>
              </w:numPr>
              <w:adjustRightInd w:val="0"/>
              <w:snapToGrid w:val="0"/>
              <w:ind w:left="480" w:firstLine="0"/>
              <w:rPr>
                <w:color w:val="000000"/>
                <w:kern w:val="0"/>
                <w:sz w:val="24"/>
              </w:rPr>
            </w:pPr>
            <w:r>
              <w:rPr>
                <w:color w:val="000000"/>
                <w:kern w:val="0"/>
                <w:sz w:val="24"/>
                <w:lang w:val="en"/>
              </w:rPr>
              <w:t>Interbank certificates of deposit (CDs)</w:t>
            </w:r>
          </w:p>
          <w:p w:rsidR="00B94D33" w:rsidRDefault="00694BC1">
            <w:pPr>
              <w:numPr>
                <w:ilvl w:val="0"/>
                <w:numId w:val="2"/>
              </w:numPr>
              <w:adjustRightInd w:val="0"/>
              <w:snapToGrid w:val="0"/>
              <w:ind w:left="480" w:firstLine="0"/>
              <w:jc w:val="left"/>
              <w:rPr>
                <w:color w:val="000000"/>
                <w:kern w:val="0"/>
                <w:sz w:val="24"/>
              </w:rPr>
            </w:pPr>
            <w:r>
              <w:rPr>
                <w:color w:val="000000"/>
                <w:kern w:val="0"/>
                <w:sz w:val="24"/>
                <w:lang w:val="en"/>
              </w:rPr>
              <w:t>Ordinary financial bonds</w:t>
            </w:r>
          </w:p>
          <w:p w:rsidR="00B94D33" w:rsidRDefault="00694BC1">
            <w:pPr>
              <w:numPr>
                <w:ilvl w:val="0"/>
                <w:numId w:val="2"/>
              </w:numPr>
              <w:adjustRightInd w:val="0"/>
              <w:snapToGrid w:val="0"/>
              <w:ind w:left="480" w:firstLine="0"/>
              <w:jc w:val="left"/>
              <w:rPr>
                <w:color w:val="000000"/>
                <w:kern w:val="0"/>
                <w:sz w:val="24"/>
              </w:rPr>
            </w:pPr>
            <w:r>
              <w:rPr>
                <w:color w:val="000000"/>
                <w:kern w:val="0"/>
                <w:sz w:val="24"/>
                <w:lang w:val="en"/>
              </w:rPr>
              <w:t>Short-term commercial papers, medium-term notes, enterprise bonds, corporate bonds, private placement notes (PPNs), and large-amount negotiable CDs</w:t>
            </w:r>
          </w:p>
          <w:p w:rsidR="00B94D33" w:rsidRDefault="00694BC1">
            <w:pPr>
              <w:numPr>
                <w:ilvl w:val="0"/>
                <w:numId w:val="2"/>
              </w:numPr>
              <w:adjustRightInd w:val="0"/>
              <w:snapToGrid w:val="0"/>
              <w:ind w:left="480" w:firstLine="0"/>
              <w:rPr>
                <w:color w:val="000000"/>
                <w:kern w:val="0"/>
                <w:sz w:val="24"/>
              </w:rPr>
            </w:pPr>
            <w:r>
              <w:rPr>
                <w:color w:val="000000"/>
                <w:kern w:val="0"/>
                <w:sz w:val="24"/>
                <w:lang w:val="en"/>
              </w:rPr>
              <w:t>Interest rate swaps and forward interest rate agreements</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lastRenderedPageBreak/>
        <w:t>(4) Foreign currency bond investments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B94D33">
        <w:trPr>
          <w:trHeight w:val="385"/>
          <w:jc w:val="center"/>
        </w:trPr>
        <w:tc>
          <w:tcPr>
            <w:tcW w:w="9209" w:type="dxa"/>
            <w:shd w:val="clear" w:color="auto" w:fill="auto"/>
            <w:vAlign w:val="center"/>
          </w:tcPr>
          <w:p w:rsidR="00B94D33" w:rsidRDefault="00694BC1">
            <w:pPr>
              <w:pStyle w:val="a8"/>
              <w:adjustRightInd w:val="0"/>
              <w:snapToGrid w:val="0"/>
              <w:ind w:firstLineChars="0" w:firstLine="0"/>
              <w:jc w:val="center"/>
              <w:rPr>
                <w:rFonts w:ascii="Times New Roman" w:hAnsi="Times New Roman"/>
                <w:b/>
                <w:color w:val="000000"/>
                <w:sz w:val="24"/>
                <w:szCs w:val="24"/>
              </w:rPr>
            </w:pPr>
            <w:r>
              <w:rPr>
                <w:rFonts w:ascii="Times New Roman" w:hAnsi="Times New Roman"/>
                <w:b/>
                <w:bCs/>
                <w:color w:val="000000"/>
                <w:sz w:val="24"/>
                <w:szCs w:val="24"/>
                <w:lang w:val="en"/>
              </w:rPr>
              <w:t>Products available for access</w:t>
            </w:r>
          </w:p>
        </w:tc>
      </w:tr>
      <w:tr w:rsidR="00B94D33">
        <w:trPr>
          <w:trHeight w:val="1441"/>
          <w:jc w:val="center"/>
        </w:trPr>
        <w:tc>
          <w:tcPr>
            <w:tcW w:w="9209" w:type="dxa"/>
            <w:shd w:val="clear" w:color="auto" w:fill="auto"/>
            <w:vAlign w:val="center"/>
          </w:tcPr>
          <w:p w:rsidR="00B94D33" w:rsidRDefault="00694BC1">
            <w:pPr>
              <w:numPr>
                <w:ilvl w:val="0"/>
                <w:numId w:val="2"/>
              </w:numPr>
              <w:adjustRightInd w:val="0"/>
              <w:snapToGrid w:val="0"/>
              <w:ind w:firstLine="0"/>
              <w:rPr>
                <w:color w:val="000000"/>
                <w:kern w:val="0"/>
                <w:sz w:val="24"/>
              </w:rPr>
            </w:pPr>
            <w:r>
              <w:rPr>
                <w:color w:val="000000"/>
                <w:kern w:val="0"/>
                <w:sz w:val="24"/>
                <w:lang w:val="en"/>
              </w:rPr>
              <w:t>CGBs, government-backed agency bonds, and international multilateral agency bonds</w:t>
            </w:r>
          </w:p>
          <w:p w:rsidR="00B94D33" w:rsidRDefault="00694BC1">
            <w:pPr>
              <w:numPr>
                <w:ilvl w:val="0"/>
                <w:numId w:val="2"/>
              </w:numPr>
              <w:adjustRightInd w:val="0"/>
              <w:snapToGrid w:val="0"/>
              <w:ind w:firstLine="0"/>
              <w:rPr>
                <w:kern w:val="0"/>
                <w:sz w:val="24"/>
              </w:rPr>
            </w:pPr>
            <w:r>
              <w:rPr>
                <w:kern w:val="0"/>
                <w:sz w:val="24"/>
                <w:lang w:val="en"/>
              </w:rPr>
              <w:t>Commercial papers, interbank CDs, and corporate bonds</w:t>
            </w:r>
          </w:p>
          <w:p w:rsidR="00B94D33" w:rsidRDefault="00694BC1">
            <w:pPr>
              <w:numPr>
                <w:ilvl w:val="0"/>
                <w:numId w:val="2"/>
              </w:numPr>
              <w:adjustRightInd w:val="0"/>
              <w:snapToGrid w:val="0"/>
              <w:ind w:firstLine="0"/>
              <w:rPr>
                <w:i/>
                <w:color w:val="000000"/>
                <w:kern w:val="0"/>
                <w:sz w:val="24"/>
              </w:rPr>
            </w:pPr>
            <w:r>
              <w:rPr>
                <w:kern w:val="0"/>
                <w:sz w:val="24"/>
                <w:lang w:val="en"/>
              </w:rPr>
              <w:t>Forward interest rate agreements, interest rate swaps, and currency swaps</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(5) Foreign currency treasury services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B94D33">
        <w:trPr>
          <w:tblHeader/>
          <w:jc w:val="center"/>
        </w:trPr>
        <w:tc>
          <w:tcPr>
            <w:tcW w:w="9209" w:type="dxa"/>
            <w:shd w:val="clear" w:color="auto" w:fill="auto"/>
            <w:vAlign w:val="center"/>
          </w:tcPr>
          <w:p w:rsidR="00B94D33" w:rsidRDefault="00694BC1">
            <w:pPr>
              <w:adjustRightInd w:val="0"/>
              <w:snapToGrid w:val="0"/>
              <w:jc w:val="center"/>
              <w:rPr>
                <w:color w:val="000000"/>
                <w:kern w:val="0"/>
                <w:sz w:val="24"/>
              </w:rPr>
            </w:pPr>
            <w:r>
              <w:rPr>
                <w:b/>
                <w:bCs/>
                <w:color w:val="000000"/>
                <w:sz w:val="24"/>
                <w:lang w:val="en"/>
              </w:rPr>
              <w:t>Products available for access</w:t>
            </w:r>
          </w:p>
        </w:tc>
      </w:tr>
      <w:tr w:rsidR="00B94D33">
        <w:trPr>
          <w:trHeight w:val="556"/>
          <w:jc w:val="center"/>
        </w:trPr>
        <w:tc>
          <w:tcPr>
            <w:tcW w:w="9209" w:type="dxa"/>
            <w:shd w:val="clear" w:color="auto" w:fill="auto"/>
            <w:vAlign w:val="center"/>
          </w:tcPr>
          <w:p w:rsidR="00B94D33" w:rsidRDefault="00694BC1">
            <w:pPr>
              <w:widowControl/>
              <w:numPr>
                <w:ilvl w:val="0"/>
                <w:numId w:val="2"/>
              </w:numPr>
              <w:adjustRightInd w:val="0"/>
              <w:snapToGrid w:val="0"/>
              <w:ind w:left="0" w:firstLine="0"/>
              <w:jc w:val="left"/>
              <w:rPr>
                <w:color w:val="000000"/>
                <w:kern w:val="0"/>
                <w:sz w:val="24"/>
              </w:rPr>
            </w:pPr>
            <w:r>
              <w:rPr>
                <w:color w:val="000000"/>
                <w:kern w:val="0"/>
                <w:sz w:val="24"/>
                <w:lang w:val="en"/>
              </w:rPr>
              <w:t>Internal transactions of interbank lending</w:t>
            </w:r>
          </w:p>
          <w:p w:rsidR="00B94D33" w:rsidRDefault="00694BC1" w:rsidP="00DA3A2D">
            <w:pPr>
              <w:widowControl/>
              <w:numPr>
                <w:ilvl w:val="0"/>
                <w:numId w:val="2"/>
              </w:numPr>
              <w:adjustRightInd w:val="0"/>
              <w:snapToGrid w:val="0"/>
              <w:ind w:left="0" w:firstLine="0"/>
              <w:jc w:val="left"/>
              <w:rPr>
                <w:color w:val="000000"/>
                <w:kern w:val="0"/>
                <w:sz w:val="24"/>
              </w:rPr>
            </w:pPr>
            <w:r>
              <w:rPr>
                <w:color w:val="000000"/>
                <w:kern w:val="0"/>
                <w:sz w:val="24"/>
                <w:lang w:val="en"/>
              </w:rPr>
              <w:t xml:space="preserve">Interbank lending as well as </w:t>
            </w:r>
            <w:r w:rsidR="00DA3A2D">
              <w:rPr>
                <w:color w:val="000000"/>
                <w:kern w:val="0"/>
                <w:sz w:val="24"/>
                <w:lang w:val="en"/>
              </w:rPr>
              <w:t xml:space="preserve">FX </w:t>
            </w:r>
            <w:r>
              <w:rPr>
                <w:color w:val="000000"/>
                <w:kern w:val="0"/>
                <w:sz w:val="24"/>
                <w:lang w:val="en"/>
              </w:rPr>
              <w:t>spot, forward and swap transactions within the scope of credit extension</w:t>
            </w:r>
          </w:p>
          <w:p w:rsidR="00B94D33" w:rsidRDefault="00694BC1">
            <w:pPr>
              <w:widowControl/>
              <w:numPr>
                <w:ilvl w:val="0"/>
                <w:numId w:val="2"/>
              </w:numPr>
              <w:adjustRightInd w:val="0"/>
              <w:snapToGrid w:val="0"/>
              <w:ind w:left="0" w:firstLine="0"/>
              <w:jc w:val="left"/>
              <w:rPr>
                <w:kern w:val="0"/>
                <w:sz w:val="24"/>
              </w:rPr>
            </w:pPr>
            <w:r>
              <w:rPr>
                <w:sz w:val="24"/>
                <w:lang w:val="en"/>
              </w:rPr>
              <w:t xml:space="preserve">Bond repurchase (repo), US </w:t>
            </w:r>
            <w:bookmarkStart w:id="0" w:name="_GoBack"/>
            <w:r>
              <w:rPr>
                <w:sz w:val="24"/>
                <w:lang w:val="en"/>
              </w:rPr>
              <w:t>Treasuries</w:t>
            </w:r>
            <w:bookmarkEnd w:id="0"/>
            <w:r>
              <w:rPr>
                <w:sz w:val="24"/>
                <w:lang w:val="en"/>
              </w:rPr>
              <w:t xml:space="preserve"> of less than one year, CD/commercial paper investment, short-term corporate bonds, UK Gilts, and German Bunds</w:t>
            </w:r>
          </w:p>
          <w:p w:rsidR="00B94D33" w:rsidRDefault="00694BC1">
            <w:pPr>
              <w:widowControl/>
              <w:numPr>
                <w:ilvl w:val="0"/>
                <w:numId w:val="2"/>
              </w:numPr>
              <w:adjustRightInd w:val="0"/>
              <w:snapToGrid w:val="0"/>
              <w:ind w:left="0" w:firstLine="0"/>
              <w:jc w:val="left"/>
              <w:rPr>
                <w:kern w:val="0"/>
                <w:sz w:val="24"/>
              </w:rPr>
            </w:pPr>
            <w:r>
              <w:rPr>
                <w:kern w:val="0"/>
                <w:sz w:val="24"/>
                <w:lang w:val="en"/>
              </w:rPr>
              <w:t>Issuance of interbank CDs in foreign currencies</w:t>
            </w:r>
          </w:p>
          <w:p w:rsidR="00B94D33" w:rsidRDefault="00694BC1">
            <w:pPr>
              <w:widowControl/>
              <w:numPr>
                <w:ilvl w:val="0"/>
                <w:numId w:val="2"/>
              </w:numPr>
              <w:adjustRightInd w:val="0"/>
              <w:snapToGrid w:val="0"/>
              <w:ind w:left="0" w:firstLine="0"/>
              <w:jc w:val="left"/>
              <w:rPr>
                <w:kern w:val="0"/>
                <w:sz w:val="24"/>
              </w:rPr>
            </w:pPr>
            <w:r>
              <w:rPr>
                <w:kern w:val="0"/>
                <w:sz w:val="24"/>
                <w:lang w:val="en"/>
              </w:rPr>
              <w:t>Forward interest rate agreements, interest rate swaps, and cross-currency swaps</w:t>
            </w:r>
          </w:p>
        </w:tc>
      </w:tr>
    </w:tbl>
    <w:p w:rsidR="00B94D33" w:rsidRDefault="00694BC1">
      <w:pPr>
        <w:adjustRightInd w:val="0"/>
        <w:snapToGrid w:val="0"/>
        <w:spacing w:beforeLines="50" w:before="297" w:afterLines="50" w:after="297"/>
        <w:rPr>
          <w:rFonts w:eastAsia="仿宋_GB2312"/>
          <w:spacing w:val="10"/>
          <w:sz w:val="24"/>
        </w:rPr>
      </w:pPr>
      <w:r>
        <w:rPr>
          <w:rFonts w:eastAsia="仿宋_GB2312"/>
          <w:sz w:val="24"/>
          <w:lang w:val="en"/>
        </w:rPr>
        <w:t>2. Authorized persons: Leader of London Branch in charge of financial markets business and head of the financial markets department at London Branch</w:t>
      </w:r>
    </w:p>
    <w:p w:rsidR="00B94D33" w:rsidRDefault="00694BC1">
      <w:pPr>
        <w:adjustRightInd w:val="0"/>
        <w:snapToGrid w:val="0"/>
        <w:spacing w:beforeLines="50" w:before="297" w:afterLines="50" w:after="297"/>
        <w:rPr>
          <w:rFonts w:eastAsia="楷体_GB2312"/>
          <w:sz w:val="24"/>
        </w:rPr>
      </w:pPr>
      <w:r>
        <w:rPr>
          <w:rFonts w:eastAsia="楷体_GB2312"/>
          <w:sz w:val="24"/>
          <w:lang w:val="en"/>
        </w:rPr>
        <w:t>ii. Detailed management provisions</w:t>
      </w:r>
    </w:p>
    <w:p w:rsidR="00B94D33" w:rsidRDefault="00694BC1">
      <w:pPr>
        <w:adjustRightInd w:val="0"/>
        <w:snapToGrid w:val="0"/>
        <w:spacing w:beforeLines="50" w:before="297" w:afterLines="50" w:after="297"/>
        <w:rPr>
          <w:rFonts w:eastAsia="仿宋_GB2312"/>
          <w:spacing w:val="10"/>
          <w:sz w:val="24"/>
        </w:rPr>
      </w:pPr>
      <w:r>
        <w:rPr>
          <w:rFonts w:eastAsia="仿宋_GB2312"/>
          <w:sz w:val="24"/>
          <w:lang w:val="en"/>
        </w:rPr>
        <w:t>To conduct the aforesaid businesses available for access, London Branch shall formulate a complete set of sound management policies, which include business management mechanisms, operational procedures, and risk control measures, in a bid to keep a tight grip on various risks.</w:t>
      </w:r>
    </w:p>
    <w:p w:rsidR="00B94D33" w:rsidRPr="00977CBA" w:rsidRDefault="00694BC1">
      <w:pPr>
        <w:adjustRightInd w:val="0"/>
        <w:snapToGrid w:val="0"/>
        <w:spacing w:beforeLines="50" w:before="297" w:afterLines="50" w:after="297"/>
        <w:rPr>
          <w:rFonts w:eastAsia="黑体"/>
          <w:b/>
          <w:spacing w:val="12"/>
          <w:sz w:val="24"/>
        </w:rPr>
      </w:pPr>
      <w:r w:rsidRPr="00977CBA">
        <w:rPr>
          <w:rFonts w:eastAsia="黑体"/>
          <w:b/>
          <w:sz w:val="24"/>
          <w:lang w:val="en"/>
        </w:rPr>
        <w:t>II. Implementation Plan</w:t>
      </w:r>
    </w:p>
    <w:p w:rsidR="00B94D33" w:rsidRDefault="00694BC1">
      <w:pPr>
        <w:adjustRightInd w:val="0"/>
        <w:snapToGrid w:val="0"/>
        <w:spacing w:beforeLines="50" w:before="297" w:afterLines="50" w:after="297"/>
        <w:rPr>
          <w:rFonts w:eastAsia="楷体_GB2312"/>
          <w:sz w:val="24"/>
        </w:rPr>
      </w:pPr>
      <w:r>
        <w:rPr>
          <w:rFonts w:eastAsia="楷体_GB2312"/>
          <w:sz w:val="24"/>
          <w:lang w:val="en"/>
        </w:rPr>
        <w:t>i. Market risk limits</w:t>
      </w:r>
    </w:p>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1. Foreign currency-denominated interest rate transactions</w:t>
      </w:r>
    </w:p>
    <w:tbl>
      <w:tblPr>
        <w:tblW w:w="10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789"/>
        <w:gridCol w:w="3339"/>
        <w:gridCol w:w="3343"/>
      </w:tblGrid>
      <w:tr w:rsidR="00B94D33">
        <w:trPr>
          <w:trHeight w:val="417"/>
          <w:tblHeader/>
          <w:jc w:val="center"/>
        </w:trPr>
        <w:tc>
          <w:tcPr>
            <w:tcW w:w="1453" w:type="dxa"/>
            <w:vMerge w:val="restart"/>
            <w:tcBorders>
              <w:tl2br w:val="nil"/>
            </w:tcBorders>
            <w:shd w:val="clear" w:color="auto" w:fill="auto"/>
            <w:vAlign w:val="center"/>
          </w:tcPr>
          <w:p w:rsidR="00B94D33" w:rsidRDefault="00694BC1">
            <w:pPr>
              <w:adjustRightInd w:val="0"/>
              <w:snapToGrid w:val="0"/>
              <w:jc w:val="center"/>
              <w:rPr>
                <w:b/>
                <w:sz w:val="24"/>
              </w:rPr>
            </w:pPr>
            <w:r>
              <w:rPr>
                <w:b/>
                <w:bCs/>
                <w:sz w:val="24"/>
                <w:lang w:val="en"/>
              </w:rPr>
              <w:t>Business type</w:t>
            </w:r>
          </w:p>
        </w:tc>
        <w:tc>
          <w:tcPr>
            <w:tcW w:w="1803" w:type="dxa"/>
            <w:vMerge w:val="restart"/>
            <w:shd w:val="clear" w:color="auto" w:fill="auto"/>
            <w:vAlign w:val="center"/>
          </w:tcPr>
          <w:p w:rsidR="00B94D33" w:rsidRDefault="00694BC1">
            <w:pPr>
              <w:adjustRightInd w:val="0"/>
              <w:snapToGrid w:val="0"/>
              <w:jc w:val="center"/>
              <w:rPr>
                <w:b/>
                <w:sz w:val="24"/>
              </w:rPr>
            </w:pPr>
            <w:r>
              <w:rPr>
                <w:b/>
                <w:bCs/>
                <w:sz w:val="24"/>
                <w:lang w:val="en"/>
              </w:rPr>
              <w:t>Portfolio name</w:t>
            </w:r>
          </w:p>
        </w:tc>
        <w:tc>
          <w:tcPr>
            <w:tcW w:w="6765" w:type="dxa"/>
            <w:gridSpan w:val="2"/>
            <w:shd w:val="clear" w:color="auto" w:fill="auto"/>
            <w:vAlign w:val="center"/>
          </w:tcPr>
          <w:p w:rsidR="00B94D33" w:rsidRDefault="00694BC1">
            <w:pPr>
              <w:adjustRightInd w:val="0"/>
              <w:snapToGrid w:val="0"/>
              <w:jc w:val="center"/>
              <w:rPr>
                <w:b/>
                <w:sz w:val="24"/>
              </w:rPr>
            </w:pPr>
            <w:r>
              <w:rPr>
                <w:b/>
                <w:bCs/>
                <w:sz w:val="24"/>
                <w:lang w:val="en"/>
              </w:rPr>
              <w:t>Specific limits</w:t>
            </w:r>
          </w:p>
        </w:tc>
      </w:tr>
      <w:tr w:rsidR="00B94D33">
        <w:trPr>
          <w:trHeight w:val="423"/>
          <w:tblHeader/>
          <w:jc w:val="center"/>
        </w:trPr>
        <w:tc>
          <w:tcPr>
            <w:tcW w:w="1453" w:type="dxa"/>
            <w:vMerge/>
            <w:tcBorders>
              <w:tl2br w:val="nil"/>
            </w:tcBorders>
            <w:shd w:val="clear" w:color="auto" w:fill="auto"/>
            <w:vAlign w:val="center"/>
          </w:tcPr>
          <w:p w:rsidR="00B94D33" w:rsidRDefault="00B94D33">
            <w:pPr>
              <w:adjustRightInd w:val="0"/>
              <w:snapToGrid w:val="0"/>
              <w:jc w:val="center"/>
              <w:rPr>
                <w:b/>
                <w:sz w:val="24"/>
              </w:rPr>
            </w:pPr>
          </w:p>
        </w:tc>
        <w:tc>
          <w:tcPr>
            <w:tcW w:w="1803" w:type="dxa"/>
            <w:vMerge/>
            <w:shd w:val="clear" w:color="auto" w:fill="auto"/>
            <w:vAlign w:val="center"/>
          </w:tcPr>
          <w:p w:rsidR="00B94D33" w:rsidRDefault="00B94D33">
            <w:pPr>
              <w:adjustRightInd w:val="0"/>
              <w:snapToGrid w:val="0"/>
              <w:jc w:val="center"/>
              <w:rPr>
                <w:b/>
                <w:sz w:val="24"/>
              </w:rPr>
            </w:pPr>
          </w:p>
        </w:tc>
        <w:tc>
          <w:tcPr>
            <w:tcW w:w="3382" w:type="dxa"/>
            <w:shd w:val="clear" w:color="auto" w:fill="auto"/>
            <w:vAlign w:val="center"/>
          </w:tcPr>
          <w:p w:rsidR="00B94D33" w:rsidRDefault="00694BC1">
            <w:pPr>
              <w:adjustRightInd w:val="0"/>
              <w:snapToGrid w:val="0"/>
              <w:jc w:val="center"/>
              <w:rPr>
                <w:b/>
                <w:sz w:val="24"/>
              </w:rPr>
            </w:pPr>
            <w:r>
              <w:rPr>
                <w:b/>
                <w:bCs/>
                <w:sz w:val="24"/>
                <w:lang w:val="en"/>
              </w:rPr>
              <w:t>Exposure</w:t>
            </w:r>
          </w:p>
        </w:tc>
        <w:tc>
          <w:tcPr>
            <w:tcW w:w="3383" w:type="dxa"/>
            <w:shd w:val="clear" w:color="auto" w:fill="auto"/>
            <w:vAlign w:val="center"/>
          </w:tcPr>
          <w:p w:rsidR="00B94D33" w:rsidRDefault="00694BC1">
            <w:pPr>
              <w:adjustRightInd w:val="0"/>
              <w:snapToGrid w:val="0"/>
              <w:jc w:val="center"/>
              <w:rPr>
                <w:b/>
                <w:sz w:val="24"/>
              </w:rPr>
            </w:pPr>
            <w:r>
              <w:rPr>
                <w:b/>
                <w:bCs/>
                <w:sz w:val="24"/>
                <w:lang w:val="en"/>
              </w:rPr>
              <w:t>Loss</w:t>
            </w:r>
          </w:p>
        </w:tc>
      </w:tr>
      <w:tr w:rsidR="00B94D33">
        <w:trPr>
          <w:trHeight w:val="386"/>
          <w:jc w:val="center"/>
        </w:trPr>
        <w:tc>
          <w:tcPr>
            <w:tcW w:w="1453" w:type="dxa"/>
            <w:shd w:val="clear" w:color="auto" w:fill="auto"/>
            <w:vAlign w:val="center"/>
          </w:tcPr>
          <w:p w:rsidR="00B94D33" w:rsidRDefault="00694BC1">
            <w:pPr>
              <w:adjustRightInd w:val="0"/>
              <w:snapToGrid w:val="0"/>
              <w:jc w:val="center"/>
              <w:rPr>
                <w:b/>
                <w:sz w:val="24"/>
              </w:rPr>
            </w:pPr>
            <w:r>
              <w:rPr>
                <w:b/>
                <w:bCs/>
                <w:sz w:val="24"/>
                <w:lang w:val="en"/>
              </w:rPr>
              <w:t xml:space="preserve">Closing of foreign currency-denominated interest rate derivatives on behalf of </w:t>
            </w:r>
            <w:r>
              <w:rPr>
                <w:b/>
                <w:bCs/>
                <w:sz w:val="24"/>
                <w:lang w:val="en"/>
              </w:rPr>
              <w:lastRenderedPageBreak/>
              <w:t>customers</w:t>
            </w:r>
          </w:p>
        </w:tc>
        <w:tc>
          <w:tcPr>
            <w:tcW w:w="1803" w:type="dxa"/>
            <w:shd w:val="clear" w:color="auto" w:fill="auto"/>
            <w:vAlign w:val="center"/>
          </w:tcPr>
          <w:p w:rsidR="00B94D33" w:rsidRDefault="00694BC1">
            <w:pPr>
              <w:pStyle w:val="a8"/>
              <w:tabs>
                <w:tab w:val="left" w:pos="126"/>
              </w:tabs>
              <w:adjustRightInd w:val="0"/>
              <w:snapToGrid w:val="0"/>
              <w:ind w:firstLineChars="0" w:firstLine="0"/>
              <w:jc w:val="center"/>
              <w:rPr>
                <w:rFonts w:ascii="Times New Roman" w:hAnsi="Times New Roman"/>
                <w:sz w:val="24"/>
                <w:szCs w:val="24"/>
              </w:rPr>
            </w:pPr>
            <w:r>
              <w:rPr>
                <w:rFonts w:ascii="Times New Roman" w:hAnsi="Times New Roman"/>
                <w:sz w:val="24"/>
                <w:szCs w:val="24"/>
                <w:lang w:val="en"/>
              </w:rPr>
              <w:lastRenderedPageBreak/>
              <w:t>LDFX</w:t>
            </w:r>
          </w:p>
        </w:tc>
        <w:tc>
          <w:tcPr>
            <w:tcW w:w="3382"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Open exposures of more than one year ≤ USD2 million</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PVBP ≤ USD20,000</w:t>
            </w:r>
          </w:p>
        </w:tc>
        <w:tc>
          <w:tcPr>
            <w:tcW w:w="3383"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Monthly loss early warning threshold value ≤ USD100,000</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lastRenderedPageBreak/>
        <w:t>2. FX transactions</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781"/>
        <w:gridCol w:w="2249"/>
        <w:gridCol w:w="2244"/>
        <w:gridCol w:w="2236"/>
      </w:tblGrid>
      <w:tr w:rsidR="00B94D33">
        <w:trPr>
          <w:trHeight w:val="473"/>
          <w:tblHeader/>
          <w:jc w:val="center"/>
        </w:trPr>
        <w:tc>
          <w:tcPr>
            <w:tcW w:w="1460" w:type="dxa"/>
            <w:vMerge w:val="restart"/>
            <w:shd w:val="clear" w:color="auto" w:fill="auto"/>
            <w:vAlign w:val="center"/>
          </w:tcPr>
          <w:p w:rsidR="00B94D33" w:rsidRDefault="00694BC1">
            <w:pPr>
              <w:adjustRightInd w:val="0"/>
              <w:snapToGrid w:val="0"/>
              <w:jc w:val="center"/>
              <w:rPr>
                <w:b/>
                <w:sz w:val="24"/>
              </w:rPr>
            </w:pPr>
            <w:r>
              <w:rPr>
                <w:b/>
                <w:bCs/>
                <w:sz w:val="24"/>
                <w:lang w:val="en"/>
              </w:rPr>
              <w:t>Business type</w:t>
            </w:r>
          </w:p>
        </w:tc>
        <w:tc>
          <w:tcPr>
            <w:tcW w:w="1796" w:type="dxa"/>
            <w:vMerge w:val="restart"/>
            <w:shd w:val="clear" w:color="auto" w:fill="auto"/>
            <w:vAlign w:val="center"/>
          </w:tcPr>
          <w:p w:rsidR="00B94D33" w:rsidRDefault="00694BC1">
            <w:pPr>
              <w:adjustRightInd w:val="0"/>
              <w:snapToGrid w:val="0"/>
              <w:jc w:val="center"/>
              <w:rPr>
                <w:b/>
                <w:sz w:val="24"/>
              </w:rPr>
            </w:pPr>
            <w:r>
              <w:rPr>
                <w:b/>
                <w:bCs/>
                <w:sz w:val="24"/>
                <w:lang w:val="en"/>
              </w:rPr>
              <w:t>Portfolio name</w:t>
            </w:r>
          </w:p>
        </w:tc>
        <w:tc>
          <w:tcPr>
            <w:tcW w:w="6804" w:type="dxa"/>
            <w:gridSpan w:val="3"/>
            <w:shd w:val="clear" w:color="auto" w:fill="auto"/>
            <w:vAlign w:val="center"/>
          </w:tcPr>
          <w:p w:rsidR="00B94D33" w:rsidRDefault="00694BC1">
            <w:pPr>
              <w:adjustRightInd w:val="0"/>
              <w:snapToGrid w:val="0"/>
              <w:jc w:val="center"/>
              <w:rPr>
                <w:b/>
                <w:sz w:val="24"/>
              </w:rPr>
            </w:pPr>
            <w:r>
              <w:rPr>
                <w:b/>
                <w:bCs/>
                <w:sz w:val="24"/>
                <w:lang w:val="en"/>
              </w:rPr>
              <w:t>Specific limits</w:t>
            </w:r>
          </w:p>
        </w:tc>
      </w:tr>
      <w:tr w:rsidR="00B94D33">
        <w:trPr>
          <w:trHeight w:val="409"/>
          <w:tblHeader/>
          <w:jc w:val="center"/>
        </w:trPr>
        <w:tc>
          <w:tcPr>
            <w:tcW w:w="1460" w:type="dxa"/>
            <w:vMerge/>
            <w:shd w:val="clear" w:color="auto" w:fill="auto"/>
            <w:vAlign w:val="center"/>
          </w:tcPr>
          <w:p w:rsidR="00B94D33" w:rsidRDefault="00B94D33">
            <w:pPr>
              <w:adjustRightInd w:val="0"/>
              <w:snapToGrid w:val="0"/>
              <w:jc w:val="center"/>
              <w:rPr>
                <w:b/>
                <w:sz w:val="24"/>
              </w:rPr>
            </w:pPr>
          </w:p>
        </w:tc>
        <w:tc>
          <w:tcPr>
            <w:tcW w:w="1796" w:type="dxa"/>
            <w:vMerge/>
            <w:shd w:val="clear" w:color="auto" w:fill="auto"/>
            <w:vAlign w:val="center"/>
          </w:tcPr>
          <w:p w:rsidR="00B94D33" w:rsidRDefault="00B94D33">
            <w:pPr>
              <w:adjustRightInd w:val="0"/>
              <w:snapToGrid w:val="0"/>
              <w:jc w:val="center"/>
              <w:rPr>
                <w:b/>
                <w:sz w:val="24"/>
              </w:rPr>
            </w:pPr>
          </w:p>
        </w:tc>
        <w:tc>
          <w:tcPr>
            <w:tcW w:w="2268" w:type="dxa"/>
            <w:shd w:val="clear" w:color="auto" w:fill="auto"/>
            <w:vAlign w:val="center"/>
          </w:tcPr>
          <w:p w:rsidR="00B94D33" w:rsidRDefault="00694BC1">
            <w:pPr>
              <w:adjustRightInd w:val="0"/>
              <w:snapToGrid w:val="0"/>
              <w:jc w:val="center"/>
              <w:rPr>
                <w:b/>
                <w:sz w:val="24"/>
              </w:rPr>
            </w:pPr>
            <w:r>
              <w:rPr>
                <w:b/>
                <w:bCs/>
                <w:sz w:val="24"/>
                <w:lang w:val="en"/>
              </w:rPr>
              <w:t>Exposure</w:t>
            </w:r>
          </w:p>
        </w:tc>
        <w:tc>
          <w:tcPr>
            <w:tcW w:w="2268" w:type="dxa"/>
            <w:shd w:val="clear" w:color="auto" w:fill="auto"/>
            <w:vAlign w:val="center"/>
          </w:tcPr>
          <w:p w:rsidR="00B94D33" w:rsidRDefault="00694BC1">
            <w:pPr>
              <w:adjustRightInd w:val="0"/>
              <w:snapToGrid w:val="0"/>
              <w:jc w:val="center"/>
              <w:rPr>
                <w:b/>
                <w:sz w:val="24"/>
              </w:rPr>
            </w:pPr>
            <w:r>
              <w:rPr>
                <w:b/>
                <w:bCs/>
                <w:sz w:val="24"/>
                <w:lang w:val="en"/>
              </w:rPr>
              <w:t>Loss</w:t>
            </w:r>
          </w:p>
        </w:tc>
        <w:tc>
          <w:tcPr>
            <w:tcW w:w="2268" w:type="dxa"/>
            <w:shd w:val="clear" w:color="auto" w:fill="auto"/>
            <w:vAlign w:val="center"/>
          </w:tcPr>
          <w:p w:rsidR="00B94D33" w:rsidRDefault="00694BC1">
            <w:pPr>
              <w:adjustRightInd w:val="0"/>
              <w:snapToGrid w:val="0"/>
              <w:jc w:val="center"/>
              <w:rPr>
                <w:b/>
                <w:sz w:val="24"/>
              </w:rPr>
            </w:pPr>
            <w:r>
              <w:rPr>
                <w:b/>
                <w:bCs/>
                <w:sz w:val="24"/>
                <w:lang w:val="en"/>
              </w:rPr>
              <w:t>Term</w:t>
            </w:r>
          </w:p>
        </w:tc>
      </w:tr>
      <w:tr w:rsidR="00B94D33">
        <w:trPr>
          <w:trHeight w:val="467"/>
          <w:jc w:val="center"/>
        </w:trPr>
        <w:tc>
          <w:tcPr>
            <w:tcW w:w="1460" w:type="dxa"/>
            <w:shd w:val="clear" w:color="auto" w:fill="auto"/>
            <w:vAlign w:val="center"/>
          </w:tcPr>
          <w:p w:rsidR="00B94D33" w:rsidRDefault="00694BC1">
            <w:pPr>
              <w:adjustRightInd w:val="0"/>
              <w:snapToGrid w:val="0"/>
              <w:jc w:val="center"/>
              <w:rPr>
                <w:b/>
                <w:sz w:val="24"/>
              </w:rPr>
            </w:pPr>
            <w:r>
              <w:rPr>
                <w:b/>
                <w:bCs/>
                <w:sz w:val="24"/>
                <w:lang w:val="en"/>
              </w:rPr>
              <w:t>Spot, forward, and swap transactions</w:t>
            </w:r>
            <w:r>
              <w:rPr>
                <w:rStyle w:val="a7"/>
                <w:b/>
                <w:bCs/>
                <w:sz w:val="24"/>
                <w:lang w:val="en"/>
              </w:rPr>
              <w:footnoteReference w:id="2"/>
            </w:r>
          </w:p>
        </w:tc>
        <w:tc>
          <w:tcPr>
            <w:tcW w:w="1796" w:type="dxa"/>
            <w:shd w:val="clear" w:color="auto" w:fill="auto"/>
            <w:vAlign w:val="center"/>
          </w:tcPr>
          <w:p w:rsidR="00B94D33" w:rsidRDefault="00694BC1">
            <w:pPr>
              <w:pStyle w:val="a8"/>
              <w:tabs>
                <w:tab w:val="left" w:pos="126"/>
              </w:tabs>
              <w:adjustRightInd w:val="0"/>
              <w:snapToGrid w:val="0"/>
              <w:ind w:firstLineChars="0" w:firstLine="0"/>
              <w:jc w:val="center"/>
              <w:rPr>
                <w:rFonts w:ascii="Times New Roman" w:hAnsi="Times New Roman"/>
                <w:sz w:val="24"/>
                <w:szCs w:val="24"/>
              </w:rPr>
            </w:pPr>
            <w:r>
              <w:rPr>
                <w:rFonts w:ascii="Times New Roman" w:hAnsi="Times New Roman"/>
                <w:sz w:val="24"/>
                <w:szCs w:val="24"/>
                <w:lang w:val="en"/>
              </w:rPr>
              <w:t>LDFX</w:t>
            </w:r>
          </w:p>
        </w:tc>
        <w:tc>
          <w:tcPr>
            <w:tcW w:w="2268" w:type="dxa"/>
            <w:shd w:val="clear" w:color="auto" w:fill="auto"/>
          </w:tcPr>
          <w:p w:rsidR="00B94D33" w:rsidRDefault="00694BC1">
            <w:pPr>
              <w:pStyle w:val="a8"/>
              <w:numPr>
                <w:ilvl w:val="0"/>
                <w:numId w:val="2"/>
              </w:numPr>
              <w:tabs>
                <w:tab w:val="left" w:pos="0"/>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FX exposures ≤ USD5 million; combined exposures of major currencies other than USD</w:t>
            </w:r>
            <w:r>
              <w:rPr>
                <w:rFonts w:ascii="Times New Roman" w:hAnsi="Times New Roman"/>
                <w:sz w:val="24"/>
                <w:szCs w:val="24"/>
                <w:vertAlign w:val="superscript"/>
                <w:lang w:val="en"/>
              </w:rPr>
              <w:footnoteReference w:id="3"/>
            </w:r>
            <w:r>
              <w:rPr>
                <w:rFonts w:ascii="Times New Roman" w:hAnsi="Times New Roman"/>
                <w:sz w:val="24"/>
                <w:szCs w:val="24"/>
                <w:lang w:val="en"/>
              </w:rPr>
              <w:t xml:space="preserve"> ≤ USD2 million</w:t>
            </w:r>
          </w:p>
          <w:p w:rsidR="00B94D33" w:rsidRDefault="00694BC1">
            <w:pPr>
              <w:pStyle w:val="a8"/>
              <w:numPr>
                <w:ilvl w:val="0"/>
                <w:numId w:val="2"/>
              </w:numPr>
              <w:tabs>
                <w:tab w:val="left" w:pos="0"/>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Unilateral PVBP ≤ RMB50,000</w:t>
            </w:r>
          </w:p>
        </w:tc>
        <w:tc>
          <w:tcPr>
            <w:tcW w:w="2268"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Monthly loss early warning threshold value ≤ RMB1.5 million</w:t>
            </w:r>
          </w:p>
        </w:tc>
        <w:tc>
          <w:tcPr>
            <w:tcW w:w="2268"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Term ≤ 5 years</w:t>
            </w:r>
          </w:p>
        </w:tc>
      </w:tr>
    </w:tbl>
    <w:p w:rsidR="00B94D33" w:rsidRDefault="00694BC1">
      <w:pPr>
        <w:adjustRightInd w:val="0"/>
        <w:snapToGrid w:val="0"/>
        <w:spacing w:beforeLines="50" w:before="297" w:afterLines="50" w:after="297"/>
        <w:rPr>
          <w:rFonts w:eastAsia="黑体"/>
          <w:sz w:val="24"/>
        </w:rPr>
      </w:pPr>
      <w:r>
        <w:rPr>
          <w:rFonts w:eastAsia="仿宋_GB2312"/>
          <w:snapToGrid w:val="0"/>
          <w:kern w:val="0"/>
          <w:sz w:val="24"/>
          <w:lang w:val="en"/>
        </w:rPr>
        <w:t>3. RMB bond investments</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825"/>
        <w:gridCol w:w="1701"/>
        <w:gridCol w:w="1701"/>
        <w:gridCol w:w="1701"/>
        <w:gridCol w:w="1701"/>
      </w:tblGrid>
      <w:tr w:rsidR="00B94D33">
        <w:trPr>
          <w:trHeight w:val="439"/>
          <w:tblHeader/>
          <w:jc w:val="center"/>
        </w:trPr>
        <w:tc>
          <w:tcPr>
            <w:tcW w:w="1431" w:type="dxa"/>
            <w:vMerge w:val="restart"/>
            <w:shd w:val="clear" w:color="auto" w:fill="auto"/>
            <w:vAlign w:val="center"/>
          </w:tcPr>
          <w:p w:rsidR="00B94D33" w:rsidRDefault="00694BC1">
            <w:pPr>
              <w:adjustRightInd w:val="0"/>
              <w:snapToGrid w:val="0"/>
              <w:ind w:leftChars="-40" w:left="-84"/>
              <w:jc w:val="center"/>
              <w:rPr>
                <w:b/>
                <w:sz w:val="24"/>
              </w:rPr>
            </w:pPr>
            <w:r>
              <w:rPr>
                <w:b/>
                <w:bCs/>
                <w:sz w:val="24"/>
                <w:lang w:val="en"/>
              </w:rPr>
              <w:t>Business type</w:t>
            </w:r>
          </w:p>
        </w:tc>
        <w:tc>
          <w:tcPr>
            <w:tcW w:w="1825" w:type="dxa"/>
            <w:vMerge w:val="restart"/>
            <w:shd w:val="clear" w:color="auto" w:fill="auto"/>
            <w:vAlign w:val="center"/>
          </w:tcPr>
          <w:p w:rsidR="00B94D33" w:rsidRDefault="00694BC1">
            <w:pPr>
              <w:adjustRightInd w:val="0"/>
              <w:snapToGrid w:val="0"/>
              <w:ind w:leftChars="-40" w:left="-84"/>
              <w:jc w:val="center"/>
              <w:rPr>
                <w:b/>
                <w:sz w:val="24"/>
              </w:rPr>
            </w:pPr>
            <w:r>
              <w:rPr>
                <w:b/>
                <w:bCs/>
                <w:sz w:val="24"/>
                <w:lang w:val="en"/>
              </w:rPr>
              <w:t>Portfolio name</w:t>
            </w:r>
          </w:p>
        </w:tc>
        <w:tc>
          <w:tcPr>
            <w:tcW w:w="6804" w:type="dxa"/>
            <w:gridSpan w:val="4"/>
            <w:shd w:val="clear" w:color="auto" w:fill="auto"/>
            <w:vAlign w:val="center"/>
          </w:tcPr>
          <w:p w:rsidR="00B94D33" w:rsidRDefault="00694BC1">
            <w:pPr>
              <w:adjustRightInd w:val="0"/>
              <w:snapToGrid w:val="0"/>
              <w:ind w:leftChars="-40" w:left="-84"/>
              <w:jc w:val="center"/>
              <w:rPr>
                <w:b/>
                <w:sz w:val="24"/>
              </w:rPr>
            </w:pPr>
            <w:r>
              <w:rPr>
                <w:b/>
                <w:bCs/>
                <w:sz w:val="24"/>
                <w:lang w:val="en"/>
              </w:rPr>
              <w:t>Specific limits</w:t>
            </w:r>
          </w:p>
        </w:tc>
      </w:tr>
      <w:tr w:rsidR="00B94D33">
        <w:trPr>
          <w:trHeight w:val="417"/>
          <w:tblHeader/>
          <w:jc w:val="center"/>
        </w:trPr>
        <w:tc>
          <w:tcPr>
            <w:tcW w:w="1431" w:type="dxa"/>
            <w:vMerge/>
            <w:shd w:val="clear" w:color="auto" w:fill="auto"/>
            <w:vAlign w:val="center"/>
          </w:tcPr>
          <w:p w:rsidR="00B94D33" w:rsidRDefault="00B94D33">
            <w:pPr>
              <w:adjustRightInd w:val="0"/>
              <w:snapToGrid w:val="0"/>
              <w:ind w:leftChars="-40" w:left="-84"/>
              <w:jc w:val="center"/>
              <w:rPr>
                <w:b/>
                <w:sz w:val="24"/>
              </w:rPr>
            </w:pPr>
          </w:p>
        </w:tc>
        <w:tc>
          <w:tcPr>
            <w:tcW w:w="1825" w:type="dxa"/>
            <w:vMerge/>
            <w:shd w:val="clear" w:color="auto" w:fill="auto"/>
            <w:vAlign w:val="center"/>
          </w:tcPr>
          <w:p w:rsidR="00B94D33" w:rsidRDefault="00B94D33">
            <w:pPr>
              <w:adjustRightInd w:val="0"/>
              <w:snapToGrid w:val="0"/>
              <w:ind w:leftChars="-40" w:left="-84"/>
              <w:jc w:val="center"/>
              <w:rPr>
                <w:b/>
                <w:sz w:val="24"/>
              </w:rPr>
            </w:pPr>
          </w:p>
        </w:tc>
        <w:tc>
          <w:tcPr>
            <w:tcW w:w="1701" w:type="dxa"/>
            <w:shd w:val="clear" w:color="auto" w:fill="auto"/>
            <w:vAlign w:val="center"/>
          </w:tcPr>
          <w:p w:rsidR="00B94D33" w:rsidRDefault="00694BC1">
            <w:pPr>
              <w:adjustRightInd w:val="0"/>
              <w:snapToGrid w:val="0"/>
              <w:ind w:leftChars="-40" w:left="-84"/>
              <w:jc w:val="center"/>
              <w:rPr>
                <w:b/>
                <w:sz w:val="24"/>
              </w:rPr>
            </w:pPr>
            <w:r>
              <w:rPr>
                <w:b/>
                <w:bCs/>
                <w:sz w:val="24"/>
                <w:lang w:val="en"/>
              </w:rPr>
              <w:t>Size</w:t>
            </w:r>
          </w:p>
        </w:tc>
        <w:tc>
          <w:tcPr>
            <w:tcW w:w="1701" w:type="dxa"/>
            <w:shd w:val="clear" w:color="auto" w:fill="auto"/>
            <w:vAlign w:val="center"/>
          </w:tcPr>
          <w:p w:rsidR="00B94D33" w:rsidRDefault="00694BC1">
            <w:pPr>
              <w:adjustRightInd w:val="0"/>
              <w:snapToGrid w:val="0"/>
              <w:ind w:leftChars="-40" w:left="-84"/>
              <w:jc w:val="center"/>
              <w:rPr>
                <w:b/>
                <w:sz w:val="24"/>
              </w:rPr>
            </w:pPr>
            <w:r>
              <w:rPr>
                <w:b/>
                <w:bCs/>
                <w:sz w:val="24"/>
                <w:lang w:val="en"/>
              </w:rPr>
              <w:t>Duration</w:t>
            </w:r>
          </w:p>
        </w:tc>
        <w:tc>
          <w:tcPr>
            <w:tcW w:w="1701" w:type="dxa"/>
            <w:shd w:val="clear" w:color="auto" w:fill="auto"/>
            <w:vAlign w:val="center"/>
          </w:tcPr>
          <w:p w:rsidR="00B94D33" w:rsidRDefault="00694BC1">
            <w:pPr>
              <w:adjustRightInd w:val="0"/>
              <w:snapToGrid w:val="0"/>
              <w:ind w:leftChars="-40" w:left="-84"/>
              <w:jc w:val="center"/>
              <w:rPr>
                <w:b/>
                <w:sz w:val="24"/>
              </w:rPr>
            </w:pPr>
            <w:r>
              <w:rPr>
                <w:b/>
                <w:bCs/>
                <w:sz w:val="24"/>
                <w:lang w:val="en"/>
              </w:rPr>
              <w:t>Concentration</w:t>
            </w:r>
          </w:p>
        </w:tc>
        <w:tc>
          <w:tcPr>
            <w:tcW w:w="1701" w:type="dxa"/>
            <w:shd w:val="clear" w:color="auto" w:fill="auto"/>
            <w:vAlign w:val="center"/>
          </w:tcPr>
          <w:p w:rsidR="00B94D33" w:rsidRDefault="00694BC1">
            <w:pPr>
              <w:adjustRightInd w:val="0"/>
              <w:snapToGrid w:val="0"/>
              <w:ind w:leftChars="-40" w:left="-84"/>
              <w:jc w:val="center"/>
              <w:rPr>
                <w:b/>
                <w:sz w:val="24"/>
              </w:rPr>
            </w:pPr>
            <w:r>
              <w:rPr>
                <w:b/>
                <w:bCs/>
                <w:sz w:val="24"/>
                <w:lang w:val="en"/>
              </w:rPr>
              <w:t>Others</w:t>
            </w:r>
          </w:p>
        </w:tc>
      </w:tr>
      <w:tr w:rsidR="00B94D33">
        <w:trPr>
          <w:trHeight w:val="409"/>
          <w:jc w:val="center"/>
        </w:trPr>
        <w:tc>
          <w:tcPr>
            <w:tcW w:w="1431" w:type="dxa"/>
            <w:shd w:val="clear" w:color="auto" w:fill="auto"/>
            <w:vAlign w:val="center"/>
          </w:tcPr>
          <w:p w:rsidR="00B94D33" w:rsidRDefault="00694BC1">
            <w:pPr>
              <w:adjustRightInd w:val="0"/>
              <w:snapToGrid w:val="0"/>
              <w:jc w:val="center"/>
              <w:rPr>
                <w:b/>
                <w:sz w:val="24"/>
              </w:rPr>
            </w:pPr>
            <w:r>
              <w:rPr>
                <w:b/>
                <w:bCs/>
                <w:sz w:val="24"/>
                <w:lang w:val="en"/>
              </w:rPr>
              <w:t>Overall limits</w:t>
            </w:r>
          </w:p>
        </w:tc>
        <w:tc>
          <w:tcPr>
            <w:tcW w:w="1825" w:type="dxa"/>
            <w:vMerge w:val="restart"/>
            <w:shd w:val="clear" w:color="auto" w:fill="auto"/>
            <w:vAlign w:val="center"/>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LCNV (onshore interbank RMB bond investments)</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LINV (offshore RMB bond investments)</w:t>
            </w:r>
          </w:p>
        </w:tc>
        <w:tc>
          <w:tcPr>
            <w:tcW w:w="1701"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 xml:space="preserve">Combined investments in domestic and foreign currency-denominated unsecured enterprise bonds (excluding LGBs, international multilateral agency bonds, financial bonds, and </w:t>
            </w:r>
            <w:r>
              <w:rPr>
                <w:rFonts w:ascii="Times New Roman" w:hAnsi="Times New Roman"/>
                <w:sz w:val="24"/>
                <w:szCs w:val="24"/>
                <w:lang w:val="en"/>
              </w:rPr>
              <w:lastRenderedPageBreak/>
              <w:t>interbank CDs) ≤ USD300 million</w:t>
            </w:r>
          </w:p>
        </w:tc>
        <w:tc>
          <w:tcPr>
            <w:tcW w:w="1701"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lastRenderedPageBreak/>
              <w:t>Overall duration ≤ 4 years:</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RMB duration ≤ 4 years; FVOCI duration ≤ 4.2 years</w:t>
            </w:r>
          </w:p>
        </w:tc>
        <w:tc>
          <w:tcPr>
            <w:tcW w:w="1701"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Proporti</w:t>
            </w:r>
            <w:r w:rsidR="00977CBA">
              <w:rPr>
                <w:rFonts w:ascii="Times New Roman" w:hAnsi="Times New Roman"/>
                <w:sz w:val="24"/>
                <w:szCs w:val="24"/>
                <w:lang w:val="en"/>
              </w:rPr>
              <w:t>on of RMB unsecured bonds ≤ 30%:</w:t>
            </w:r>
            <w:r>
              <w:rPr>
                <w:rFonts w:ascii="Times New Roman" w:hAnsi="Times New Roman"/>
                <w:sz w:val="24"/>
                <w:szCs w:val="24"/>
                <w:lang w:val="en"/>
              </w:rPr>
              <w:t xml:space="preserve"> proportion of RMB unsecured bonds rated at AA or below (including those unrated) ≤ 5%</w:t>
            </w:r>
            <w:r>
              <w:rPr>
                <w:rStyle w:val="a7"/>
                <w:rFonts w:ascii="Times New Roman" w:hAnsi="Times New Roman"/>
                <w:sz w:val="24"/>
                <w:szCs w:val="24"/>
                <w:lang w:val="en"/>
              </w:rPr>
              <w:footnoteReference w:id="4"/>
            </w:r>
          </w:p>
        </w:tc>
        <w:tc>
          <w:tcPr>
            <w:tcW w:w="1701" w:type="dxa"/>
            <w:shd w:val="clear" w:color="auto" w:fill="auto"/>
          </w:tcPr>
          <w:p w:rsidR="00B94D33" w:rsidRDefault="00B94D33">
            <w:pPr>
              <w:pStyle w:val="a8"/>
              <w:tabs>
                <w:tab w:val="left" w:pos="126"/>
              </w:tabs>
              <w:adjustRightInd w:val="0"/>
              <w:snapToGrid w:val="0"/>
              <w:ind w:firstLineChars="0" w:firstLine="0"/>
              <w:rPr>
                <w:rFonts w:ascii="Times New Roman" w:hAnsi="Times New Roman"/>
                <w:sz w:val="24"/>
                <w:szCs w:val="24"/>
              </w:rPr>
            </w:pPr>
          </w:p>
        </w:tc>
      </w:tr>
      <w:tr w:rsidR="00B94D33">
        <w:trPr>
          <w:trHeight w:val="409"/>
          <w:jc w:val="center"/>
        </w:trPr>
        <w:tc>
          <w:tcPr>
            <w:tcW w:w="1431" w:type="dxa"/>
            <w:shd w:val="clear" w:color="auto" w:fill="auto"/>
            <w:vAlign w:val="center"/>
          </w:tcPr>
          <w:p w:rsidR="00B94D33" w:rsidRDefault="00694BC1">
            <w:pPr>
              <w:adjustRightInd w:val="0"/>
              <w:snapToGrid w:val="0"/>
              <w:jc w:val="center"/>
              <w:rPr>
                <w:b/>
                <w:sz w:val="24"/>
              </w:rPr>
            </w:pPr>
            <w:r>
              <w:rPr>
                <w:b/>
                <w:bCs/>
                <w:sz w:val="24"/>
                <w:lang w:val="en"/>
              </w:rPr>
              <w:lastRenderedPageBreak/>
              <w:t>Public directional bonds</w:t>
            </w:r>
          </w:p>
        </w:tc>
        <w:tc>
          <w:tcPr>
            <w:tcW w:w="1825" w:type="dxa"/>
            <w:vMerge/>
            <w:shd w:val="clear" w:color="auto" w:fill="auto"/>
          </w:tcPr>
          <w:p w:rsidR="00B94D33" w:rsidRDefault="00B94D33">
            <w:pPr>
              <w:pStyle w:val="a8"/>
              <w:numPr>
                <w:ilvl w:val="0"/>
                <w:numId w:val="2"/>
              </w:numPr>
              <w:tabs>
                <w:tab w:val="left" w:pos="126"/>
              </w:tabs>
              <w:adjustRightInd w:val="0"/>
              <w:snapToGrid w:val="0"/>
              <w:ind w:left="0" w:firstLineChars="0" w:firstLine="0"/>
              <w:rPr>
                <w:rFonts w:ascii="Times New Roman" w:hAnsi="Times New Roman"/>
                <w:sz w:val="24"/>
                <w:szCs w:val="24"/>
              </w:rPr>
            </w:pPr>
          </w:p>
        </w:tc>
        <w:tc>
          <w:tcPr>
            <w:tcW w:w="1701"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Bonds ≤ RMB100 million</w:t>
            </w:r>
          </w:p>
        </w:tc>
        <w:tc>
          <w:tcPr>
            <w:tcW w:w="1701" w:type="dxa"/>
            <w:shd w:val="clear" w:color="auto" w:fill="auto"/>
          </w:tcPr>
          <w:p w:rsidR="00B94D33" w:rsidRDefault="00B94D33">
            <w:pPr>
              <w:pStyle w:val="a8"/>
              <w:tabs>
                <w:tab w:val="left" w:pos="126"/>
              </w:tabs>
              <w:adjustRightInd w:val="0"/>
              <w:snapToGrid w:val="0"/>
              <w:ind w:firstLineChars="0" w:firstLine="0"/>
              <w:rPr>
                <w:rFonts w:ascii="Times New Roman" w:hAnsi="Times New Roman"/>
                <w:sz w:val="24"/>
                <w:szCs w:val="24"/>
              </w:rPr>
            </w:pPr>
          </w:p>
        </w:tc>
        <w:tc>
          <w:tcPr>
            <w:tcW w:w="1701"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Proportion of a single bond issued ≤ 50%</w:t>
            </w:r>
            <w:r>
              <w:rPr>
                <w:rFonts w:ascii="Times New Roman" w:hAnsi="Times New Roman"/>
                <w:sz w:val="24"/>
                <w:szCs w:val="24"/>
                <w:vertAlign w:val="superscript"/>
                <w:lang w:val="en"/>
              </w:rPr>
              <w:footnoteReference w:id="5"/>
            </w:r>
          </w:p>
        </w:tc>
        <w:tc>
          <w:tcPr>
            <w:tcW w:w="1701" w:type="dxa"/>
            <w:shd w:val="clear" w:color="auto" w:fill="auto"/>
          </w:tcPr>
          <w:p w:rsidR="00B94D33" w:rsidRDefault="00977CBA">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Issuer ra</w:t>
            </w:r>
            <w:r w:rsidR="00694BC1">
              <w:rPr>
                <w:rFonts w:ascii="Times New Roman" w:hAnsi="Times New Roman"/>
                <w:sz w:val="24"/>
                <w:szCs w:val="24"/>
                <w:lang w:val="en"/>
              </w:rPr>
              <w:t>ting ≥ AA+</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Term ≤ 5 years</w:t>
            </w:r>
          </w:p>
        </w:tc>
      </w:tr>
      <w:tr w:rsidR="00B94D33">
        <w:trPr>
          <w:trHeight w:val="540"/>
          <w:jc w:val="center"/>
        </w:trPr>
        <w:tc>
          <w:tcPr>
            <w:tcW w:w="10060" w:type="dxa"/>
            <w:gridSpan w:val="6"/>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The aforesaid durations and concentration limits shall be calculated with those of the Financial Markets Department of the Head Office on an aggregate basis.</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An investment in a single unsecured enterprise bond (excluding LGBs, international multilateral agency bonds, financial bonds, and interbank CDs) shall be submitted to the Financial Markets Department of the Head Office for approval if it exceeds USD30 million.</w:t>
            </w:r>
          </w:p>
        </w:tc>
      </w:tr>
    </w:tbl>
    <w:p w:rsidR="00B94D33" w:rsidRDefault="00694BC1">
      <w:pPr>
        <w:adjustRightInd w:val="0"/>
        <w:snapToGrid w:val="0"/>
        <w:spacing w:beforeLines="50" w:before="297" w:afterLines="50" w:after="297"/>
        <w:rPr>
          <w:rFonts w:eastAsia="仿宋_GB2312"/>
          <w:snapToGrid w:val="0"/>
          <w:spacing w:val="10"/>
          <w:kern w:val="0"/>
          <w:sz w:val="24"/>
        </w:rPr>
      </w:pPr>
      <w:r>
        <w:rPr>
          <w:rFonts w:eastAsia="仿宋_GB2312"/>
          <w:snapToGrid w:val="0"/>
          <w:kern w:val="0"/>
          <w:sz w:val="24"/>
          <w:lang w:val="en"/>
        </w:rPr>
        <w:t>4. Foreign currency bond investments</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851"/>
        <w:gridCol w:w="2315"/>
        <w:gridCol w:w="2315"/>
        <w:gridCol w:w="2315"/>
      </w:tblGrid>
      <w:tr w:rsidR="00B94D33">
        <w:trPr>
          <w:trHeight w:val="382"/>
          <w:tblHeader/>
          <w:jc w:val="center"/>
        </w:trPr>
        <w:tc>
          <w:tcPr>
            <w:tcW w:w="1405" w:type="dxa"/>
            <w:vMerge w:val="restart"/>
            <w:shd w:val="clear" w:color="auto" w:fill="auto"/>
            <w:vAlign w:val="center"/>
          </w:tcPr>
          <w:p w:rsidR="00B94D33" w:rsidRDefault="00694BC1">
            <w:pPr>
              <w:adjustRightInd w:val="0"/>
              <w:snapToGrid w:val="0"/>
              <w:ind w:leftChars="-40" w:left="-84"/>
              <w:jc w:val="center"/>
              <w:rPr>
                <w:b/>
                <w:sz w:val="24"/>
              </w:rPr>
            </w:pPr>
            <w:r>
              <w:rPr>
                <w:b/>
                <w:bCs/>
                <w:sz w:val="24"/>
                <w:lang w:val="en"/>
              </w:rPr>
              <w:t>Business type</w:t>
            </w:r>
          </w:p>
        </w:tc>
        <w:tc>
          <w:tcPr>
            <w:tcW w:w="1851" w:type="dxa"/>
            <w:vMerge w:val="restart"/>
            <w:shd w:val="clear" w:color="auto" w:fill="auto"/>
            <w:vAlign w:val="center"/>
          </w:tcPr>
          <w:p w:rsidR="00B94D33" w:rsidRDefault="00694BC1">
            <w:pPr>
              <w:adjustRightInd w:val="0"/>
              <w:snapToGrid w:val="0"/>
              <w:jc w:val="center"/>
              <w:rPr>
                <w:b/>
                <w:sz w:val="24"/>
              </w:rPr>
            </w:pPr>
            <w:r>
              <w:rPr>
                <w:b/>
                <w:bCs/>
                <w:sz w:val="24"/>
                <w:lang w:val="en"/>
              </w:rPr>
              <w:t>Portfolio name</w:t>
            </w:r>
          </w:p>
        </w:tc>
        <w:tc>
          <w:tcPr>
            <w:tcW w:w="6945" w:type="dxa"/>
            <w:gridSpan w:val="3"/>
            <w:shd w:val="clear" w:color="auto" w:fill="auto"/>
            <w:vAlign w:val="center"/>
          </w:tcPr>
          <w:p w:rsidR="00B94D33" w:rsidRDefault="00694BC1">
            <w:pPr>
              <w:adjustRightInd w:val="0"/>
              <w:snapToGrid w:val="0"/>
              <w:jc w:val="center"/>
              <w:rPr>
                <w:b/>
                <w:sz w:val="24"/>
              </w:rPr>
            </w:pPr>
            <w:r>
              <w:rPr>
                <w:b/>
                <w:bCs/>
                <w:sz w:val="24"/>
                <w:lang w:val="en"/>
              </w:rPr>
              <w:t>Specific limits</w:t>
            </w:r>
          </w:p>
        </w:tc>
      </w:tr>
      <w:tr w:rsidR="00B94D33">
        <w:trPr>
          <w:trHeight w:val="417"/>
          <w:tblHeader/>
          <w:jc w:val="center"/>
        </w:trPr>
        <w:tc>
          <w:tcPr>
            <w:tcW w:w="1405" w:type="dxa"/>
            <w:vMerge/>
            <w:shd w:val="clear" w:color="auto" w:fill="auto"/>
            <w:vAlign w:val="center"/>
          </w:tcPr>
          <w:p w:rsidR="00B94D33" w:rsidRDefault="00B94D33">
            <w:pPr>
              <w:adjustRightInd w:val="0"/>
              <w:snapToGrid w:val="0"/>
              <w:ind w:leftChars="-40" w:left="-84"/>
              <w:jc w:val="center"/>
              <w:rPr>
                <w:b/>
                <w:sz w:val="24"/>
              </w:rPr>
            </w:pPr>
          </w:p>
        </w:tc>
        <w:tc>
          <w:tcPr>
            <w:tcW w:w="1851" w:type="dxa"/>
            <w:vMerge/>
            <w:shd w:val="clear" w:color="auto" w:fill="auto"/>
            <w:vAlign w:val="center"/>
          </w:tcPr>
          <w:p w:rsidR="00B94D33" w:rsidRDefault="00B94D33">
            <w:pPr>
              <w:adjustRightInd w:val="0"/>
              <w:snapToGrid w:val="0"/>
              <w:jc w:val="center"/>
              <w:rPr>
                <w:b/>
                <w:sz w:val="24"/>
              </w:rPr>
            </w:pPr>
          </w:p>
        </w:tc>
        <w:tc>
          <w:tcPr>
            <w:tcW w:w="2315" w:type="dxa"/>
            <w:shd w:val="clear" w:color="auto" w:fill="auto"/>
            <w:vAlign w:val="center"/>
          </w:tcPr>
          <w:p w:rsidR="00B94D33" w:rsidRDefault="00694BC1">
            <w:pPr>
              <w:adjustRightInd w:val="0"/>
              <w:snapToGrid w:val="0"/>
              <w:jc w:val="center"/>
              <w:rPr>
                <w:b/>
                <w:sz w:val="24"/>
              </w:rPr>
            </w:pPr>
            <w:r>
              <w:rPr>
                <w:b/>
                <w:bCs/>
                <w:sz w:val="24"/>
                <w:lang w:val="en"/>
              </w:rPr>
              <w:t>Size</w:t>
            </w:r>
          </w:p>
        </w:tc>
        <w:tc>
          <w:tcPr>
            <w:tcW w:w="2315" w:type="dxa"/>
            <w:shd w:val="clear" w:color="auto" w:fill="auto"/>
            <w:vAlign w:val="center"/>
          </w:tcPr>
          <w:p w:rsidR="00B94D33" w:rsidRDefault="00694BC1">
            <w:pPr>
              <w:adjustRightInd w:val="0"/>
              <w:snapToGrid w:val="0"/>
              <w:jc w:val="center"/>
              <w:rPr>
                <w:b/>
                <w:sz w:val="24"/>
              </w:rPr>
            </w:pPr>
            <w:r>
              <w:rPr>
                <w:b/>
                <w:bCs/>
                <w:sz w:val="24"/>
                <w:lang w:val="en"/>
              </w:rPr>
              <w:t>Duration</w:t>
            </w:r>
          </w:p>
        </w:tc>
        <w:tc>
          <w:tcPr>
            <w:tcW w:w="2315" w:type="dxa"/>
            <w:shd w:val="clear" w:color="auto" w:fill="auto"/>
            <w:vAlign w:val="center"/>
          </w:tcPr>
          <w:p w:rsidR="00B94D33" w:rsidRDefault="00694BC1">
            <w:pPr>
              <w:adjustRightInd w:val="0"/>
              <w:snapToGrid w:val="0"/>
              <w:jc w:val="center"/>
              <w:rPr>
                <w:b/>
                <w:sz w:val="24"/>
              </w:rPr>
            </w:pPr>
            <w:r>
              <w:rPr>
                <w:b/>
                <w:bCs/>
                <w:sz w:val="24"/>
                <w:lang w:val="en"/>
              </w:rPr>
              <w:t>Concentration</w:t>
            </w:r>
          </w:p>
        </w:tc>
      </w:tr>
      <w:tr w:rsidR="00B94D33">
        <w:trPr>
          <w:trHeight w:val="524"/>
          <w:jc w:val="center"/>
        </w:trPr>
        <w:tc>
          <w:tcPr>
            <w:tcW w:w="1405" w:type="dxa"/>
            <w:shd w:val="clear" w:color="auto" w:fill="auto"/>
            <w:vAlign w:val="center"/>
          </w:tcPr>
          <w:p w:rsidR="00B94D33" w:rsidRDefault="00694BC1">
            <w:pPr>
              <w:adjustRightInd w:val="0"/>
              <w:snapToGrid w:val="0"/>
              <w:jc w:val="center"/>
              <w:rPr>
                <w:b/>
                <w:sz w:val="24"/>
              </w:rPr>
            </w:pPr>
            <w:r>
              <w:rPr>
                <w:b/>
                <w:bCs/>
                <w:sz w:val="24"/>
                <w:lang w:val="en"/>
              </w:rPr>
              <w:t>Overall limits</w:t>
            </w:r>
          </w:p>
        </w:tc>
        <w:tc>
          <w:tcPr>
            <w:tcW w:w="1851" w:type="dxa"/>
            <w:shd w:val="clear" w:color="auto" w:fill="auto"/>
            <w:vAlign w:val="center"/>
          </w:tcPr>
          <w:p w:rsidR="00B94D33" w:rsidRDefault="00694BC1">
            <w:pPr>
              <w:pStyle w:val="a8"/>
              <w:tabs>
                <w:tab w:val="left" w:pos="126"/>
              </w:tabs>
              <w:adjustRightInd w:val="0"/>
              <w:snapToGrid w:val="0"/>
              <w:ind w:firstLineChars="0" w:firstLine="0"/>
              <w:jc w:val="center"/>
              <w:rPr>
                <w:rFonts w:ascii="Times New Roman" w:hAnsi="Times New Roman"/>
                <w:sz w:val="24"/>
                <w:szCs w:val="24"/>
              </w:rPr>
            </w:pPr>
            <w:r>
              <w:rPr>
                <w:rFonts w:ascii="Times New Roman" w:hAnsi="Times New Roman"/>
                <w:sz w:val="24"/>
                <w:szCs w:val="24"/>
                <w:lang w:val="en"/>
              </w:rPr>
              <w:t>LINV</w:t>
            </w:r>
          </w:p>
        </w:tc>
        <w:tc>
          <w:tcPr>
            <w:tcW w:w="2315"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Combined investments in domestic and foreign currency-denominated unsecured enterprise bonds (excluding LGBs, international multilateral agency bonds, financial bonds, and interbank CDs) ≤ USD300 million</w:t>
            </w:r>
          </w:p>
        </w:tc>
        <w:tc>
          <w:tcPr>
            <w:tcW w:w="2315"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Overall duration ≤ 4 years:</w:t>
            </w:r>
          </w:p>
          <w:p w:rsidR="00B94D33" w:rsidRDefault="00694BC1">
            <w:pPr>
              <w:pStyle w:val="a8"/>
              <w:tabs>
                <w:tab w:val="left" w:pos="126"/>
              </w:tabs>
              <w:adjustRightInd w:val="0"/>
              <w:snapToGrid w:val="0"/>
              <w:ind w:firstLineChars="0" w:firstLine="0"/>
              <w:rPr>
                <w:rFonts w:ascii="Times New Roman" w:hAnsi="Times New Roman"/>
                <w:sz w:val="24"/>
                <w:szCs w:val="24"/>
              </w:rPr>
            </w:pPr>
            <w:r>
              <w:rPr>
                <w:rFonts w:ascii="Times New Roman" w:hAnsi="Times New Roman"/>
                <w:sz w:val="24"/>
                <w:szCs w:val="24"/>
                <w:lang w:val="en"/>
              </w:rPr>
              <w:t>Foreign currency duration ≤ 2.5 years; FVOCI duration ≤ 2.5 years</w:t>
            </w:r>
          </w:p>
        </w:tc>
        <w:tc>
          <w:tcPr>
            <w:tcW w:w="2315" w:type="dxa"/>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Proportion of shares held in the total issued by a single foreign currency-denominated unsecured bond ≤ 30%</w:t>
            </w:r>
            <w:r>
              <w:rPr>
                <w:rFonts w:ascii="Times New Roman" w:hAnsi="Times New Roman"/>
                <w:sz w:val="24"/>
                <w:szCs w:val="24"/>
                <w:vertAlign w:val="superscript"/>
                <w:lang w:val="en"/>
              </w:rPr>
              <w:footnoteReference w:id="6"/>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Average rating of foreign currency bonds ≥ BBB-</w:t>
            </w:r>
            <w:r>
              <w:rPr>
                <w:rStyle w:val="a7"/>
                <w:rFonts w:ascii="Times New Roman" w:hAnsi="Times New Roman"/>
                <w:sz w:val="24"/>
                <w:szCs w:val="24"/>
                <w:lang w:val="en"/>
              </w:rPr>
              <w:footnoteReference w:id="7"/>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 xml:space="preserve">Specifically, proportion of foreign currency-denominated unsecured bonds rated at BB or below (including those unrated) ≤ 5%; </w:t>
            </w:r>
            <w:r>
              <w:rPr>
                <w:rFonts w:ascii="Times New Roman" w:hAnsi="Times New Roman"/>
                <w:sz w:val="24"/>
                <w:szCs w:val="24"/>
                <w:lang w:val="en"/>
              </w:rPr>
              <w:lastRenderedPageBreak/>
              <w:t>proportion of foreign currency bonds issued with keepwell agreements in outstanding foreign currency bonds invested ≤ 10%</w:t>
            </w:r>
          </w:p>
        </w:tc>
      </w:tr>
      <w:tr w:rsidR="00B94D33">
        <w:trPr>
          <w:trHeight w:val="524"/>
          <w:jc w:val="center"/>
        </w:trPr>
        <w:tc>
          <w:tcPr>
            <w:tcW w:w="10201" w:type="dxa"/>
            <w:gridSpan w:val="5"/>
            <w:shd w:val="clear" w:color="auto" w:fill="auto"/>
          </w:tcPr>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lastRenderedPageBreak/>
              <w:t>The aforesaid durations and concentration limits shall be calculated with those of the Financial Markets Department of the Head Office on an aggregate basis.</w:t>
            </w:r>
          </w:p>
          <w:p w:rsidR="00B94D33" w:rsidRDefault="00694BC1">
            <w:pPr>
              <w:pStyle w:val="a8"/>
              <w:numPr>
                <w:ilvl w:val="0"/>
                <w:numId w:val="2"/>
              </w:numPr>
              <w:tabs>
                <w:tab w:val="left" w:pos="126"/>
              </w:tabs>
              <w:adjustRightInd w:val="0"/>
              <w:snapToGrid w:val="0"/>
              <w:ind w:left="0" w:firstLineChars="0" w:firstLine="0"/>
              <w:rPr>
                <w:rFonts w:ascii="Times New Roman" w:hAnsi="Times New Roman"/>
                <w:sz w:val="24"/>
                <w:szCs w:val="24"/>
              </w:rPr>
            </w:pPr>
            <w:r>
              <w:rPr>
                <w:rFonts w:ascii="Times New Roman" w:hAnsi="Times New Roman"/>
                <w:sz w:val="24"/>
                <w:szCs w:val="24"/>
                <w:lang w:val="en"/>
              </w:rPr>
              <w:t>An investment in a single unsecured enterprise bond (excluding LGBs, international multilateral agency bonds, financial bonds, and interbank CDs) shall be submitted to the Financial Markets Department of the Head Office for approval if it exceeds USD30 million.</w:t>
            </w:r>
          </w:p>
        </w:tc>
      </w:tr>
    </w:tbl>
    <w:p w:rsidR="00B94D33" w:rsidRDefault="00694BC1">
      <w:pPr>
        <w:adjustRightInd w:val="0"/>
        <w:snapToGrid w:val="0"/>
        <w:spacing w:beforeLines="50" w:before="297" w:afterLines="50" w:after="297"/>
        <w:rPr>
          <w:rFonts w:eastAsia="楷体_GB2312"/>
          <w:sz w:val="24"/>
        </w:rPr>
      </w:pPr>
      <w:r>
        <w:rPr>
          <w:rFonts w:eastAsia="楷体_GB2312"/>
          <w:sz w:val="24"/>
          <w:lang w:val="en"/>
        </w:rPr>
        <w:t>ii. Person in charge of implementation: Head of the financial markets department at London Branch</w:t>
      </w:r>
    </w:p>
    <w:p w:rsidR="00B94D33" w:rsidRPr="00CE2924" w:rsidRDefault="00694BC1">
      <w:pPr>
        <w:adjustRightInd w:val="0"/>
        <w:snapToGrid w:val="0"/>
        <w:spacing w:beforeLines="50" w:before="297" w:afterLines="50" w:after="297"/>
        <w:rPr>
          <w:rFonts w:eastAsia="黑体"/>
          <w:b/>
          <w:spacing w:val="12"/>
          <w:sz w:val="24"/>
        </w:rPr>
      </w:pPr>
      <w:r w:rsidRPr="00CE2924">
        <w:rPr>
          <w:rFonts w:eastAsia="黑体"/>
          <w:b/>
          <w:sz w:val="24"/>
          <w:lang w:val="en"/>
        </w:rPr>
        <w:t>III. Management Requirements</w:t>
      </w:r>
    </w:p>
    <w:p w:rsidR="00B94D33" w:rsidRDefault="00694BC1">
      <w:pPr>
        <w:adjustRightInd w:val="0"/>
        <w:snapToGrid w:val="0"/>
        <w:spacing w:beforeLines="50" w:before="297" w:afterLines="50" w:after="297"/>
        <w:rPr>
          <w:rFonts w:eastAsia="仿宋_GB2312"/>
          <w:spacing w:val="10"/>
          <w:sz w:val="24"/>
        </w:rPr>
      </w:pPr>
      <w:r>
        <w:rPr>
          <w:rFonts w:eastAsia="仿宋_GB2312"/>
          <w:sz w:val="24"/>
          <w:lang w:val="en"/>
        </w:rPr>
        <w:t>i. London Branch shall establish a sound internal control mechanism, comply with business access rules and market risk limits, and implement relevant management requirements stringently.</w:t>
      </w:r>
    </w:p>
    <w:p w:rsidR="00B94D33" w:rsidRDefault="00694BC1">
      <w:pPr>
        <w:adjustRightInd w:val="0"/>
        <w:snapToGrid w:val="0"/>
        <w:spacing w:beforeLines="50" w:before="297" w:afterLines="50" w:after="297"/>
        <w:rPr>
          <w:rFonts w:eastAsia="仿宋_GB2312"/>
          <w:spacing w:val="10"/>
          <w:sz w:val="24"/>
        </w:rPr>
      </w:pPr>
      <w:r>
        <w:rPr>
          <w:rFonts w:eastAsia="仿宋_GB2312"/>
          <w:sz w:val="24"/>
          <w:lang w:val="en"/>
        </w:rPr>
        <w:t>ii. Authorized persons at all levels shall approve business applications within the established scope of authority and carry out businesses through the prescribed procedures. Those responsible for implementing market risk limits shall meet related indicators and act on relevant management rules and requirements. It is strictly prohibited to overstep business access restrictions and market risk limits.</w:t>
      </w:r>
    </w:p>
    <w:p w:rsidR="00B94D33" w:rsidRDefault="00694BC1">
      <w:pPr>
        <w:adjustRightInd w:val="0"/>
        <w:snapToGrid w:val="0"/>
        <w:spacing w:beforeLines="50" w:before="297" w:afterLines="50" w:after="297"/>
        <w:rPr>
          <w:rFonts w:eastAsia="仿宋_GB2312"/>
          <w:spacing w:val="10"/>
          <w:sz w:val="24"/>
        </w:rPr>
      </w:pPr>
      <w:r>
        <w:rPr>
          <w:rFonts w:eastAsia="仿宋_GB2312"/>
          <w:sz w:val="24"/>
          <w:lang w:val="en"/>
        </w:rPr>
        <w:t>iii. The risk management department of London Branch shall monitor the implementation of the reauthorization and market risk limit plan on a daily basis, and report to the financial markets department of the branch and the Risk Management Department of the Head Office every day.</w:t>
      </w:r>
    </w:p>
    <w:p w:rsidR="00B94D33" w:rsidRDefault="00694BC1">
      <w:pPr>
        <w:adjustRightInd w:val="0"/>
        <w:snapToGrid w:val="0"/>
        <w:spacing w:beforeLines="50" w:before="297" w:afterLines="50" w:after="297"/>
        <w:rPr>
          <w:rFonts w:eastAsia="楷体_GB2312"/>
          <w:sz w:val="24"/>
        </w:rPr>
      </w:pPr>
      <w:r>
        <w:rPr>
          <w:rFonts w:eastAsia="仿宋_GB2312"/>
          <w:sz w:val="24"/>
          <w:lang w:val="en"/>
        </w:rPr>
        <w:t>iv. Consolidated calculations of indicators, if any, shall be closely t</w:t>
      </w:r>
      <w:r w:rsidR="00CE2924">
        <w:rPr>
          <w:rFonts w:eastAsia="仿宋_GB2312"/>
          <w:sz w:val="24"/>
          <w:lang w:val="en"/>
        </w:rPr>
        <w:t>r</w:t>
      </w:r>
      <w:r>
        <w:rPr>
          <w:rFonts w:eastAsia="仿宋_GB2312"/>
          <w:sz w:val="24"/>
          <w:lang w:val="en"/>
        </w:rPr>
        <w:t>acked, and effective control measures be taken when necessary.</w:t>
      </w:r>
    </w:p>
    <w:sectPr w:rsidR="00B94D33">
      <w:pgSz w:w="11906" w:h="16838"/>
      <w:pgMar w:top="1899" w:right="1418" w:bottom="1843" w:left="1474" w:header="851" w:footer="1474" w:gutter="0"/>
      <w:cols w:space="425"/>
      <w:docGrid w:type="lines" w:linePitch="5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A4A" w:rsidRDefault="00694BC1">
      <w:r>
        <w:separator/>
      </w:r>
    </w:p>
  </w:endnote>
  <w:endnote w:type="continuationSeparator" w:id="0">
    <w:p w:rsidR="00E52A4A" w:rsidRDefault="0069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D33" w:rsidRDefault="00694BC1">
    <w:pPr>
      <w:pStyle w:val="a3"/>
      <w:framePr w:wrap="around" w:vAnchor="text" w:hAnchor="margin" w:xAlign="outside" w:y="1"/>
      <w:rPr>
        <w:rStyle w:val="a6"/>
      </w:rPr>
    </w:pPr>
    <w:r>
      <w:rPr>
        <w:rStyle w:val="a6"/>
        <w:lang w:val="en"/>
      </w:rPr>
      <w:fldChar w:fldCharType="begin"/>
    </w:r>
    <w:r>
      <w:rPr>
        <w:rStyle w:val="a6"/>
        <w:lang w:val="en"/>
      </w:rPr>
      <w:instrText xml:space="preserve">PAGE  </w:instrText>
    </w:r>
    <w:r>
      <w:rPr>
        <w:rStyle w:val="a6"/>
        <w:lang w:val="en"/>
      </w:rPr>
      <w:fldChar w:fldCharType="end"/>
    </w:r>
  </w:p>
  <w:p w:rsidR="00B94D33" w:rsidRDefault="00B94D33">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D33" w:rsidRDefault="00694BC1">
    <w:pPr>
      <w:pStyle w:val="a3"/>
      <w:framePr w:w="1701" w:wrap="around" w:vAnchor="text" w:hAnchor="margin" w:xAlign="outside" w:y="1"/>
      <w:ind w:firstLineChars="100" w:firstLine="280"/>
      <w:rPr>
        <w:rStyle w:val="a6"/>
        <w:rFonts w:ascii="宋体" w:hAnsi="宋体"/>
        <w:sz w:val="28"/>
        <w:szCs w:val="28"/>
      </w:rPr>
    </w:pPr>
    <w:r>
      <w:rPr>
        <w:rStyle w:val="a6"/>
        <w:rFonts w:ascii="宋体" w:hAnsi="宋体"/>
        <w:sz w:val="28"/>
        <w:szCs w:val="28"/>
        <w:lang w:val="en"/>
      </w:rPr>
      <w:t xml:space="preserve">— </w:t>
    </w:r>
    <w:r>
      <w:rPr>
        <w:rStyle w:val="a6"/>
        <w:rFonts w:ascii="宋体" w:hAnsi="宋体"/>
        <w:sz w:val="28"/>
        <w:szCs w:val="28"/>
        <w:lang w:val="en"/>
      </w:rPr>
      <w:fldChar w:fldCharType="begin"/>
    </w:r>
    <w:r>
      <w:rPr>
        <w:rStyle w:val="a6"/>
        <w:rFonts w:ascii="宋体" w:hAnsi="宋体"/>
        <w:sz w:val="28"/>
        <w:szCs w:val="28"/>
        <w:lang w:val="en"/>
      </w:rPr>
      <w:instrText xml:space="preserve">PAGE  </w:instrText>
    </w:r>
    <w:r>
      <w:rPr>
        <w:rStyle w:val="a6"/>
        <w:rFonts w:ascii="宋体" w:hAnsi="宋体"/>
        <w:sz w:val="28"/>
        <w:szCs w:val="28"/>
        <w:lang w:val="en"/>
      </w:rPr>
      <w:fldChar w:fldCharType="separate"/>
    </w:r>
    <w:r w:rsidR="004111C4">
      <w:rPr>
        <w:rStyle w:val="a6"/>
        <w:rFonts w:ascii="宋体" w:hAnsi="宋体"/>
        <w:noProof/>
        <w:sz w:val="28"/>
        <w:szCs w:val="28"/>
        <w:lang w:val="en"/>
      </w:rPr>
      <w:t>5</w:t>
    </w:r>
    <w:r>
      <w:rPr>
        <w:rStyle w:val="a6"/>
        <w:rFonts w:ascii="宋体" w:hAnsi="宋体"/>
        <w:sz w:val="28"/>
        <w:szCs w:val="28"/>
        <w:lang w:val="en"/>
      </w:rPr>
      <w:fldChar w:fldCharType="end"/>
    </w:r>
    <w:r>
      <w:rPr>
        <w:rStyle w:val="a6"/>
        <w:rFonts w:ascii="宋体" w:hAnsi="宋体"/>
        <w:sz w:val="28"/>
        <w:szCs w:val="28"/>
        <w:lang w:val="en"/>
      </w:rPr>
      <w:t xml:space="preserve"> —</w:t>
    </w:r>
  </w:p>
  <w:p w:rsidR="00B94D33" w:rsidRDefault="00B94D33">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D33" w:rsidRDefault="00694BC1">
      <w:r>
        <w:separator/>
      </w:r>
    </w:p>
  </w:footnote>
  <w:footnote w:type="continuationSeparator" w:id="0">
    <w:p w:rsidR="00B94D33" w:rsidRDefault="00694BC1">
      <w:r>
        <w:continuationSeparator/>
      </w:r>
    </w:p>
  </w:footnote>
  <w:footnote w:id="1">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FX settlement and sale consists of spot FX settlement &amp; sale and forward/swap FX settlement &amp; sale.</w:t>
      </w:r>
    </w:p>
  </w:footnote>
  <w:footnote w:id="2">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Including FX transactions, as well as spot settlement &amp; sale, forward/swap settlement &amp; sale, currency swaps, and FX trading of precious metals and commodities.</w:t>
      </w:r>
    </w:p>
  </w:footnote>
  <w:footnote w:id="3">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EUR, JPY, GBP, AUD, CAD, CHF, HKD, and NZD</w:t>
      </w:r>
    </w:p>
  </w:footnote>
  <w:footnote w:id="4">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The bonds related to the return of the existing wealth management businesses to the balance sheet are excluded from the calculation scope. If there is a debt rating, the debt rating shall prevail. If not, the issuer rating shall prevail. The same calculation rules also apply to the rating of foreign currency bonds.</w:t>
      </w:r>
    </w:p>
  </w:footnote>
  <w:footnote w:id="5">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As to the bonds for which the Bank serves as the lead underwriter, the proportion may not exceed 20%.</w:t>
      </w:r>
    </w:p>
  </w:footnote>
  <w:footnote w:id="6">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Calculated with the foreign currency bond transactions on an aggregate basis. If the concentrations of private bonds, structured bonds, or CDs are higher than the above-mentioned limits, the internal approval procedures of related departments shall be performed and the approval result shall be copied to the Risk Management Department.</w:t>
      </w:r>
    </w:p>
  </w:footnote>
  <w:footnote w:id="7">
    <w:p w:rsidR="00B94D33" w:rsidRDefault="00694BC1">
      <w:pPr>
        <w:pStyle w:val="a5"/>
        <w:jc w:val="both"/>
        <w:rPr>
          <w:rFonts w:ascii="Times New Roman" w:hAnsi="Times New Roman" w:cs="Times New Roman"/>
        </w:rPr>
      </w:pPr>
      <w:r>
        <w:rPr>
          <w:rStyle w:val="a7"/>
          <w:rFonts w:ascii="Times New Roman" w:hAnsi="Times New Roman" w:cs="Times New Roman"/>
          <w:lang w:val="en"/>
        </w:rPr>
        <w:footnoteRef/>
      </w:r>
      <w:r>
        <w:rPr>
          <w:rFonts w:ascii="Times New Roman" w:hAnsi="Times New Roman" w:cs="Times New Roman"/>
          <w:lang w:val="en"/>
        </w:rPr>
        <w:t>For the proportions of shares held in the bonds with the average rating and rated at BB or below, the indicator excludes the issuers who are the subsidiaries within the China CITIC Bank Group. For the unrated bonds, if their issuer or guarantor, keepwell provider, or standby letter of credit (LC) provider has a domestic rating, the domestic AA+ (inclusive) rated bonds shall be exempted. The financial institution bonds where their keepwell provider has a domestic rating of AAA or higher are not applicable.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DF52342"/>
    <w:multiLevelType w:val="multilevel"/>
    <w:tmpl w:val="0DF52342"/>
    <w:lvl w:ilvl="0">
      <w:start w:val="1"/>
      <w:numFmt w:val="bullet"/>
      <w:suff w:val="space"/>
      <w:lvlText w:val=""/>
      <w:lvlJc w:val="left"/>
      <w:pPr>
        <w:ind w:left="170" w:hanging="17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B0"/>
    <w:rsid w:val="0003182A"/>
    <w:rsid w:val="00051AAA"/>
    <w:rsid w:val="000753EE"/>
    <w:rsid w:val="000A3AC2"/>
    <w:rsid w:val="001773EC"/>
    <w:rsid w:val="001F6543"/>
    <w:rsid w:val="002D205F"/>
    <w:rsid w:val="002D78D9"/>
    <w:rsid w:val="003020B3"/>
    <w:rsid w:val="00303216"/>
    <w:rsid w:val="00313D9E"/>
    <w:rsid w:val="0032609A"/>
    <w:rsid w:val="00347470"/>
    <w:rsid w:val="003E3640"/>
    <w:rsid w:val="004111C4"/>
    <w:rsid w:val="0042446B"/>
    <w:rsid w:val="00440510"/>
    <w:rsid w:val="00460808"/>
    <w:rsid w:val="0047123D"/>
    <w:rsid w:val="0053378A"/>
    <w:rsid w:val="005D6A12"/>
    <w:rsid w:val="005E07E8"/>
    <w:rsid w:val="005E59B8"/>
    <w:rsid w:val="00646311"/>
    <w:rsid w:val="00664F54"/>
    <w:rsid w:val="00694BC1"/>
    <w:rsid w:val="00695ADC"/>
    <w:rsid w:val="00707086"/>
    <w:rsid w:val="007A0BD1"/>
    <w:rsid w:val="007C2D09"/>
    <w:rsid w:val="00887955"/>
    <w:rsid w:val="008E02B8"/>
    <w:rsid w:val="00905EEE"/>
    <w:rsid w:val="00914D5B"/>
    <w:rsid w:val="00977CBA"/>
    <w:rsid w:val="009968B0"/>
    <w:rsid w:val="009B2274"/>
    <w:rsid w:val="00A24B00"/>
    <w:rsid w:val="00B36DB1"/>
    <w:rsid w:val="00B66E14"/>
    <w:rsid w:val="00B94D33"/>
    <w:rsid w:val="00C803D3"/>
    <w:rsid w:val="00CE2924"/>
    <w:rsid w:val="00D227B2"/>
    <w:rsid w:val="00D30E72"/>
    <w:rsid w:val="00D6451D"/>
    <w:rsid w:val="00D82D11"/>
    <w:rsid w:val="00D8561B"/>
    <w:rsid w:val="00DA0BF1"/>
    <w:rsid w:val="00DA3A2D"/>
    <w:rsid w:val="00DA712D"/>
    <w:rsid w:val="00E52A4A"/>
    <w:rsid w:val="00F7601D"/>
    <w:rsid w:val="542F54CB"/>
    <w:rsid w:val="5CB72EF5"/>
    <w:rsid w:val="77A1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E11C1C1-642A-4FFF-A297-48CF22A4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footnote text"/>
    <w:basedOn w:val="a"/>
    <w:link w:val="Char1"/>
    <w:uiPriority w:val="99"/>
    <w:qFormat/>
    <w:pPr>
      <w:snapToGrid w:val="0"/>
      <w:jc w:val="left"/>
    </w:pPr>
    <w:rPr>
      <w:rFonts w:ascii="Calibri" w:eastAsiaTheme="minorEastAsia" w:hAnsi="Calibri" w:cstheme="minorBidi"/>
      <w:sz w:val="18"/>
      <w:szCs w:val="18"/>
    </w:rPr>
  </w:style>
  <w:style w:type="character" w:styleId="a6">
    <w:name w:val="page number"/>
    <w:basedOn w:val="a0"/>
    <w:qFormat/>
  </w:style>
  <w:style w:type="character" w:styleId="a7">
    <w:name w:val="footnote reference"/>
    <w:uiPriority w:val="99"/>
    <w:qFormat/>
    <w:rPr>
      <w:vertAlign w:val="superscript"/>
    </w:rPr>
  </w:style>
  <w:style w:type="character" w:customStyle="1" w:styleId="Char">
    <w:name w:val="页脚 Char"/>
    <w:basedOn w:val="a0"/>
    <w:link w:val="a3"/>
    <w:qFormat/>
    <w:rPr>
      <w:rFonts w:ascii="Times New Roman" w:eastAsia="宋体" w:hAnsi="Times New Roman" w:cs="Times New Roman"/>
      <w:sz w:val="18"/>
      <w:szCs w:val="18"/>
    </w:rPr>
  </w:style>
  <w:style w:type="character" w:customStyle="1" w:styleId="Char1">
    <w:name w:val="脚注文本 Char"/>
    <w:link w:val="a5"/>
    <w:uiPriority w:val="99"/>
    <w:qFormat/>
    <w:rPr>
      <w:rFonts w:ascii="Calibri" w:hAnsi="Calibri"/>
      <w:sz w:val="18"/>
      <w:szCs w:val="18"/>
    </w:rPr>
  </w:style>
  <w:style w:type="character" w:customStyle="1" w:styleId="Char10">
    <w:name w:val="脚注文本 Char1"/>
    <w:basedOn w:val="a0"/>
    <w:uiPriority w:val="99"/>
    <w:semiHidden/>
    <w:qFormat/>
    <w:rPr>
      <w:rFonts w:ascii="Times New Roman" w:eastAsia="宋体" w:hAnsi="Times New Roman" w:cs="Times New Roman"/>
      <w:sz w:val="18"/>
      <w:szCs w:val="18"/>
    </w:rPr>
  </w:style>
  <w:style w:type="paragraph" w:styleId="a8">
    <w:name w:val="List Paragraph"/>
    <w:basedOn w:val="a"/>
    <w:link w:val="Char2"/>
    <w:uiPriority w:val="34"/>
    <w:qFormat/>
    <w:pPr>
      <w:ind w:firstLineChars="200" w:firstLine="420"/>
    </w:pPr>
    <w:rPr>
      <w:rFonts w:ascii="Calibri" w:hAnsi="Calibri"/>
      <w:szCs w:val="22"/>
    </w:rPr>
  </w:style>
  <w:style w:type="character" w:customStyle="1" w:styleId="Char2">
    <w:name w:val="列出段落 Char"/>
    <w:link w:val="a8"/>
    <w:qFormat/>
    <w:rPr>
      <w:rFonts w:ascii="Calibri" w:eastAsia="宋体" w:hAnsi="Calibri" w:cs="Times New Roman"/>
    </w:rPr>
  </w:style>
  <w:style w:type="character" w:customStyle="1" w:styleId="Char0">
    <w:name w:val="页眉 Char"/>
    <w:basedOn w:val="a0"/>
    <w:link w:val="a4"/>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33b4251-a59a-4cf2-9261-a123672fc30b">6SFWCU267MRR-11-237269</_dlc_DocId>
    <_dlc_DocIdUrl xmlns="033b4251-a59a-4cf2-9261-a123672fc30b">
      <Url>http://itdoc.citicbank.com/_layouts/15/DocIdRedir.aspx?ID=6SFWCU267MRR-11-237269</Url>
      <Description>6SFWCU267MRR-11-237269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文档" ma:contentTypeID="0x01010074DEE83711D75744A92AC32C445F6BB6" ma:contentTypeVersion="0" ma:contentTypeDescription="新建文档。" ma:contentTypeScope="" ma:versionID="3e2a4fa624c43eefb88f31cf99f10c39">
  <xsd:schema xmlns:xsd="http://www.w3.org/2001/XMLSchema" xmlns:xs="http://www.w3.org/2001/XMLSchema" xmlns:p="http://schemas.microsoft.com/office/2006/metadata/properties" xmlns:ns2="033b4251-a59a-4cf2-9261-a123672fc30b" targetNamespace="http://schemas.microsoft.com/office/2006/metadata/properties" ma:root="true" ma:fieldsID="0093f9b4954f23ca14c6632b71bdfee9" ns2:_="">
    <xsd:import namespace="033b4251-a59a-4cf2-9261-a123672fc3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b4251-a59a-4cf2-9261-a123672fc30b"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E8FEE-7BFF-4D24-A7DF-D1EF45BB6C3D}">
  <ds:schemaRefs/>
</ds:datastoreItem>
</file>

<file path=customXml/itemProps3.xml><?xml version="1.0" encoding="utf-8"?>
<ds:datastoreItem xmlns:ds="http://schemas.openxmlformats.org/officeDocument/2006/customXml" ds:itemID="{749CB41C-ADDC-463D-A510-34FDA2F4D161}">
  <ds:schemaRefs/>
</ds:datastoreItem>
</file>

<file path=customXml/itemProps4.xml><?xml version="1.0" encoding="utf-8"?>
<ds:datastoreItem xmlns:ds="http://schemas.openxmlformats.org/officeDocument/2006/customXml" ds:itemID="{E9D043CC-C7F6-42CC-A928-86DED10E7B3B}">
  <ds:schemaRefs/>
</ds:datastoreItem>
</file>

<file path=customXml/itemProps5.xml><?xml version="1.0" encoding="utf-8"?>
<ds:datastoreItem xmlns:ds="http://schemas.openxmlformats.org/officeDocument/2006/customXml" ds:itemID="{A3F651B4-6878-434A-AA29-D9DE51FAE383}">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陈曦</dc:creator>
  <cp:lastModifiedBy>User</cp:lastModifiedBy>
  <cp:revision>31</cp:revision>
  <dcterms:created xsi:type="dcterms:W3CDTF">2022-03-11T02:01:00Z</dcterms:created>
  <dcterms:modified xsi:type="dcterms:W3CDTF">2022-04-28T03:02:00Z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a74d5b4b-0353-4b58-a2b9-8f160625b607</vt:lpwstr>
  </property>
  <property fmtid="{D5CDD505-2E9C-101B-9397-08002B2CF9AE}" pid="3" name="ContentTypeId">
    <vt:lpwstr>0x01010074DEE83711D75744A92AC32C445F6BB6</vt:lpwstr>
  </property>
  <property fmtid="{D5CDD505-2E9C-101B-9397-08002B2CF9AE}" pid="4" name="KSOProductBuildVer">
    <vt:lpwstr>2052-11.1.0.11365</vt:lpwstr>
  </property>
  <property fmtid="{D5CDD505-2E9C-101B-9397-08002B2CF9AE}" pid="5" name="ICV">
    <vt:lpwstr>DAC25D6572B24E0A8039A62F1045111C</vt:lpwstr>
  </property>
</Properties>
</file>