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6B778C"/>
          <w:sz w:val="24"/>
        </w:rPr>
        <w:t>PRFAQ</w:t>
      </w:r>
    </w:p>
    <w:p>
      <w:pPr>
        <w:jc w:val="center"/>
      </w:pPr>
      <w:r>
        <w:rPr>
          <w:rFonts w:ascii="Calibri" w:hAnsi="Calibri" w:eastAsia="Calibri"/>
          <w:b/>
          <w:i w:val="0"/>
          <w:color w:val="1E2B52"/>
          <w:sz w:val="44"/>
        </w:rPr>
        <w:t>Business Data Catalog</w:t>
      </w:r>
    </w:p>
    <w:p>
      <w:pPr>
        <w:jc w:val="center"/>
      </w:pPr>
      <w:r>
        <w:rPr>
          <w:rFonts w:ascii="Calibri" w:hAnsi="Calibri" w:eastAsia="Calibri"/>
          <w:b w:val="0"/>
          <w:i w:val="0"/>
          <w:color w:val="2C478C"/>
          <w:sz w:val="26"/>
        </w:rPr>
        <w:t>Navigator · Data Governance · DEEPT</w:t>
      </w:r>
    </w:p>
    <w:p>
      <w:pPr>
        <w:jc w:val="center"/>
      </w:pPr>
      <w:r>
        <w:rPr>
          <w:rFonts w:ascii="Calibri" w:hAnsi="Calibri" w:eastAsia="Calibri"/>
          <w:b w:val="0"/>
          <w:i w:val="0"/>
          <w:color w:val="6B778C"/>
          <w:sz w:val="20"/>
        </w:rPr>
        <w:t>Version 0.1 · Draft · 2026-09-16</w:t>
      </w:r>
    </w:p>
    <w:p/>
    <w:p>
      <w:r>
        <w:rPr>
          <w:rFonts w:ascii="Calibri" w:hAnsi="Calibri" w:eastAsia="Calibri"/>
          <w:b w:val="0"/>
          <w:i w:val="0"/>
          <w:color w:val="6B778C"/>
          <w:sz w:val="20"/>
        </w:rPr>
        <w:t>This document uses the Amazon PRFAQ (Press Release + Frequently Asked Questions) format to work backwards from customer value. Part I is a future-dated press release describing the MVP launch. Part II answers the questions executives, engineers, and stewards will ask. Part III summarizes MVP capabilities and the business outcomes they enable.</w:t>
      </w:r>
    </w:p>
    <w:p/>
    <w:p>
      <w:pPr>
        <w:pStyle w:val="Heading1"/>
      </w:pPr>
      <w:r>
        <w:rPr>
          <w:rFonts w:ascii="Calibri Light" w:hAnsi="Calibri Light" w:eastAsia="Calibri Light"/>
          <w:color w:val="1E2B52"/>
        </w:rPr>
        <w:t>Part I — Press Release (future-dated)</w:t>
      </w:r>
    </w:p>
    <w:p>
      <w:pPr>
        <w:jc w:val="left"/>
      </w:pPr>
      <w:r>
        <w:rPr>
          <w:rFonts w:ascii="Calibri" w:hAnsi="Calibri" w:eastAsia="Calibri"/>
          <w:b/>
          <w:i w:val="0"/>
          <w:color w:val="1E2B52"/>
          <w:sz w:val="32"/>
        </w:rPr>
        <w:t>Disney Entertainment &amp; ESPN Technology Launches Business Data Catalog — Governed Discovery for Every Data Consumer</w:t>
      </w:r>
    </w:p>
    <w:p>
      <w:r>
        <w:rPr>
          <w:rFonts w:ascii="Calibri" w:hAnsi="Calibri" w:eastAsia="Calibri"/>
          <w:b w:val="0"/>
          <w:i/>
          <w:color w:val="2C478C"/>
          <w:sz w:val="24"/>
        </w:rPr>
        <w:t>New Navigator experience on OMS replaces Alation for business users — find trusted data, understand what it means, and know who owns it, without tribal knowledge.</w:t>
      </w:r>
    </w:p>
    <w:p>
      <w:r>
        <w:rPr>
          <w:rFonts w:ascii="Calibri" w:hAnsi="Calibri" w:eastAsia="Calibri"/>
          <w:b/>
          <w:i w:val="0"/>
          <w:sz w:val="22"/>
        </w:rPr>
        <w:t>Burbank, Calif. — October 1, 2026</w:t>
      </w:r>
    </w:p>
    <w:p>
      <w:r>
        <w:rPr>
          <w:rFonts w:ascii="Calibri" w:hAnsi="Calibri" w:eastAsia="Calibri"/>
          <w:b w:val="0"/>
          <w:i w:val="0"/>
          <w:sz w:val="22"/>
        </w:rPr>
        <w:t>Today Disney Entertainment &amp; ESPN Technology (DEEPT) announced the general availability of the Business Data Catalog (BDC), the business-first metadata experience within the Navigator data governance product family. Built on the Operational Metadata Store (OMS), BDC gives analysts, business consumers, and data stewards a single place to search, browse, and trust the datasets that power decisions across streaming, parks, studios, and enterprise analytics — on the same day the organization retires its Alation contract.</w:t>
      </w:r>
    </w:p>
    <w:p>
      <w:r>
        <w:rPr>
          <w:rFonts w:ascii="Calibri" w:hAnsi="Calibri" w:eastAsia="Calibri"/>
          <w:b w:val="0"/>
          <w:i w:val="0"/>
          <w:sz w:val="22"/>
        </w:rPr>
        <w:t>For years, teams relied on Alation to answer a simple question: "Can I use this data, and what does it actually mean?" As Disney migrated technical metadata into OMS, business users still needed a surface optimized for governed discovery — not engineering consoles, not spreadsheets, and not Slack threads. BDC closes that gap.</w:t>
      </w:r>
    </w:p>
    <w:p>
      <w:r>
        <w:rPr>
          <w:rFonts w:ascii="Calibri" w:hAnsi="Calibri" w:eastAsia="Calibri"/>
          <w:b w:val="0"/>
          <w:i w:val="0"/>
          <w:sz w:val="22"/>
        </w:rPr>
        <w:t>With BDC, a marketing analyst can search for a subscriber metric, read the steward-endorsed definition linked to the authoritative table, see who owns it, check sensitivity classifications, and follow lineage before building a dashboard. A data steward can endorse gold paths, flag deprecated assets, and keep the business glossary connected to live inventory. Engineers retain full technical depth in OMS — with one-click handoff when they need SQL, profiling, or pipeline context.</w:t>
      </w:r>
    </w:p>
    <w:p>
      <w:pPr>
        <w:ind w:left="504"/>
      </w:pPr>
      <w:r>
        <w:rPr>
          <w:rFonts w:ascii="Calibri" w:hAnsi="Calibri" w:eastAsia="Calibri"/>
          <w:b w:val="0"/>
          <w:i/>
          <w:color w:val="2C478C"/>
          <w:sz w:val="22"/>
        </w:rPr>
        <w:t>"We did not set out to build another metadata store," said a DEEPT Data Governance leader. "We set out to make governed metadata usable for the people who actually consume it. 626 improves what we collect. OMS stores and serves it. BDC is how business users experience it — and how we prove Alation exit without losing trust."</w:t>
      </w:r>
    </w:p>
    <w:p>
      <w:pPr>
        <w:ind w:left="504"/>
      </w:pPr>
      <w:r>
        <w:rPr>
          <w:rFonts w:ascii="Calibri" w:hAnsi="Calibri" w:eastAsia="Calibri"/>
          <w:b w:val="0"/>
          <w:i/>
          <w:color w:val="2C478C"/>
          <w:sz w:val="22"/>
        </w:rPr>
        <w:t>"I used to open three tools and ping two stewards before I trusted a number," said a business intelligence analyst in the DNA organization. "Now I start in BDC, see the gold definition, the owner, and the policy context on one screen. That is hours back every week."</w:t>
      </w:r>
    </w:p>
    <w:p>
      <w:pPr>
        <w:pStyle w:val="Heading2"/>
      </w:pPr>
      <w:r>
        <w:rPr>
          <w:rFonts w:ascii="Calibri Light" w:hAnsi="Calibri Light" w:eastAsia="Calibri Light"/>
          <w:color w:val="1E2B52"/>
        </w:rPr>
        <w:t>What ships at MVP launch</w:t>
      </w:r>
    </w:p>
    <w:p>
      <w:pPr>
        <w:pStyle w:val="ListBullet"/>
      </w:pPr>
      <w:r>
        <w:rPr>
          <w:rFonts w:ascii="Calibri" w:hAnsi="Calibri" w:eastAsia="Calibri"/>
          <w:b w:val="0"/>
          <w:i w:val="0"/>
          <w:sz w:val="22"/>
        </w:rPr>
        <w:t>Unified search and hierarchical browse across data sources, schemas, tables, and columns</w:t>
      </w:r>
    </w:p>
    <w:p>
      <w:pPr>
        <w:pStyle w:val="ListBullet"/>
      </w:pPr>
      <w:r>
        <w:rPr>
          <w:rFonts w:ascii="Calibri" w:hAnsi="Calibri" w:eastAsia="Calibri"/>
          <w:b w:val="0"/>
          <w:i w:val="0"/>
          <w:sz w:val="22"/>
        </w:rPr>
        <w:t>Rich asset detail — business and technical descriptions, ownership, tags, and classifications</w:t>
      </w:r>
    </w:p>
    <w:p>
      <w:pPr>
        <w:pStyle w:val="ListBullet"/>
      </w:pPr>
      <w:r>
        <w:rPr>
          <w:rFonts w:ascii="Calibri" w:hAnsi="Calibri" w:eastAsia="Calibri"/>
          <w:b w:val="0"/>
          <w:i w:val="0"/>
          <w:sz w:val="22"/>
        </w:rPr>
        <w:t>Business glossary with terms, definitions, synonyms, and links to catalog assets</w:t>
      </w:r>
    </w:p>
    <w:p>
      <w:pPr>
        <w:pStyle w:val="ListBullet"/>
      </w:pPr>
      <w:r>
        <w:rPr>
          <w:rFonts w:ascii="Calibri" w:hAnsi="Calibri" w:eastAsia="Calibri"/>
          <w:b w:val="0"/>
          <w:i w:val="0"/>
          <w:sz w:val="22"/>
        </w:rPr>
        <w:t>Trust signals — endorse, warn, and deprecate — so consumers know intended use</w:t>
      </w:r>
    </w:p>
    <w:p>
      <w:pPr>
        <w:pStyle w:val="ListBullet"/>
      </w:pPr>
      <w:r>
        <w:rPr>
          <w:rFonts w:ascii="Calibri" w:hAnsi="Calibri" w:eastAsia="Calibri"/>
          <w:b w:val="0"/>
          <w:i w:val="0"/>
          <w:sz w:val="22"/>
        </w:rPr>
        <w:t>Lineage views for impact analysis and compliance traceability (depth per OMS graph coverage)</w:t>
      </w:r>
    </w:p>
    <w:p>
      <w:pPr>
        <w:pStyle w:val="ListBullet"/>
      </w:pPr>
      <w:r>
        <w:rPr>
          <w:rFonts w:ascii="Calibri" w:hAnsi="Calibri" w:eastAsia="Calibri"/>
          <w:b w:val="0"/>
          <w:i w:val="0"/>
          <w:sz w:val="22"/>
        </w:rPr>
        <w:t>Documentation articles linked to catalog objects for domain context and how-to knowledge</w:t>
      </w:r>
    </w:p>
    <w:p>
      <w:pPr>
        <w:pStyle w:val="ListBullet"/>
      </w:pPr>
      <w:r>
        <w:rPr>
          <w:rFonts w:ascii="Calibri" w:hAnsi="Calibri" w:eastAsia="Calibri"/>
          <w:b w:val="0"/>
          <w:i w:val="0"/>
          <w:sz w:val="22"/>
        </w:rPr>
        <w:t>Open in OMS — deep link to full technical metadata for engineers without duplicating the platform UI</w:t>
      </w:r>
    </w:p>
    <w:p>
      <w:pPr>
        <w:pStyle w:val="ListBullet"/>
      </w:pPr>
      <w:r>
        <w:rPr>
          <w:rFonts w:ascii="Calibri" w:hAnsi="Calibri" w:eastAsia="Calibri"/>
          <w:b w:val="0"/>
          <w:i w:val="0"/>
          <w:sz w:val="22"/>
        </w:rPr>
        <w:t>Enterprise SSO and role-aware access for governance-ready operations</w:t>
      </w:r>
    </w:p>
    <w:p>
      <w:pPr>
        <w:pStyle w:val="Heading2"/>
      </w:pPr>
      <w:r>
        <w:rPr>
          <w:rFonts w:ascii="Calibri Light" w:hAnsi="Calibri Light" w:eastAsia="Calibri Light"/>
          <w:color w:val="1E2B52"/>
        </w:rPr>
        <w:t>BDC is one part of Navigator — not the whole story</w:t>
      </w:r>
    </w:p>
    <w:p>
      <w:r>
        <w:rPr>
          <w:rFonts w:ascii="Calibri" w:hAnsi="Calibri" w:eastAsia="Calibri"/>
          <w:b w:val="0"/>
          <w:i w:val="0"/>
          <w:sz w:val="22"/>
        </w:rPr>
        <w:t>BDC answers "where is the governed data and what does it mean?" The broader Navigator program also includes the Data Governance Portal (posture, work queues, and evidence across Privacy, Platform, Security, and Regulatory dimensions), the Policy Drive Governance Framework (classifications, policies, and metrics in PULS), and deep links to specialist systems such as Kronos for business inventory. MVP prioritizes catalog parity for Alation exit; the governance command center ships in a subsequent phase.</w:t>
      </w:r>
    </w:p>
    <w:p>
      <w:r>
        <w:rPr>
          <w:rFonts w:ascii="Calibri" w:hAnsi="Calibri" w:eastAsia="Calibri"/>
          <w:b/>
          <w:i w:val="0"/>
          <w:sz w:val="22"/>
        </w:rPr>
        <w:t>BDC is available now to in-scope DEEPT users via the Navigator left navigation. Stewards and analysts should bookmark the Business Data Catalog entry point; engineers continue to use OMS for platform work and open BDC when business context matters.</w:t>
      </w:r>
    </w:p>
    <w:p>
      <w:r>
        <w:rPr>
          <w:rFonts w:ascii="Calibri" w:hAnsi="Calibri" w:eastAsia="Calibri"/>
          <w:b w:val="0"/>
          <w:i w:val="0"/>
          <w:color w:val="6B778C"/>
          <w:sz w:val="20"/>
        </w:rPr>
        <w:t>About Navigator: Navigator is DEEPT's unified data governance product family — one program with clear boundaries between what Data Governance builds (experiences and workflows) and what platform teams operate (OMS, SISU, PULS). Learn more at the internal Navigator program hub.</w:t>
      </w:r>
    </w:p>
    <w:p/>
    <w:p>
      <w:pPr>
        <w:pStyle w:val="Heading1"/>
      </w:pPr>
      <w:r>
        <w:rPr>
          <w:rFonts w:ascii="Calibri Light" w:hAnsi="Calibri Light" w:eastAsia="Calibri Light"/>
          <w:color w:val="1E2B52"/>
        </w:rPr>
        <w:t>Part II — Frequently Asked Questions</w:t>
      </w:r>
    </w:p>
    <w:p>
      <w:r>
        <w:rPr>
          <w:rFonts w:ascii="Calibri" w:hAnsi="Calibri" w:eastAsia="Calibri"/>
          <w:b/>
          <w:i w:val="0"/>
          <w:color w:val="1E2B52"/>
          <w:sz w:val="22"/>
        </w:rPr>
        <w:t>What is the Business Data Catalog?</w:t>
      </w:r>
    </w:p>
    <w:p>
      <w:r>
        <w:rPr>
          <w:rFonts w:ascii="Calibri" w:hAnsi="Calibri" w:eastAsia="Calibri"/>
          <w:b w:val="0"/>
          <w:i w:val="0"/>
          <w:sz w:val="22"/>
        </w:rPr>
        <w:t>The Business Data Catalog (BDC) is the in-house, business-first metadata experience on top of OMS. It is how analysts, business consumers, and stewards discover assets, read business meaning (definitions, ownership, classifications, quality and trust signals), and follow lineage — without navigating engineering-oriented platform chrome.</w:t>
      </w:r>
    </w:p>
    <w:p>
      <w:r>
        <w:rPr>
          <w:rFonts w:ascii="Calibri" w:hAnsi="Calibri" w:eastAsia="Calibri"/>
          <w:b w:val="0"/>
          <w:i w:val="0"/>
          <w:sz w:val="22"/>
        </w:rPr>
        <w:t>BDC is not a second metadata store. It reads OMS APIs. Data 626 and MCI improve metadata supply; OMS stores and serves it; BDC is the governed experience layer for the personas who depended on Alation.</w:t>
      </w:r>
    </w:p>
    <w:p>
      <w:r>
        <w:rPr>
          <w:rFonts w:ascii="Calibri" w:hAnsi="Calibri" w:eastAsia="Calibri"/>
          <w:b/>
          <w:i w:val="0"/>
          <w:color w:val="1E2B52"/>
          <w:sz w:val="22"/>
        </w:rPr>
        <w:t>We talk about BDC — but what else is in Navigator?</w:t>
      </w:r>
    </w:p>
    <w:p>
      <w:r>
        <w:rPr>
          <w:rFonts w:ascii="Calibri" w:hAnsi="Calibri" w:eastAsia="Calibri"/>
          <w:b w:val="0"/>
          <w:i w:val="0"/>
          <w:sz w:val="22"/>
        </w:rPr>
        <w:t>Navigator is the umbrella data governance product family. BDC is the catalog spine, but the program is intentionally broader:</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color w:val="1E2B52"/>
                <w:sz w:val="20"/>
              </w:rPr>
              <w:t>Component</w:t>
            </w:r>
          </w:p>
        </w:tc>
        <w:tc>
          <w:tcPr>
            <w:tcW w:type="dxa" w:w="3120"/>
          </w:tcPr>
          <w:p>
            <w:r>
              <w:rPr>
                <w:rFonts w:ascii="Calibri" w:hAnsi="Calibri" w:eastAsia="Calibri"/>
                <w:b/>
                <w:i w:val="0"/>
                <w:color w:val="1E2B52"/>
                <w:sz w:val="20"/>
              </w:rPr>
              <w:t>What it does</w:t>
            </w:r>
          </w:p>
        </w:tc>
        <w:tc>
          <w:tcPr>
            <w:tcW w:type="dxa" w:w="3120"/>
          </w:tcPr>
          <w:p>
            <w:r>
              <w:rPr>
                <w:rFonts w:ascii="Calibri" w:hAnsi="Calibri" w:eastAsia="Calibri"/>
                <w:b/>
                <w:i w:val="0"/>
                <w:color w:val="1E2B52"/>
                <w:sz w:val="20"/>
              </w:rPr>
              <w:t>MVP status</w:t>
            </w:r>
          </w:p>
        </w:tc>
      </w:tr>
      <w:tr>
        <w:tc>
          <w:tcPr>
            <w:tcW w:type="dxa" w:w="3120"/>
          </w:tcPr>
          <w:p>
            <w:r>
              <w:rPr>
                <w:rFonts w:ascii="Calibri" w:hAnsi="Calibri" w:eastAsia="Calibri"/>
                <w:b w:val="0"/>
                <w:i w:val="0"/>
                <w:sz w:val="20"/>
              </w:rPr>
              <w:t>Business Data Catalog (BDC)</w:t>
            </w:r>
          </w:p>
        </w:tc>
        <w:tc>
          <w:tcPr>
            <w:tcW w:type="dxa" w:w="3120"/>
          </w:tcPr>
          <w:p>
            <w:r>
              <w:rPr>
                <w:rFonts w:ascii="Calibri" w:hAnsi="Calibri" w:eastAsia="Calibri"/>
                <w:b w:val="0"/>
                <w:i w:val="0"/>
                <w:sz w:val="20"/>
              </w:rPr>
              <w:t>Governed discovery, glossary, stewardship UX, trust signals on OMS assets</w:t>
            </w:r>
          </w:p>
        </w:tc>
        <w:tc>
          <w:tcPr>
            <w:tcW w:type="dxa" w:w="3120"/>
          </w:tcPr>
          <w:p>
            <w:r>
              <w:rPr>
                <w:rFonts w:ascii="Calibri" w:hAnsi="Calibri" w:eastAsia="Calibri"/>
                <w:b w:val="0"/>
                <w:i w:val="0"/>
                <w:sz w:val="20"/>
              </w:rPr>
              <w:t>MVP — Oct 2026 Alation exit target</w:t>
            </w:r>
          </w:p>
        </w:tc>
      </w:tr>
      <w:tr>
        <w:tc>
          <w:tcPr>
            <w:tcW w:type="dxa" w:w="3120"/>
          </w:tcPr>
          <w:p>
            <w:r>
              <w:rPr>
                <w:rFonts w:ascii="Calibri" w:hAnsi="Calibri" w:eastAsia="Calibri"/>
                <w:b w:val="0"/>
                <w:i w:val="0"/>
                <w:sz w:val="20"/>
              </w:rPr>
              <w:t>Navigator (Governance Portal)</w:t>
            </w:r>
          </w:p>
        </w:tc>
        <w:tc>
          <w:tcPr>
            <w:tcW w:type="dxa" w:w="3120"/>
          </w:tcPr>
          <w:p>
            <w:r>
              <w:rPr>
                <w:rFonts w:ascii="Calibri" w:hAnsi="Calibri" w:eastAsia="Calibri"/>
                <w:b w:val="0"/>
                <w:i w:val="0"/>
                <w:sz w:val="20"/>
              </w:rPr>
              <w:t>Posture overview, work queues, evidence export across Privacy, Platform, Security, Regulatory</w:t>
            </w:r>
          </w:p>
        </w:tc>
        <w:tc>
          <w:tcPr>
            <w:tcW w:type="dxa" w:w="3120"/>
          </w:tcPr>
          <w:p>
            <w:r>
              <w:rPr>
                <w:rFonts w:ascii="Calibri" w:hAnsi="Calibri" w:eastAsia="Calibri"/>
                <w:b w:val="0"/>
                <w:i w:val="0"/>
                <w:sz w:val="20"/>
              </w:rPr>
              <w:t>Phase 2 — after BDC MVP</w:t>
            </w:r>
          </w:p>
        </w:tc>
      </w:tr>
      <w:tr>
        <w:tc>
          <w:tcPr>
            <w:tcW w:type="dxa" w:w="3120"/>
          </w:tcPr>
          <w:p>
            <w:r>
              <w:rPr>
                <w:rFonts w:ascii="Calibri" w:hAnsi="Calibri" w:eastAsia="Calibri"/>
                <w:b w:val="0"/>
                <w:i w:val="0"/>
                <w:sz w:val="20"/>
              </w:rPr>
              <w:t>Policy Drive Governance Framework</w:t>
            </w:r>
          </w:p>
        </w:tc>
        <w:tc>
          <w:tcPr>
            <w:tcW w:type="dxa" w:w="3120"/>
          </w:tcPr>
          <w:p>
            <w:r>
              <w:rPr>
                <w:rFonts w:ascii="Calibri" w:hAnsi="Calibri" w:eastAsia="Calibri"/>
                <w:b w:val="0"/>
                <w:i w:val="0"/>
                <w:sz w:val="20"/>
              </w:rPr>
              <w:t>Classifications, policies, metrics (PULS); Access Manager alignment; Gov App backend APIs</w:t>
            </w:r>
          </w:p>
        </w:tc>
        <w:tc>
          <w:tcPr>
            <w:tcW w:type="dxa" w:w="3120"/>
          </w:tcPr>
          <w:p>
            <w:r>
              <w:rPr>
                <w:rFonts w:ascii="Calibri" w:hAnsi="Calibri" w:eastAsia="Calibri"/>
                <w:b w:val="0"/>
                <w:i w:val="0"/>
                <w:sz w:val="20"/>
              </w:rPr>
              <w:t>Phased — read paths in MVP where modeled; workflow depth in Phase 2</w:t>
            </w:r>
          </w:p>
        </w:tc>
      </w:tr>
      <w:tr>
        <w:tc>
          <w:tcPr>
            <w:tcW w:type="dxa" w:w="3120"/>
          </w:tcPr>
          <w:p>
            <w:r>
              <w:rPr>
                <w:rFonts w:ascii="Calibri" w:hAnsi="Calibri" w:eastAsia="Calibri"/>
                <w:b w:val="0"/>
                <w:i w:val="0"/>
                <w:sz w:val="20"/>
              </w:rPr>
              <w:t>Kronos (business inventory)</w:t>
            </w:r>
          </w:p>
        </w:tc>
        <w:tc>
          <w:tcPr>
            <w:tcW w:type="dxa" w:w="3120"/>
          </w:tcPr>
          <w:p>
            <w:r>
              <w:rPr>
                <w:rFonts w:ascii="Calibri" w:hAnsi="Calibri" w:eastAsia="Calibri"/>
                <w:b w:val="0"/>
                <w:i w:val="0"/>
                <w:sz w:val="20"/>
              </w:rPr>
              <w:t>Authoritative business inventory on SISU Postgres — purpose, obligations, regulatory context</w:t>
            </w:r>
          </w:p>
        </w:tc>
        <w:tc>
          <w:tcPr>
            <w:tcW w:type="dxa" w:w="3120"/>
          </w:tcPr>
          <w:p>
            <w:r>
              <w:rPr>
                <w:rFonts w:ascii="Calibri" w:hAnsi="Calibri" w:eastAsia="Calibri"/>
                <w:b w:val="0"/>
                <w:i w:val="0"/>
                <w:sz w:val="20"/>
              </w:rPr>
              <w:t>Deep-linked from Navigator Regulatory — not rebuilt in BDC</w:t>
            </w:r>
          </w:p>
        </w:tc>
      </w:tr>
      <w:tr>
        <w:tc>
          <w:tcPr>
            <w:tcW w:type="dxa" w:w="3120"/>
          </w:tcPr>
          <w:p>
            <w:r>
              <w:rPr>
                <w:rFonts w:ascii="Calibri" w:hAnsi="Calibri" w:eastAsia="Calibri"/>
                <w:b w:val="0"/>
                <w:i w:val="0"/>
                <w:sz w:val="20"/>
              </w:rPr>
              <w:t>OMS (Foundations)</w:t>
            </w:r>
          </w:p>
        </w:tc>
        <w:tc>
          <w:tcPr>
            <w:tcW w:type="dxa" w:w="3120"/>
          </w:tcPr>
          <w:p>
            <w:r>
              <w:rPr>
                <w:rFonts w:ascii="Calibri" w:hAnsi="Calibri" w:eastAsia="Calibri"/>
                <w:b w:val="0"/>
                <w:i w:val="0"/>
                <w:sz w:val="20"/>
              </w:rPr>
              <w:t>Operational metadata store, graph, connectors, APIs — system of record for technical metadata</w:t>
            </w:r>
          </w:p>
        </w:tc>
        <w:tc>
          <w:tcPr>
            <w:tcW w:type="dxa" w:w="3120"/>
          </w:tcPr>
          <w:p>
            <w:r>
              <w:rPr>
                <w:rFonts w:ascii="Calibri" w:hAnsi="Calibri" w:eastAsia="Calibri"/>
                <w:b w:val="0"/>
                <w:i w:val="0"/>
                <w:sz w:val="20"/>
              </w:rPr>
              <w:t>Platform-owned; BDC consumes, does not duplicate</w:t>
            </w:r>
          </w:p>
        </w:tc>
      </w:tr>
    </w:tbl>
    <w:p/>
    <w:p>
      <w:r>
        <w:rPr>
          <w:rFonts w:ascii="Calibri" w:hAnsi="Calibri" w:eastAsia="Calibri"/>
          <w:b/>
          <w:i w:val="0"/>
          <w:color w:val="1E2B52"/>
          <w:sz w:val="22"/>
        </w:rPr>
        <w:t>Why not just use OMS?</w:t>
      </w:r>
    </w:p>
    <w:p>
      <w:r>
        <w:rPr>
          <w:rFonts w:ascii="Calibri" w:hAnsi="Calibri" w:eastAsia="Calibri"/>
          <w:b w:val="0"/>
          <w:i w:val="0"/>
          <w:sz w:val="22"/>
        </w:rPr>
        <w:t>OMS optimizes for engineers and platform integrators: ingestion, graph completeness, SQL, profiling, and API stability. BDC optimizes for governed discovery: business language, glossary links, endorse/deprecate signals, and persona defaults that match how ~500+ Alation users actually work.</w:t>
      </w:r>
    </w:p>
    <w:p>
      <w:r>
        <w:rPr>
          <w:rFonts w:ascii="Calibri" w:hAnsi="Calibri" w:eastAsia="Calibri"/>
          <w:b w:val="0"/>
          <w:i w:val="0"/>
          <w:sz w:val="22"/>
        </w:rPr>
        <w:t>Architecture compromise: one metadata API, one store, two shells (UX only) plus Open in OMS for full technical detail. Foundations owns store and serve. Data Governance owns the business-metadata experience backed by OMS.</w:t>
      </w:r>
    </w:p>
    <w:p>
      <w:r>
        <w:rPr>
          <w:rFonts w:ascii="Calibri" w:hAnsi="Calibri" w:eastAsia="Calibri"/>
          <w:b/>
          <w:i w:val="0"/>
          <w:color w:val="1E2B52"/>
          <w:sz w:val="22"/>
        </w:rPr>
        <w:t>Where does 626 fit?</w:t>
      </w:r>
    </w:p>
    <w:p>
      <w:r>
        <w:rPr>
          <w:rFonts w:ascii="Calibri" w:hAnsi="Calibri" w:eastAsia="Calibri"/>
          <w:b w:val="0"/>
          <w:i w:val="0"/>
          <w:sz w:val="22"/>
        </w:rPr>
        <w:t>626 and adjacent MCI work improve how metadata is produced, scanned, and curated at the source. BDC does not own scanners or ingestion pipelines. As 626 raises coverage and definition quality upstream, BDC surfaces that improvement to consumers — with provenance so stewards and users know what was migrated vs. human-curated.</w:t>
      </w:r>
    </w:p>
    <w:p>
      <w:r>
        <w:rPr>
          <w:rFonts w:ascii="Calibri" w:hAnsi="Calibri" w:eastAsia="Calibri"/>
          <w:b/>
          <w:i w:val="0"/>
          <w:color w:val="1E2B52"/>
          <w:sz w:val="22"/>
        </w:rPr>
        <w:t>Who is the MVP for?</w:t>
      </w:r>
    </w:p>
    <w:p>
      <w:r>
        <w:rPr>
          <w:rFonts w:ascii="Calibri" w:hAnsi="Calibri" w:eastAsia="Calibri"/>
          <w:b w:val="0"/>
          <w:i w:val="0"/>
          <w:sz w:val="22"/>
        </w:rPr>
        <w:t>Primary: business/DNA consumers and analysts who need to find and trust metrics and datasets quickly.</w:t>
      </w:r>
    </w:p>
    <w:p>
      <w:r>
        <w:rPr>
          <w:rFonts w:ascii="Calibri" w:hAnsi="Calibri" w:eastAsia="Calibri"/>
          <w:b w:val="0"/>
          <w:i w:val="0"/>
          <w:sz w:val="22"/>
        </w:rPr>
        <w:t>Secondary: data stewards (thin endorse/reconcile flows) and privacy/compliance reviewers (read-heavy, role-filtered views of classifications and policy context).</w:t>
      </w:r>
    </w:p>
    <w:p>
      <w:r>
        <w:rPr>
          <w:rFonts w:ascii="Calibri" w:hAnsi="Calibri" w:eastAsia="Calibri"/>
          <w:b w:val="0"/>
          <w:i w:val="0"/>
          <w:sz w:val="22"/>
        </w:rPr>
        <w:t>Handoff personas: engineers and DREs use OMS UI and APIs respectively; BDC links to OMS rather than replacing it.</w:t>
      </w:r>
    </w:p>
    <w:p>
      <w:r>
        <w:rPr>
          <w:rFonts w:ascii="Calibri" w:hAnsi="Calibri" w:eastAsia="Calibri"/>
          <w:b/>
          <w:i w:val="0"/>
          <w:color w:val="1E2B52"/>
          <w:sz w:val="22"/>
        </w:rPr>
        <w:t>What is in MVP vs. explicitly out?</w:t>
      </w:r>
    </w:p>
    <w:p>
      <w:r>
        <w:rPr>
          <w:rFonts w:ascii="Calibri" w:hAnsi="Calibri" w:eastAsia="Calibri"/>
          <w:b w:val="0"/>
          <w:i w:val="0"/>
          <w:sz w:val="22"/>
        </w:rPr>
        <w:t>In scope for MVP: search and browse, asset detail with business metadata, glossary, classifications read, trust flags, ownership, articles, lineage (as OMS graph allows), SSO, read API for automation, and Open in OMS.</w:t>
      </w:r>
    </w:p>
    <w:p>
      <w:r>
        <w:rPr>
          <w:rFonts w:ascii="Calibri" w:hAnsi="Calibri" w:eastAsia="Calibri"/>
          <w:b w:val="0"/>
          <w:i w:val="0"/>
          <w:sz w:val="22"/>
        </w:rPr>
        <w:t>Out of scope for MVP (Phase 2+): DSAR and tracker consoles, DRE remediation UI, full governance command center and unified exception queue, in-catalog SQL, social/admin features, and production-strength bulk edit / catalog sets (minimum slice only if steward validation demands it for exit).</w:t>
      </w:r>
    </w:p>
    <w:p>
      <w:r>
        <w:rPr>
          <w:rFonts w:ascii="Calibri" w:hAnsi="Calibri" w:eastAsia="Calibri"/>
          <w:b/>
          <w:i w:val="0"/>
          <w:color w:val="1E2B52"/>
          <w:sz w:val="22"/>
        </w:rPr>
        <w:t>What business value does MVP deliver?</w:t>
      </w:r>
    </w:p>
    <w:p>
      <w:r>
        <w:rPr>
          <w:rFonts w:ascii="Calibri" w:hAnsi="Calibri" w:eastAsia="Calibri"/>
          <w:b w:val="0"/>
          <w:i w:val="0"/>
          <w:sz w:val="22"/>
        </w:rPr>
        <w:t>MVP is not a feature checklist — it is a set of outcomes that protect migration, adoption, and audit readiness: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color w:val="1E2B52"/>
                <w:sz w:val="20"/>
              </w:rPr>
              <w:t>Capability</w:t>
            </w:r>
          </w:p>
        </w:tc>
        <w:tc>
          <w:tcPr>
            <w:tcW w:type="dxa" w:w="3120"/>
          </w:tcPr>
          <w:p>
            <w:r>
              <w:rPr>
                <w:rFonts w:ascii="Calibri" w:hAnsi="Calibri" w:eastAsia="Calibri"/>
                <w:b/>
                <w:i w:val="0"/>
                <w:color w:val="1E2B52"/>
                <w:sz w:val="20"/>
              </w:rPr>
              <w:t>Business value</w:t>
            </w:r>
          </w:p>
        </w:tc>
        <w:tc>
          <w:tcPr>
            <w:tcW w:type="dxa" w:w="3120"/>
          </w:tcPr>
          <w:p>
            <w:r>
              <w:rPr>
                <w:rFonts w:ascii="Calibri" w:hAnsi="Calibri" w:eastAsia="Calibri"/>
                <w:b/>
                <w:i w:val="0"/>
                <w:color w:val="1E2B52"/>
                <w:sz w:val="20"/>
              </w:rPr>
              <w:t>Who benefits</w:t>
            </w:r>
          </w:p>
        </w:tc>
      </w:tr>
      <w:tr>
        <w:tc>
          <w:tcPr>
            <w:tcW w:type="dxa" w:w="3120"/>
          </w:tcPr>
          <w:p>
            <w:r>
              <w:rPr>
                <w:rFonts w:ascii="Calibri" w:hAnsi="Calibri" w:eastAsia="Calibri"/>
                <w:b w:val="0"/>
                <w:i w:val="0"/>
                <w:sz w:val="20"/>
              </w:rPr>
              <w:t>Unified search &amp; browse</w:t>
            </w:r>
          </w:p>
        </w:tc>
        <w:tc>
          <w:tcPr>
            <w:tcW w:type="dxa" w:w="3120"/>
          </w:tcPr>
          <w:p>
            <w:r>
              <w:rPr>
                <w:rFonts w:ascii="Calibri" w:hAnsi="Calibri" w:eastAsia="Calibri"/>
                <w:b w:val="0"/>
                <w:i w:val="0"/>
                <w:sz w:val="20"/>
              </w:rPr>
              <w:t>Answer "what data exists?" in minutes, not days of Slack archaeology</w:t>
            </w:r>
          </w:p>
        </w:tc>
        <w:tc>
          <w:tcPr>
            <w:tcW w:type="dxa" w:w="3120"/>
          </w:tcPr>
          <w:p>
            <w:r>
              <w:rPr>
                <w:rFonts w:ascii="Calibri" w:hAnsi="Calibri" w:eastAsia="Calibri"/>
                <w:b w:val="0"/>
                <w:i w:val="0"/>
                <w:sz w:val="20"/>
              </w:rPr>
              <w:t>Analysts, business consumers</w:t>
            </w:r>
          </w:p>
        </w:tc>
      </w:tr>
      <w:tr>
        <w:tc>
          <w:tcPr>
            <w:tcW w:type="dxa" w:w="3120"/>
          </w:tcPr>
          <w:p>
            <w:r>
              <w:rPr>
                <w:rFonts w:ascii="Calibri" w:hAnsi="Calibri" w:eastAsia="Calibri"/>
                <w:b w:val="0"/>
                <w:i w:val="0"/>
                <w:sz w:val="20"/>
              </w:rPr>
              <w:t>Glossary linked to assets</w:t>
            </w:r>
          </w:p>
        </w:tc>
        <w:tc>
          <w:tcPr>
            <w:tcW w:type="dxa" w:w="3120"/>
          </w:tcPr>
          <w:p>
            <w:r>
              <w:rPr>
                <w:rFonts w:ascii="Calibri" w:hAnsi="Calibri" w:eastAsia="Calibri"/>
                <w:b w:val="0"/>
                <w:i w:val="0"/>
                <w:sz w:val="20"/>
              </w:rPr>
              <w:t>One vocabulary for metrics and dimensions — fewer conflicting dashboard definitions</w:t>
            </w:r>
          </w:p>
        </w:tc>
        <w:tc>
          <w:tcPr>
            <w:tcW w:type="dxa" w:w="3120"/>
          </w:tcPr>
          <w:p>
            <w:r>
              <w:rPr>
                <w:rFonts w:ascii="Calibri" w:hAnsi="Calibri" w:eastAsia="Calibri"/>
                <w:b w:val="0"/>
                <w:i w:val="0"/>
                <w:sz w:val="20"/>
              </w:rPr>
              <w:t>Stewards, analysts, leadership</w:t>
            </w:r>
          </w:p>
        </w:tc>
      </w:tr>
      <w:tr>
        <w:tc>
          <w:tcPr>
            <w:tcW w:type="dxa" w:w="3120"/>
          </w:tcPr>
          <w:p>
            <w:r>
              <w:rPr>
                <w:rFonts w:ascii="Calibri" w:hAnsi="Calibri" w:eastAsia="Calibri"/>
                <w:b w:val="0"/>
                <w:i w:val="0"/>
                <w:sz w:val="20"/>
              </w:rPr>
              <w:t>Trust signals (endorse / warn / deprecate)</w:t>
            </w:r>
          </w:p>
        </w:tc>
        <w:tc>
          <w:tcPr>
            <w:tcW w:type="dxa" w:w="3120"/>
          </w:tcPr>
          <w:p>
            <w:r>
              <w:rPr>
                <w:rFonts w:ascii="Calibri" w:hAnsi="Calibri" w:eastAsia="Calibri"/>
                <w:b w:val="0"/>
                <w:i w:val="0"/>
                <w:sz w:val="20"/>
              </w:rPr>
              <w:t>Consumers know which assets are gold vs. legacy — reduces bad decisions and rework</w:t>
            </w:r>
          </w:p>
        </w:tc>
        <w:tc>
          <w:tcPr>
            <w:tcW w:type="dxa" w:w="3120"/>
          </w:tcPr>
          <w:p>
            <w:r>
              <w:rPr>
                <w:rFonts w:ascii="Calibri" w:hAnsi="Calibri" w:eastAsia="Calibri"/>
                <w:b w:val="0"/>
                <w:i w:val="0"/>
                <w:sz w:val="20"/>
              </w:rPr>
              <w:t>Consumers, stewards, compliance</w:t>
            </w:r>
          </w:p>
        </w:tc>
      </w:tr>
      <w:tr>
        <w:tc>
          <w:tcPr>
            <w:tcW w:type="dxa" w:w="3120"/>
          </w:tcPr>
          <w:p>
            <w:r>
              <w:rPr>
                <w:rFonts w:ascii="Calibri" w:hAnsi="Calibri" w:eastAsia="Calibri"/>
                <w:b w:val="0"/>
                <w:i w:val="0"/>
                <w:sz w:val="20"/>
              </w:rPr>
              <w:t>Ownership &amp; stewardship visible</w:t>
            </w:r>
          </w:p>
        </w:tc>
        <w:tc>
          <w:tcPr>
            <w:tcW w:type="dxa" w:w="3120"/>
          </w:tcPr>
          <w:p>
            <w:r>
              <w:rPr>
                <w:rFonts w:ascii="Calibri" w:hAnsi="Calibri" w:eastAsia="Calibri"/>
                <w:b w:val="0"/>
                <w:i w:val="0"/>
                <w:sz w:val="20"/>
              </w:rPr>
              <w:t>Clear accountability — faster escalation and fewer orphaned datasets</w:t>
            </w:r>
          </w:p>
        </w:tc>
        <w:tc>
          <w:tcPr>
            <w:tcW w:type="dxa" w:w="3120"/>
          </w:tcPr>
          <w:p>
            <w:r>
              <w:rPr>
                <w:rFonts w:ascii="Calibri" w:hAnsi="Calibri" w:eastAsia="Calibri"/>
                <w:b w:val="0"/>
                <w:i w:val="0"/>
                <w:sz w:val="20"/>
              </w:rPr>
              <w:t>Stewards, program leads</w:t>
            </w:r>
          </w:p>
        </w:tc>
      </w:tr>
      <w:tr>
        <w:tc>
          <w:tcPr>
            <w:tcW w:type="dxa" w:w="3120"/>
          </w:tcPr>
          <w:p>
            <w:r>
              <w:rPr>
                <w:rFonts w:ascii="Calibri" w:hAnsi="Calibri" w:eastAsia="Calibri"/>
                <w:b w:val="0"/>
                <w:i w:val="0"/>
                <w:sz w:val="20"/>
              </w:rPr>
              <w:t>Classifications &amp; tags (read)</w:t>
            </w:r>
          </w:p>
        </w:tc>
        <w:tc>
          <w:tcPr>
            <w:tcW w:type="dxa" w:w="3120"/>
          </w:tcPr>
          <w:p>
            <w:r>
              <w:rPr>
                <w:rFonts w:ascii="Calibri" w:hAnsi="Calibri" w:eastAsia="Calibri"/>
                <w:b w:val="0"/>
                <w:i w:val="0"/>
                <w:sz w:val="20"/>
              </w:rPr>
              <w:t>Sensitivity and compliance scope visible at point of use — supports privacy-by-design</w:t>
            </w:r>
          </w:p>
        </w:tc>
        <w:tc>
          <w:tcPr>
            <w:tcW w:type="dxa" w:w="3120"/>
          </w:tcPr>
          <w:p>
            <w:r>
              <w:rPr>
                <w:rFonts w:ascii="Calibri" w:hAnsi="Calibri" w:eastAsia="Calibri"/>
                <w:b w:val="0"/>
                <w:i w:val="0"/>
                <w:sz w:val="20"/>
              </w:rPr>
              <w:t>Privacy, compliance, consumers</w:t>
            </w:r>
          </w:p>
        </w:tc>
      </w:tr>
      <w:tr>
        <w:tc>
          <w:tcPr>
            <w:tcW w:type="dxa" w:w="3120"/>
          </w:tcPr>
          <w:p>
            <w:r>
              <w:rPr>
                <w:rFonts w:ascii="Calibri" w:hAnsi="Calibri" w:eastAsia="Calibri"/>
                <w:b w:val="0"/>
                <w:i w:val="0"/>
                <w:sz w:val="20"/>
              </w:rPr>
              <w:t>Lineage entry points</w:t>
            </w:r>
          </w:p>
        </w:tc>
        <w:tc>
          <w:tcPr>
            <w:tcW w:type="dxa" w:w="3120"/>
          </w:tcPr>
          <w:p>
            <w:r>
              <w:rPr>
                <w:rFonts w:ascii="Calibri" w:hAnsi="Calibri" w:eastAsia="Calibri"/>
                <w:b w:val="0"/>
                <w:i w:val="0"/>
                <w:sz w:val="20"/>
              </w:rPr>
              <w:t>Impact analysis and audit traceability without exporting to spreadsheets</w:t>
            </w:r>
          </w:p>
        </w:tc>
        <w:tc>
          <w:tcPr>
            <w:tcW w:type="dxa" w:w="3120"/>
          </w:tcPr>
          <w:p>
            <w:r>
              <w:rPr>
                <w:rFonts w:ascii="Calibri" w:hAnsi="Calibri" w:eastAsia="Calibri"/>
                <w:b w:val="0"/>
                <w:i w:val="0"/>
                <w:sz w:val="20"/>
              </w:rPr>
              <w:t>Analysts, engineers, compliance</w:t>
            </w:r>
          </w:p>
        </w:tc>
      </w:tr>
      <w:tr>
        <w:tc>
          <w:tcPr>
            <w:tcW w:type="dxa" w:w="3120"/>
          </w:tcPr>
          <w:p>
            <w:r>
              <w:rPr>
                <w:rFonts w:ascii="Calibri" w:hAnsi="Calibri" w:eastAsia="Calibri"/>
                <w:b w:val="0"/>
                <w:i w:val="0"/>
                <w:sz w:val="20"/>
              </w:rPr>
              <w:t>Articles &amp; domain documentation</w:t>
            </w:r>
          </w:p>
        </w:tc>
        <w:tc>
          <w:tcPr>
            <w:tcW w:type="dxa" w:w="3120"/>
          </w:tcPr>
          <w:p>
            <w:r>
              <w:rPr>
                <w:rFonts w:ascii="Calibri" w:hAnsi="Calibri" w:eastAsia="Calibri"/>
                <w:b w:val="0"/>
                <w:i w:val="0"/>
                <w:sz w:val="20"/>
              </w:rPr>
              <w:t>Institutional knowledge survives people changes and tool migration</w:t>
            </w:r>
          </w:p>
        </w:tc>
        <w:tc>
          <w:tcPr>
            <w:tcW w:type="dxa" w:w="3120"/>
          </w:tcPr>
          <w:p>
            <w:r>
              <w:rPr>
                <w:rFonts w:ascii="Calibri" w:hAnsi="Calibri" w:eastAsia="Calibri"/>
                <w:b w:val="0"/>
                <w:i w:val="0"/>
                <w:sz w:val="20"/>
              </w:rPr>
              <w:t>Stewards, new hires, domain teams</w:t>
            </w:r>
          </w:p>
        </w:tc>
      </w:tr>
      <w:tr>
        <w:tc>
          <w:tcPr>
            <w:tcW w:type="dxa" w:w="3120"/>
          </w:tcPr>
          <w:p>
            <w:r>
              <w:rPr>
                <w:rFonts w:ascii="Calibri" w:hAnsi="Calibri" w:eastAsia="Calibri"/>
                <w:b w:val="0"/>
                <w:i w:val="0"/>
                <w:sz w:val="20"/>
              </w:rPr>
              <w:t>Open in OMS + read APIs</w:t>
            </w:r>
          </w:p>
        </w:tc>
        <w:tc>
          <w:tcPr>
            <w:tcW w:type="dxa" w:w="3120"/>
          </w:tcPr>
          <w:p>
            <w:r>
              <w:rPr>
                <w:rFonts w:ascii="Calibri" w:hAnsi="Calibri" w:eastAsia="Calibri"/>
                <w:b w:val="0"/>
                <w:i w:val="0"/>
                <w:sz w:val="20"/>
              </w:rPr>
              <w:t>Same truth for UI and automation — no dual-write, no forked inventory</w:t>
            </w:r>
          </w:p>
        </w:tc>
        <w:tc>
          <w:tcPr>
            <w:tcW w:type="dxa" w:w="3120"/>
          </w:tcPr>
          <w:p>
            <w:r>
              <w:rPr>
                <w:rFonts w:ascii="Calibri" w:hAnsi="Calibri" w:eastAsia="Calibri"/>
                <w:b w:val="0"/>
                <w:i w:val="0"/>
                <w:sz w:val="20"/>
              </w:rPr>
              <w:t>Engineers, DRE, platform</w:t>
            </w:r>
          </w:p>
        </w:tc>
      </w:tr>
      <w:tr>
        <w:tc>
          <w:tcPr>
            <w:tcW w:type="dxa" w:w="3120"/>
          </w:tcPr>
          <w:p>
            <w:r>
              <w:rPr>
                <w:rFonts w:ascii="Calibri" w:hAnsi="Calibri" w:eastAsia="Calibri"/>
                <w:b w:val="0"/>
                <w:i w:val="0"/>
                <w:sz w:val="20"/>
              </w:rPr>
              <w:t>Alation exit on schedule</w:t>
            </w:r>
          </w:p>
        </w:tc>
        <w:tc>
          <w:tcPr>
            <w:tcW w:type="dxa" w:w="3120"/>
          </w:tcPr>
          <w:p>
            <w:r>
              <w:rPr>
                <w:rFonts w:ascii="Calibri" w:hAnsi="Calibri" w:eastAsia="Calibri"/>
                <w:b w:val="0"/>
                <w:i w:val="0"/>
                <w:sz w:val="20"/>
              </w:rPr>
              <w:t>Contract risk removed; spend redirected to owned capability on OMS</w:t>
            </w:r>
          </w:p>
        </w:tc>
        <w:tc>
          <w:tcPr>
            <w:tcW w:type="dxa" w:w="3120"/>
          </w:tcPr>
          <w:p>
            <w:r>
              <w:rPr>
                <w:rFonts w:ascii="Calibri" w:hAnsi="Calibri" w:eastAsia="Calibri"/>
                <w:b w:val="0"/>
                <w:i w:val="0"/>
                <w:sz w:val="20"/>
              </w:rPr>
              <w:t>Executive sponsors, finance, IT</w:t>
            </w:r>
          </w:p>
        </w:tc>
      </w:tr>
    </w:tbl>
    <w:p/>
    <w:p>
      <w:r>
        <w:rPr>
          <w:rFonts w:ascii="Calibri" w:hAnsi="Calibri" w:eastAsia="Calibri"/>
          <w:b/>
          <w:i w:val="0"/>
          <w:color w:val="1E2B52"/>
          <w:sz w:val="22"/>
        </w:rPr>
        <w:t>What comes after MVP?</w:t>
      </w:r>
    </w:p>
    <w:p>
      <w:r>
        <w:rPr>
          <w:rFonts w:ascii="Calibri" w:hAnsi="Calibri" w:eastAsia="Calibri"/>
          <w:b w:val="0"/>
          <w:i w:val="0"/>
          <w:sz w:val="22"/>
        </w:rPr>
        <w:t>Phase 2 (~Q2 FY27 horizon): operate at scale — stewardship requests and lightweight workflows, policy surfacing in catalog, production bulk edit and catalog sets, usage signals, AI-readiness attributes (quality tier, lineage completeness, documented limitations), and expanded domain coverage.</w:t>
      </w:r>
    </w:p>
    <w:p>
      <w:r>
        <w:rPr>
          <w:rFonts w:ascii="Calibri" w:hAnsi="Calibri" w:eastAsia="Calibri"/>
          <w:b w:val="0"/>
          <w:i w:val="0"/>
          <w:sz w:val="22"/>
        </w:rPr>
        <w:t>Phase 3 (~Q4 FY27+): differentiate — governance command center shell (unified posture and exceptions across privacy pillars), semantic layer integration for single governed metric truth, and deeper automation (recommendations, policy-driven metadata) once trust and attribution rules are clear.</w:t>
      </w:r>
    </w:p>
    <w:p>
      <w:r>
        <w:rPr>
          <w:rFonts w:ascii="Calibri" w:hAnsi="Calibri" w:eastAsia="Calibri"/>
          <w:b/>
          <w:i w:val="0"/>
          <w:color w:val="1E2B52"/>
          <w:sz w:val="22"/>
        </w:rPr>
        <w:t>How will we know MVP succeeded?</w:t>
      </w:r>
    </w:p>
    <w:p>
      <w:r>
        <w:rPr>
          <w:rFonts w:ascii="Calibri" w:hAnsi="Calibri" w:eastAsia="Calibri"/>
          <w:b w:val="0"/>
          <w:i w:val="0"/>
          <w:sz w:val="22"/>
        </w:rPr>
        <w:t>Steward UAT sign-off on parity paths; parallel-run adoption vs. Alation for in-scope domains.</w:t>
      </w:r>
    </w:p>
    <w:p>
      <w:r>
        <w:rPr>
          <w:rFonts w:ascii="Calibri" w:hAnsi="Calibri" w:eastAsia="Calibri"/>
          <w:b w:val="0"/>
          <w:i w:val="0"/>
          <w:sz w:val="22"/>
        </w:rPr>
        <w:t>Validated glossary and asset links post-migration (% critical objects with business metadata).</w:t>
      </w:r>
    </w:p>
    <w:p>
      <w:r>
        <w:rPr>
          <w:rFonts w:ascii="Calibri" w:hAnsi="Calibri" w:eastAsia="Calibri"/>
          <w:b w:val="0"/>
          <w:i w:val="0"/>
          <w:sz w:val="22"/>
        </w:rPr>
        <w:t>Reduced "where is X?" escalations to stewards and data platform teams.</w:t>
      </w:r>
    </w:p>
    <w:p>
      <w:r>
        <w:rPr>
          <w:rFonts w:ascii="Calibri" w:hAnsi="Calibri" w:eastAsia="Calibri"/>
          <w:b w:val="0"/>
          <w:i w:val="0"/>
          <w:sz w:val="22"/>
        </w:rPr>
        <w:t>Weekly active users among analyst and consumer personas meeting Alation-exit targets.</w:t>
      </w:r>
    </w:p>
    <w:p>
      <w:r>
        <w:rPr>
          <w:rFonts w:ascii="Calibri" w:hAnsi="Calibri" w:eastAsia="Calibri"/>
          <w:b w:val="0"/>
          <w:i w:val="0"/>
          <w:sz w:val="22"/>
        </w:rPr>
        <w:t>Evidence that engineers can still reach full technical context via OMS without friction.</w:t>
      </w:r>
    </w:p>
    <w:p>
      <w:r>
        <w:rPr>
          <w:rFonts w:ascii="Calibri" w:hAnsi="Calibri" w:eastAsia="Calibri"/>
          <w:b/>
          <w:i w:val="0"/>
          <w:color w:val="1E2B52"/>
          <w:sz w:val="22"/>
        </w:rPr>
        <w:t>Who builds what?</w:t>
      </w:r>
    </w:p>
    <w:p>
      <w:r>
        <w:rPr>
          <w:rFonts w:ascii="Calibri" w:hAnsi="Calibri" w:eastAsia="Calibri"/>
          <w:b w:val="0"/>
          <w:i w:val="0"/>
          <w:sz w:val="22"/>
        </w:rPr>
        <w:t>Data Governance owns BDC product, UX, and adoption for business-metadata experience.</w:t>
      </w:r>
    </w:p>
    <w:p>
      <w:r>
        <w:rPr>
          <w:rFonts w:ascii="Calibri" w:hAnsi="Calibri" w:eastAsia="Calibri"/>
          <w:b w:val="0"/>
          <w:i w:val="0"/>
          <w:sz w:val="22"/>
        </w:rPr>
        <w:t>OMS Foundations owns operational metadata store, connectors, graph, and APIs.</w:t>
      </w:r>
    </w:p>
    <w:p>
      <w:r>
        <w:rPr>
          <w:rFonts w:ascii="Calibri" w:hAnsi="Calibri" w:eastAsia="Calibri"/>
          <w:b w:val="0"/>
          <w:i w:val="0"/>
          <w:sz w:val="22"/>
        </w:rPr>
        <w:t>626 / MCI programs own metadata supply-side improvement.</w:t>
      </w:r>
    </w:p>
    <w:p>
      <w:r>
        <w:rPr>
          <w:rFonts w:ascii="Calibri" w:hAnsi="Calibri" w:eastAsia="Calibri"/>
          <w:b w:val="0"/>
          <w:i w:val="0"/>
          <w:sz w:val="22"/>
        </w:rPr>
        <w:t>SISU partners on Gov App backend, PULS connectivity, and Navigator workflow services.</w:t>
      </w:r>
    </w:p>
    <w:p>
      <w:r>
        <w:rPr>
          <w:rFonts w:ascii="Calibri" w:hAnsi="Calibri" w:eastAsia="Calibri"/>
          <w:b w:val="0"/>
          <w:i w:val="0"/>
          <w:sz w:val="22"/>
        </w:rPr>
        <w:t>Kronos remains the system of record for business inventory — linked, not duplicated.</w:t>
      </w:r>
    </w:p>
    <w:p/>
    <w:p>
      <w:pPr>
        <w:pStyle w:val="Heading1"/>
      </w:pPr>
      <w:r>
        <w:rPr>
          <w:rFonts w:ascii="Calibri Light" w:hAnsi="Calibri Light" w:eastAsia="Calibri Light"/>
          <w:color w:val="1E2B52"/>
        </w:rPr>
        <w:t>Part III — MVP at a glance</w:t>
      </w:r>
    </w:p>
    <w:p>
      <w:r>
        <w:rPr>
          <w:rFonts w:ascii="Calibri" w:hAnsi="Calibri" w:eastAsia="Calibri"/>
          <w:b/>
          <w:i w:val="0"/>
          <w:color w:val="109AA6"/>
          <w:sz w:val="22"/>
        </w:rPr>
        <w:t>North star (Oct 1, 2026): Find, trust, and cite governed metadata on OMS via Navigator — fed by 626/MCI, stored in OMS, experienced through BDC.</w:t>
      </w:r>
    </w:p>
    <w:p>
      <w:pPr>
        <w:pStyle w:val="Heading2"/>
      </w:pPr>
      <w:r>
        <w:rPr>
          <w:rFonts w:ascii="Calibri Light" w:hAnsi="Calibri Light" w:eastAsia="Calibri Light"/>
          <w:color w:val="1E2B52"/>
        </w:rPr>
        <w:t>Stack positioning</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color w:val="1E2B52"/>
                <w:sz w:val="20"/>
              </w:rPr>
              <w:t>Layer</w:t>
            </w:r>
          </w:p>
        </w:tc>
        <w:tc>
          <w:tcPr>
            <w:tcW w:type="dxa" w:w="3120"/>
          </w:tcPr>
          <w:p>
            <w:r>
              <w:rPr>
                <w:rFonts w:ascii="Calibri" w:hAnsi="Calibri" w:eastAsia="Calibri"/>
                <w:b/>
                <w:i w:val="0"/>
                <w:color w:val="1E2B52"/>
                <w:sz w:val="20"/>
              </w:rPr>
              <w:t>Role</w:t>
            </w:r>
          </w:p>
        </w:tc>
        <w:tc>
          <w:tcPr>
            <w:tcW w:type="dxa" w:w="3120"/>
          </w:tcPr>
          <w:p>
            <w:r>
              <w:rPr>
                <w:rFonts w:ascii="Calibri" w:hAnsi="Calibri" w:eastAsia="Calibri"/>
                <w:b/>
                <w:i w:val="0"/>
                <w:color w:val="1E2B52"/>
                <w:sz w:val="20"/>
              </w:rPr>
              <w:t>Owner</w:t>
            </w:r>
          </w:p>
        </w:tc>
      </w:tr>
      <w:tr>
        <w:tc>
          <w:tcPr>
            <w:tcW w:type="dxa" w:w="3120"/>
          </w:tcPr>
          <w:p>
            <w:r>
              <w:rPr>
                <w:rFonts w:ascii="Calibri" w:hAnsi="Calibri" w:eastAsia="Calibri"/>
                <w:b w:val="0"/>
                <w:i w:val="0"/>
                <w:sz w:val="20"/>
              </w:rPr>
              <w:t>626 / MCI</w:t>
            </w:r>
          </w:p>
        </w:tc>
        <w:tc>
          <w:tcPr>
            <w:tcW w:type="dxa" w:w="3120"/>
          </w:tcPr>
          <w:p>
            <w:r>
              <w:rPr>
                <w:rFonts w:ascii="Calibri" w:hAnsi="Calibri" w:eastAsia="Calibri"/>
                <w:b w:val="0"/>
                <w:i w:val="0"/>
                <w:sz w:val="20"/>
              </w:rPr>
              <w:t>Improve metadata supply — scanning, curation, definitions at source</w:t>
            </w:r>
          </w:p>
        </w:tc>
        <w:tc>
          <w:tcPr>
            <w:tcW w:type="dxa" w:w="3120"/>
          </w:tcPr>
          <w:p>
            <w:r>
              <w:rPr>
                <w:rFonts w:ascii="Calibri" w:hAnsi="Calibri" w:eastAsia="Calibri"/>
                <w:b w:val="0"/>
                <w:i w:val="0"/>
                <w:sz w:val="20"/>
              </w:rPr>
              <w:t>Metadata programs</w:t>
            </w:r>
          </w:p>
        </w:tc>
      </w:tr>
      <w:tr>
        <w:tc>
          <w:tcPr>
            <w:tcW w:type="dxa" w:w="3120"/>
          </w:tcPr>
          <w:p>
            <w:r>
              <w:rPr>
                <w:rFonts w:ascii="Calibri" w:hAnsi="Calibri" w:eastAsia="Calibri"/>
                <w:b w:val="0"/>
                <w:i w:val="0"/>
                <w:sz w:val="20"/>
              </w:rPr>
              <w:t>OMS</w:t>
            </w:r>
          </w:p>
        </w:tc>
        <w:tc>
          <w:tcPr>
            <w:tcW w:type="dxa" w:w="3120"/>
          </w:tcPr>
          <w:p>
            <w:r>
              <w:rPr>
                <w:rFonts w:ascii="Calibri" w:hAnsi="Calibri" w:eastAsia="Calibri"/>
                <w:b w:val="0"/>
                <w:i w:val="0"/>
                <w:sz w:val="20"/>
              </w:rPr>
              <w:t>Store, connect, and serve operational &amp; technical metadata</w:t>
            </w:r>
          </w:p>
        </w:tc>
        <w:tc>
          <w:tcPr>
            <w:tcW w:type="dxa" w:w="3120"/>
          </w:tcPr>
          <w:p>
            <w:r>
              <w:rPr>
                <w:rFonts w:ascii="Calibri" w:hAnsi="Calibri" w:eastAsia="Calibri"/>
                <w:b w:val="0"/>
                <w:i w:val="0"/>
                <w:sz w:val="20"/>
              </w:rPr>
              <w:t>Data Foundations</w:t>
            </w:r>
          </w:p>
        </w:tc>
      </w:tr>
      <w:tr>
        <w:tc>
          <w:tcPr>
            <w:tcW w:type="dxa" w:w="3120"/>
          </w:tcPr>
          <w:p>
            <w:r>
              <w:rPr>
                <w:rFonts w:ascii="Calibri" w:hAnsi="Calibri" w:eastAsia="Calibri"/>
                <w:b w:val="0"/>
                <w:i w:val="0"/>
                <w:sz w:val="20"/>
              </w:rPr>
              <w:t>BDC / Navigator</w:t>
            </w:r>
          </w:p>
        </w:tc>
        <w:tc>
          <w:tcPr>
            <w:tcW w:type="dxa" w:w="3120"/>
          </w:tcPr>
          <w:p>
            <w:r>
              <w:rPr>
                <w:rFonts w:ascii="Calibri" w:hAnsi="Calibri" w:eastAsia="Calibri"/>
                <w:b w:val="0"/>
                <w:i w:val="0"/>
                <w:sz w:val="20"/>
              </w:rPr>
              <w:t>Governed experience — discovery, glossary, stewardship, policy surfacing</w:t>
            </w:r>
          </w:p>
        </w:tc>
        <w:tc>
          <w:tcPr>
            <w:tcW w:type="dxa" w:w="3120"/>
          </w:tcPr>
          <w:p>
            <w:r>
              <w:rPr>
                <w:rFonts w:ascii="Calibri" w:hAnsi="Calibri" w:eastAsia="Calibri"/>
                <w:b w:val="0"/>
                <w:i w:val="0"/>
                <w:sz w:val="20"/>
              </w:rPr>
              <w:t>Data Governance</w:t>
            </w:r>
          </w:p>
        </w:tc>
      </w:tr>
    </w:tbl>
    <w:p/>
    <w:p>
      <w:pPr>
        <w:pStyle w:val="Heading2"/>
      </w:pPr>
      <w:r>
        <w:rPr>
          <w:rFonts w:ascii="Calibri Light" w:hAnsi="Calibri Light" w:eastAsia="Calibri Light"/>
          <w:color w:val="1E2B52"/>
        </w:rPr>
        <w:t>MVP success criteria (acceptance posture)</w:t>
      </w:r>
    </w:p>
    <w:p>
      <w:pPr>
        <w:pStyle w:val="ListBullet"/>
      </w:pPr>
      <w:r>
        <w:rPr>
          <w:rFonts w:ascii="Calibri" w:hAnsi="Calibri" w:eastAsia="Calibri"/>
          <w:b w:val="0"/>
          <w:i w:val="0"/>
          <w:sz w:val="22"/>
        </w:rPr>
        <w:t>A business consumer can search, open an asset, read business description and owner, see trust status and classifications, and cite the object in a planning doc — without Alation.</w:t>
      </w:r>
    </w:p>
    <w:p>
      <w:pPr>
        <w:pStyle w:val="ListBullet"/>
      </w:pPr>
      <w:r>
        <w:rPr>
          <w:rFonts w:ascii="Calibri" w:hAnsi="Calibri" w:eastAsia="Calibri"/>
          <w:b w:val="0"/>
          <w:i w:val="0"/>
          <w:sz w:val="22"/>
        </w:rPr>
        <w:t>A steward can endorse or deprecate an asset and link glossary terms without engineering support.</w:t>
      </w:r>
    </w:p>
    <w:p>
      <w:pPr>
        <w:pStyle w:val="ListBullet"/>
      </w:pPr>
      <w:r>
        <w:rPr>
          <w:rFonts w:ascii="Calibri" w:hAnsi="Calibri" w:eastAsia="Calibri"/>
          <w:b w:val="0"/>
          <w:i w:val="0"/>
          <w:sz w:val="22"/>
        </w:rPr>
        <w:t>An engineer can open the same object in OMS from BDC and see full technical lineage and SQL context.</w:t>
      </w:r>
    </w:p>
    <w:p>
      <w:pPr>
        <w:pStyle w:val="ListBullet"/>
      </w:pPr>
      <w:r>
        <w:rPr>
          <w:rFonts w:ascii="Calibri" w:hAnsi="Calibri" w:eastAsia="Calibri"/>
          <w:b w:val="0"/>
          <w:i w:val="0"/>
          <w:sz w:val="22"/>
        </w:rPr>
        <w:t>Migration validation: critical glossary links and custom business fields preserved for in-scope domains.</w:t>
      </w:r>
    </w:p>
    <w:p>
      <w:pPr>
        <w:pStyle w:val="Heading2"/>
      </w:pPr>
      <w:r>
        <w:rPr>
          <w:rFonts w:ascii="Calibri Light" w:hAnsi="Calibri Light" w:eastAsia="Calibri Light"/>
          <w:color w:val="1E2B52"/>
        </w:rPr>
        <w:t>Explicit non-goals for MVP</w:t>
      </w:r>
    </w:p>
    <w:p>
      <w:pPr>
        <w:pStyle w:val="ListBullet"/>
      </w:pPr>
      <w:r>
        <w:rPr>
          <w:rFonts w:ascii="Calibri" w:hAnsi="Calibri" w:eastAsia="Calibri"/>
          <w:b w:val="0"/>
          <w:i w:val="0"/>
          <w:sz w:val="22"/>
        </w:rPr>
        <w:t>Replacing OMS, 626 scanners, Kronos, MAUI, Access Manager, or specialist privacy consoles</w:t>
      </w:r>
    </w:p>
    <w:p>
      <w:pPr>
        <w:pStyle w:val="ListBullet"/>
      </w:pPr>
      <w:r>
        <w:rPr>
          <w:rFonts w:ascii="Calibri" w:hAnsi="Calibri" w:eastAsia="Calibri"/>
          <w:b w:val="0"/>
          <w:i w:val="0"/>
          <w:sz w:val="22"/>
        </w:rPr>
        <w:t>Building a second metadata graph or ingestion pipeline</w:t>
      </w:r>
    </w:p>
    <w:p>
      <w:pPr>
        <w:pStyle w:val="ListBullet"/>
      </w:pPr>
      <w:r>
        <w:rPr>
          <w:rFonts w:ascii="Calibri" w:hAnsi="Calibri" w:eastAsia="Calibri"/>
          <w:b w:val="0"/>
          <w:i w:val="0"/>
          <w:sz w:val="22"/>
        </w:rPr>
        <w:t>Unified governance command center with live KPI feeds from every downstream system</w:t>
      </w:r>
    </w:p>
    <w:p>
      <w:pPr>
        <w:pStyle w:val="ListBullet"/>
      </w:pPr>
      <w:r>
        <w:rPr>
          <w:rFonts w:ascii="Calibri" w:hAnsi="Calibri" w:eastAsia="Calibri"/>
          <w:b w:val="0"/>
          <w:i w:val="0"/>
          <w:sz w:val="22"/>
        </w:rPr>
        <w:t>Feature parity with every Alation module — prioritized by interview-validated daily use</w:t>
      </w:r>
    </w:p>
    <w:p/>
    <w:p>
      <w:r>
        <w:rPr>
          <w:rFonts w:ascii="Calibri" w:hAnsi="Calibri" w:eastAsia="Calibri"/>
          <w:b w:val="0"/>
          <w:i/>
          <w:color w:val="6B778C"/>
          <w:sz w:val="18"/>
        </w:rPr>
        <w:t>References: Data-Navigator-Approach-One-Pager.md, Data-Navigator-Features-Prioritized-Roadmap.md, BDC-vs-OMS-Persona-Review-Talking-Sheet.md, PRD-Navigator-Data-Governance-Umbrella.docx, Navigator-persona-and-626-boundary-brief.md.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