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03: Catalog Browse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Explore by source/schema</w:t>
      </w:r>
    </w:p>
    <w:p>
      <w:r>
        <w:rPr>
          <w:b w:val="0"/>
          <w:sz w:val="22"/>
        </w:rPr>
        <w:t>Validation notes (matrix): Primary navigation pattern?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**Catalog Browse**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Catalog Browse.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**High** and primary use case: **Explore by source/schema**.</w:t>
      </w:r>
    </w:p>
    <w:p>
      <w:pPr>
        <w:pStyle w:val="ListBullet"/>
      </w:pPr>
      <w:r>
        <w:t>Matrix description: Browse datasources, schemas, tables by hierarchy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**Catalog Browse** without leaving the catalog shell.</w:t>
      </w:r>
    </w:p>
    <w:p>
      <w:pPr>
        <w:pStyle w:val="ListBullet"/>
      </w:pPr>
      <w:r>
        <w:t>As an analyst, I can rely on **Catalog Browse** to decide whether a dataset is appropriate for my use case.</w:t>
      </w:r>
    </w:p>
    <w:p>
      <w:pPr>
        <w:pStyle w:val="ListBullet"/>
      </w:pPr>
      <w:r>
        <w:t>As an engineer, I can integrate or automate **Catalog Browse**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(Explore by source/schema)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**Catalog Browse**.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Primary navigation pattern?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3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