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04: Table / Asset Detail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Understand asset context</w:t>
      </w:r>
    </w:p>
    <w:p>
      <w:r>
        <w:rPr>
          <w:b w:val="0"/>
          <w:sz w:val="22"/>
        </w:rPr>
        <w:t>Validation notes (matrix): Which fields are most viewed?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**Table / Asset Detail**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Table / Asset Detail.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**Understand asset context**.</w:t>
      </w:r>
    </w:p>
    <w:p>
      <w:pPr>
        <w:pStyle w:val="ListBullet"/>
      </w:pPr>
      <w:r>
        <w:t>Matrix description: View metadata for tables, columns: description, owner, tags, lineage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**Table / Asset Detail** without leaving the catalog shell.</w:t>
      </w:r>
    </w:p>
    <w:p>
      <w:pPr>
        <w:pStyle w:val="ListBullet"/>
      </w:pPr>
      <w:r>
        <w:t>As an analyst, I can rely on **Table / Asset Detail** to decide whether a dataset is appropriate for my use case.</w:t>
      </w:r>
    </w:p>
    <w:p>
      <w:pPr>
        <w:pStyle w:val="ListBullet"/>
      </w:pPr>
      <w:r>
        <w:t>As an engineer, I can integrate or automate **Table / Asset Detail**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(Understand asset context)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**Table / Asset Detail**.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Which fields are most viewed?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4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