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06: Tags &amp; Classification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Classification, compliance</w:t>
      </w:r>
    </w:p>
    <w:p>
      <w:r>
        <w:rPr>
          <w:b w:val="0"/>
          <w:sz w:val="22"/>
        </w:rPr>
        <w:t>Validation notes (matrix): Which tags are critical?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**Tags &amp; Classification**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Tags &amp; Classification.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**Classification, compliance**.</w:t>
      </w:r>
    </w:p>
    <w:p>
      <w:pPr>
        <w:pStyle w:val="ListBullet"/>
      </w:pPr>
      <w:r>
        <w:t>Matrix description: Apply tags (PII, domain, custom) to assets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**Tags &amp; Classification** without leaving the catalog shell.</w:t>
      </w:r>
    </w:p>
    <w:p>
      <w:pPr>
        <w:pStyle w:val="ListBullet"/>
      </w:pPr>
      <w:r>
        <w:t>As an analyst, I can rely on **Tags &amp; Classification** to decide whether a dataset is appropriate for my use case.</w:t>
      </w:r>
    </w:p>
    <w:p>
      <w:pPr>
        <w:pStyle w:val="ListBullet"/>
      </w:pPr>
      <w:r>
        <w:t>As an engineer, I can integrate or automate **Tags &amp; Classification**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(Classification, compliance)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**Tags &amp; Classification**.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tags are critical?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6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