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09: Ownership / Stewardship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Accountability, escalation</w:t>
      </w:r>
    </w:p>
    <w:p>
      <w:r>
        <w:rPr>
          <w:b w:val="0"/>
          <w:sz w:val="22"/>
        </w:rPr>
        <w:t>Validation notes (matrix): Steward assignment coverage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**Ownership / Stewardship**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Ownership / Stewardship.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**Accountability, escalation**.</w:t>
      </w:r>
    </w:p>
    <w:p>
      <w:pPr>
        <w:pStyle w:val="ListBullet"/>
      </w:pPr>
      <w:r>
        <w:t>Matrix description: Assign owners, stewards to assets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**Ownership / Stewardship** without leaving the catalog shell.</w:t>
      </w:r>
    </w:p>
    <w:p>
      <w:pPr>
        <w:pStyle w:val="ListBullet"/>
      </w:pPr>
      <w:r>
        <w:t>As an analyst, I can rely on **Ownership / Stewardship** to decide whether a dataset is appropriate for my use case.</w:t>
      </w:r>
    </w:p>
    <w:p>
      <w:pPr>
        <w:pStyle w:val="ListBullet"/>
      </w:pPr>
      <w:r>
        <w:t>As an engineer, I can integrate or automate **Ownership / Stewardship**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(Accountability, escalation)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**Ownership / Stewardship**.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Steward assignment coverage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9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