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12: Policy Center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Medium</w:t>
      </w:r>
    </w:p>
    <w:p>
      <w:r>
        <w:rPr>
          <w:b w:val="0"/>
          <w:sz w:val="22"/>
        </w:rPr>
        <w:t>Primary use case (matrix): Governance, compliance</w:t>
      </w:r>
    </w:p>
    <w:p>
      <w:r>
        <w:rPr>
          <w:b w:val="0"/>
          <w:sz w:val="22"/>
        </w:rPr>
        <w:t>Validation notes (matrix): Policies in use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**Policy Center**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Policy Center.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**Medium** and primary use case: **Governance, compliance**.</w:t>
      </w:r>
    </w:p>
    <w:p>
      <w:pPr>
        <w:pStyle w:val="ListBullet"/>
      </w:pPr>
      <w:r>
        <w:t>Matrix description: Policies, risk classification, compliance rules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**Policy Center** without leaving the catalog shell.</w:t>
      </w:r>
    </w:p>
    <w:p>
      <w:pPr>
        <w:pStyle w:val="ListBullet"/>
      </w:pPr>
      <w:r>
        <w:t>As an analyst, I can rely on **Policy Center** to decide whether a dataset is appropriate for my use case.</w:t>
      </w:r>
    </w:p>
    <w:p>
      <w:pPr>
        <w:pStyle w:val="ListBullet"/>
      </w:pPr>
      <w:r>
        <w:t>As an engineer, I can integrate or automate **Policy Center**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(Governance, compliance)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**Policy Center**.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Policies in use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12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