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16: Recommendations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Low</w:t>
      </w:r>
    </w:p>
    <w:p>
      <w:r>
        <w:rPr>
          <w:b w:val="0"/>
          <w:sz w:val="22"/>
        </w:rPr>
        <w:t>Primary use case (matrix): Metadata improvement</w:t>
      </w:r>
    </w:p>
    <w:p>
      <w:r>
        <w:rPr>
          <w:b w:val="0"/>
          <w:sz w:val="22"/>
        </w:rPr>
        <w:t>Validation notes (matrix): Adoption level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**Recommendations**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Recommendations.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**Low** and primary use case: **Metadata improvement**.</w:t>
      </w:r>
    </w:p>
    <w:p>
      <w:pPr>
        <w:pStyle w:val="ListBullet"/>
      </w:pPr>
      <w:r>
        <w:t>Matrix description: AI-suggested metadata, stewardship actions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**Recommendations** without leaving the catalog shell.</w:t>
      </w:r>
    </w:p>
    <w:p>
      <w:pPr>
        <w:pStyle w:val="ListBullet"/>
      </w:pPr>
      <w:r>
        <w:t>As an analyst, I can rely on **Recommendations** to decide whether a dataset is appropriate for my use case.</w:t>
      </w:r>
    </w:p>
    <w:p>
      <w:pPr>
        <w:pStyle w:val="ListBullet"/>
      </w:pPr>
      <w:r>
        <w:t>As an engineer, I can integrate or automate **Recommendations**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(Metadata improvement)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**Recommendations**.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Adoption level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16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