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20: Authentication / SSO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Access control</w:t>
      </w:r>
    </w:p>
    <w:p>
      <w:r>
        <w:rPr>
          <w:b w:val="0"/>
          <w:sz w:val="22"/>
        </w:rPr>
        <w:t>Validation notes (matrix): SSO provider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**Authentication / SSO**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Authentication / SSO.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Identity</w:t>
      </w:r>
    </w:p>
    <w:p>
      <w:pPr>
        <w:pStyle w:val="ListBullet"/>
      </w:pPr>
      <w:r>
        <w:t>SAML/OIDC with corporate IdP; session timeout aligned to policy.</w:t>
      </w:r>
    </w:p>
    <w:p>
      <w:pPr>
        <w:pStyle w:val="Heading2"/>
      </w:pPr>
      <w:r>
        <w:t>Authorization</w:t>
      </w:r>
    </w:p>
    <w:p>
      <w:pPr>
        <w:pStyle w:val="ListBullet"/>
      </w:pPr>
      <w:r>
        <w:t>Roles: admin, steward, editor, consumer, auditor; optional domain scope.</w:t>
      </w:r>
    </w:p>
    <w:p>
      <w:pPr>
        <w:pStyle w:val="Heading2"/>
      </w:pPr>
      <w:r>
        <w:t>Service access</w:t>
      </w:r>
    </w:p>
    <w:p>
      <w:pPr>
        <w:pStyle w:val="ListBullet"/>
      </w:pPr>
      <w:r>
        <w:t>PATs or service principals for APIs with narrow scopes.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**Authentication / SSO** without leaving the catalog shell.</w:t>
      </w:r>
    </w:p>
    <w:p>
      <w:pPr>
        <w:pStyle w:val="ListBullet"/>
      </w:pPr>
      <w:r>
        <w:t>As an analyst, I can rely on **Authentication / SSO** to decide whether a dataset is appropriate for my use case.</w:t>
      </w:r>
    </w:p>
    <w:p>
      <w:pPr>
        <w:pStyle w:val="ListBullet"/>
      </w:pPr>
      <w:r>
        <w:t>As an engineer, I can integrate or automate **Authentication / SSO**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(Access control)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**Authentication / SSO**.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SSO provider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20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