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23: Folders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Content hierarchy</w:t>
      </w:r>
    </w:p>
    <w:p>
      <w:r>
        <w:rPr>
          <w:b w:val="0"/>
          <w:sz w:val="22"/>
        </w:rPr>
        <w:t>Validation notes (matrix): Examples: How-to folder, project-specific article collections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**Folders**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Folders.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**Content hierarchy**.</w:t>
      </w:r>
    </w:p>
    <w:p>
      <w:pPr>
        <w:pStyle w:val="ListBullet"/>
      </w:pPr>
      <w:r>
        <w:t>Matrix description: Article/content hierarchy and organization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**Folders** without leaving the catalog shell.</w:t>
      </w:r>
    </w:p>
    <w:p>
      <w:pPr>
        <w:pStyle w:val="ListBullet"/>
      </w:pPr>
      <w:r>
        <w:t>As an analyst, I can rely on **Folders** to decide whether a dataset is appropriate for my use case.</w:t>
      </w:r>
    </w:p>
    <w:p>
      <w:pPr>
        <w:pStyle w:val="ListBullet"/>
      </w:pPr>
      <w:r>
        <w:t>As an engineer, I can integrate or automate **Folders**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(Content hierarchy)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**Folders**.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Examples: How-to folder, project-specific article collections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23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