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27: Mass set rules / catalog sets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Governance automation</w:t>
      </w:r>
    </w:p>
    <w:p>
      <w:r>
        <w:rPr>
          <w:b w:val="0"/>
          <w:sz w:val="22"/>
        </w:rPr>
        <w:t>Validation notes (matrix): Tables with "pii" in column names → retention policy + steward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**Mass set rules / catalog sets**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Mass set rules / catalog sets.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**Medium** and primary use case: **Governance automation**.</w:t>
      </w:r>
    </w:p>
    <w:p>
      <w:pPr>
        <w:pStyle w:val="ListBullet"/>
      </w:pPr>
      <w:r>
        <w:t>Matrix description: Define rules (pattern, metadata condition) on asset sets; rule engine matches assets and applies tags/policies or ownership at scale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**Mass set rules / catalog sets** without leaving the catalog shell.</w:t>
      </w:r>
    </w:p>
    <w:p>
      <w:pPr>
        <w:pStyle w:val="ListBullet"/>
      </w:pPr>
      <w:r>
        <w:t>As an analyst, I can rely on **Mass set rules / catalog sets** to decide whether a dataset is appropriate for my use case.</w:t>
      </w:r>
    </w:p>
    <w:p>
      <w:pPr>
        <w:pStyle w:val="ListBullet"/>
      </w:pPr>
      <w:r>
        <w:t>As an engineer, I can integrate or automate **Mass set rules / catalog sets**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(Governance automation)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**Mass set rules / catalog sets**.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Tables with "pii" in column names → retention policy + steward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27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