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30: Expanded Data Sources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Technical metadata ingestion</w:t>
      </w:r>
    </w:p>
    <w:p>
      <w:r>
        <w:rPr>
          <w:b w:val="0"/>
          <w:sz w:val="22"/>
        </w:rPr>
        <w:t>Validation notes (matrix): Consider Data 626’s existing connectors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**Expanded Data Sources**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Expanded Data Sources.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Connector strategy</w:t>
      </w:r>
    </w:p>
    <w:p>
      <w:pPr>
        <w:pStyle w:val="ListBullet"/>
      </w:pPr>
      <w:r>
        <w:t>Prioritize high-touch vendor systems beyond Snowflake; reuse internal connector investments (e.g. Data 626) where possible.</w:t>
      </w:r>
    </w:p>
    <w:p>
      <w:pPr>
        <w:pStyle w:val="Heading2"/>
      </w:pPr>
      <w:r>
        <w:t>Metadata model</w:t>
      </w:r>
    </w:p>
    <w:p>
      <w:pPr>
        <w:pStyle w:val="ListBullet"/>
      </w:pPr>
      <w:r>
        <w:t>Normalize external source objects into OMS/BDC asset types; lineage hooks where available.</w:t>
      </w:r>
    </w:p>
    <w:p>
      <w:pPr>
        <w:pStyle w:val="Heading2"/>
      </w:pPr>
      <w:r>
        <w:t>Operations</w:t>
      </w:r>
    </w:p>
    <w:p>
      <w:pPr>
        <w:pStyle w:val="ListBullet"/>
      </w:pPr>
      <w:r>
        <w:t>Credential vault integration, sync schedules, failure surfacing, ownership per connector.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**Expanded Data Sources** without leaving the catalog shell.</w:t>
      </w:r>
    </w:p>
    <w:p>
      <w:pPr>
        <w:pStyle w:val="ListBullet"/>
      </w:pPr>
      <w:r>
        <w:t>As an analyst, I can rely on **Expanded Data Sources** to decide whether a dataset is appropriate for my use case.</w:t>
      </w:r>
    </w:p>
    <w:p>
      <w:pPr>
        <w:pStyle w:val="ListBullet"/>
      </w:pPr>
      <w:r>
        <w:t>As an engineer, I can integrate or automate **Expanded Data Sources**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(Technical metadata ingestion)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**Expanded Data Sources**.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Consider Data 626’s existing connectors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30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