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59" w:lineRule="auto"/>
        <w:jc w:val="center"/>
      </w:pPr>
      <w:r>
        <w:rPr>
          <w:b/>
          <w:color w:val="0F2744"/>
          <w:sz w:val="32"/>
        </w:rPr>
        <w:t>Executive Summary</w:t>
      </w:r>
    </w:p>
    <w:p>
      <w:pPr>
        <w:spacing w:before="0" w:after="40" w:line="259" w:lineRule="auto"/>
        <w:jc w:val="center"/>
      </w:pPr>
      <w:r>
        <w:rPr>
          <w:b/>
          <w:sz w:val="22"/>
        </w:rPr>
        <w:t>Data Governance &amp; Data Foundations — Complementary Capabilities Workshop</w:t>
      </w:r>
    </w:p>
    <w:p>
      <w:pPr>
        <w:spacing w:before="0" w:after="120" w:line="259" w:lineRule="auto"/>
        <w:jc w:val="center"/>
      </w:pPr>
      <w:r>
        <w:rPr>
          <w:sz w:val="18"/>
        </w:rPr>
        <w:t>For Phillip · July 21–23, 2026 · Seattle · Draft July 02, 2026</w:t>
      </w:r>
    </w:p>
    <w:p>
      <w:pPr>
        <w:spacing w:before="120" w:after="40" w:line="259" w:lineRule="auto"/>
      </w:pPr>
      <w:r>
        <w:rPr>
          <w:b/>
          <w:color w:val="0F2744"/>
          <w:sz w:val="20"/>
        </w:rPr>
        <w:t>THE ASK</w:t>
      </w:r>
    </w:p>
    <w:p>
      <w:pPr>
        <w:spacing w:before="0" w:after="60" w:line="259" w:lineRule="auto"/>
      </w:pPr>
      <w:r>
        <w:rPr>
          <w:b w:val="0"/>
          <w:sz w:val="20"/>
        </w:rPr>
        <w:t>Approve a 2.5-day cross-team workshop (July 21–23, Disney Seattle) with Data Governance and Data Foundations Platform (DFP) leaders. Estimated travel: ~10 attendees from Santa Monica, Glendale, Texas, and San Francisco (cost TBD — Finance).</w:t>
      </w:r>
    </w:p>
    <w:p>
      <w:pPr>
        <w:spacing w:before="0" w:after="60" w:line="259" w:lineRule="auto"/>
      </w:pPr>
      <w:r>
        <w:rPr>
          <w:b/>
          <w:sz w:val="20"/>
        </w:rPr>
        <w:t>Deliverables to you by July 29, 2026: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Alignment memo — portal roles, overlap resolution, escalation path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RACI by capability — glossary, dictionary, classification, policy, lineage, stewardship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Joint roadmap slice — Q4 FY26 / Q1 FY27 aligned to DFP phased delivery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Decision log — open items flagged for VP ratification where needed</w:t>
      </w:r>
    </w:p>
    <w:p>
      <w:pPr>
        <w:spacing w:before="0" w:after="60" w:line="259" w:lineRule="auto"/>
      </w:pPr>
      <w:r>
        <w:rPr>
          <w:b w:val="0"/>
          <w:sz w:val="20"/>
        </w:rPr>
        <w:t>Optional: 30-minute readout the week of July 28.</w:t>
      </w:r>
    </w:p>
    <w:p>
      <w:pPr>
        <w:spacing w:before="120" w:after="40" w:line="259" w:lineRule="auto"/>
      </w:pPr>
      <w:r>
        <w:rPr>
          <w:b/>
          <w:color w:val="0F2744"/>
          <w:sz w:val="20"/>
        </w:rPr>
        <w:t>WHY NOW</w:t>
      </w:r>
    </w:p>
    <w:p>
      <w:pPr>
        <w:spacing w:before="0" w:after="60" w:line="259" w:lineRule="auto"/>
      </w:pPr>
      <w:r>
        <w:rPr>
          <w:b w:val="0"/>
          <w:sz w:val="20"/>
        </w:rPr>
        <w:t>You now lead both organizations. Without explicit alignment before build cycles accelerate, we risk: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Duplicate UI/metadata work across OMS unification, Navigator/Portal, and DFP agent shell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Competing governance definitions — DFP Process Repository vs Gov policy/classification programs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Blurred Alation-exit scope between OMS technical catalog and business glossary/dictionary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Agent-first DFP requiring machine-readable rules — unclear content vs orchestration ownership</w:t>
      </w:r>
    </w:p>
    <w:p>
      <w:pPr>
        <w:spacing w:before="0" w:after="60" w:line="259" w:lineRule="auto"/>
      </w:pPr>
      <w:r>
        <w:rPr>
          <w:b w:val="0"/>
          <w:sz w:val="20"/>
        </w:rPr>
        <w:t>This is structured alignment under unified leadership — not a turf negotiation — to ship one coherent experience for stewards, privacy leads, and data practitioners.</w:t>
      </w:r>
    </w:p>
    <w:p>
      <w:pPr>
        <w:spacing w:before="120" w:after="40" w:line="259" w:lineRule="auto"/>
      </w:pPr>
      <w:r>
        <w:rPr>
          <w:b/>
          <w:color w:val="0F2744"/>
          <w:sz w:val="20"/>
        </w:rPr>
        <w:t>ORGANIZING PRINCIPLE</w:t>
      </w:r>
    </w:p>
    <w:p>
      <w:pPr>
        <w:spacing w:before="0" w:after="60" w:line="259" w:lineRule="auto"/>
      </w:pPr>
      <w:r>
        <w:rPr>
          <w:b w:val="0"/>
          <w:sz w:val="20"/>
        </w:rPr>
        <w:t>One org, two jobs-to-be-done, one metadata spine: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Gov Portal — Are we in policy? What needs a human this week?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Navigator — Discover and steward data assets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DFP / Platform UIs + Agent — Operate the platform; execute governed actions</w:t>
      </w:r>
    </w:p>
    <w:p>
      <w:pPr>
        <w:spacing w:before="0" w:after="60" w:line="259" w:lineRule="auto"/>
      </w:pPr>
      <w:r>
        <w:rPr>
          <w:b w:val="0"/>
          <w:sz w:val="20"/>
        </w:rPr>
        <w:t>Shared spine: Governance Metadata Repository ↔ OMS Semantic Registry ↔ Process Repository. Logically separate experiences; one product family (shared design language, deep links, same asset IDs).</w:t>
      </w:r>
    </w:p>
    <w:p>
      <w:pPr>
        <w:spacing w:before="120" w:after="40" w:line="259" w:lineRule="auto"/>
      </w:pPr>
      <w:r>
        <w:rPr>
          <w:b/>
          <w:color w:val="0F2744"/>
          <w:sz w:val="20"/>
        </w:rPr>
        <w:t>DECISIONS WE WILL BRING BACK FOR YOUR RATIFICATION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Portal IA: two products in one shared shell vs merged experience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System of record: business metrics/definitions (Gov) vs technical semantics (OMS)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Engineering ownership: which squad builds and supports each in-scope capability</w:t>
      </w:r>
    </w:p>
    <w:p>
      <w:pPr>
        <w:pStyle w:val="ListBullet"/>
        <w:spacing w:before="0" w:after="20" w:line="259" w:lineRule="auto"/>
        <w:ind w:left="288"/>
      </w:pPr>
      <w:r>
        <w:rPr>
          <w:sz w:val="20"/>
        </w:rPr>
        <w:t>Escalation rule if teams deadlock (Gov owns business meaning; DFP owns platform orchestration)</w:t>
      </w:r>
    </w:p>
    <w:p>
      <w:pPr>
        <w:spacing w:before="120" w:after="40" w:line="259" w:lineRule="auto"/>
      </w:pPr>
      <w:r>
        <w:rPr>
          <w:b/>
          <w:color w:val="0F2744"/>
          <w:sz w:val="20"/>
        </w:rPr>
        <w:t>CO-SPONSORS</w:t>
      </w:r>
    </w:p>
    <w:p>
      <w:pPr>
        <w:spacing w:before="0" w:after="60" w:line="259" w:lineRule="auto"/>
      </w:pPr>
      <w:r>
        <w:rPr>
          <w:b w:val="0"/>
          <w:sz w:val="20"/>
        </w:rPr>
        <w:t>Data Governance: Niru Sharma, Jonathan Fong · Data Foundations: Ryan Malec, Renat Gilfanov</w:t>
      </w:r>
    </w:p>
    <w:p>
      <w:pPr>
        <w:spacing w:before="0" w:after="60" w:line="259" w:lineRule="auto"/>
      </w:pPr>
      <w:r>
        <w:rPr>
          <w:b w:val="0"/>
          <w:sz w:val="20"/>
        </w:rPr>
        <w:t>Full workshop brief: https://docs.google.com/document/d/1tvA_XJnfHsVTteVUY32gnWrtueK81t630zC9VZiPtZA/edit</w:t>
      </w:r>
    </w:p>
    <w:sectPr w:rsidR="00FC693F" w:rsidRPr="0006063C" w:rsidSect="00034616">
      <w:pgSz w:w="12240" w:h="15840"/>
      <w:pgMar w:top="792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