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2C3E50"/>
          <w:sz w:val="52"/>
          <w:szCs w:val="52"/>
        </w:rPr>
        <w:t xml:space="preserve">Thickness Calculation Logic</w:t>
      </w:r>
    </w:p>
    <w:p>
      <w:pPr>
        <w:spacing w:after="40" w:before="0"/>
        <w:jc w:val="center"/>
      </w:pPr>
      <w:r>
        <w:rPr>
          <w:color w:val="777777"/>
          <w:sz w:val="22"/>
          <w:szCs w:val="22"/>
        </w:rPr>
        <w:t xml:space="preserve">VTPL Balance &amp; Activity Tracker  |  Reference Document</w:t>
      </w:r>
    </w:p>
    <w:p>
      <w:pPr>
        <w:spacing w:after="400" w:before="0"/>
        <w:jc w:val="center"/>
      </w:pPr>
      <w:r>
        <w:rPr>
          <w:color w:val="999999"/>
          <w:sz w:val="20"/>
          <w:szCs w:val="20"/>
        </w:rPr>
        <w:t xml:space="preserve">Prepared: July 2026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C3E50"/>
        </w:rPr>
      </w:pPr>
      <w:r>
        <w:t xml:space="preserve">1. Overview</w:t>
      </w:r>
    </w:p>
    <w:p>
      <w:pPr>
        <w:spacing w:after="60" w:before="60"/>
      </w:pPr>
      <w:r>
        <w:t xml:space="preserve">Thickness is a </w:t>
      </w:r>
      <w:r>
        <w:rPr>
          <w:b/>
          <w:bCs/>
        </w:rPr>
        <w:t xml:space="preserve">live, display-only attribute</w:t>
      </w:r>
      <w:r>
        <w:t xml:space="preserve"> — it is </w:t>
      </w:r>
      <w:r>
        <w:rPr>
          <w:b/>
          <w:bCs/>
        </w:rPr>
        <w:t xml:space="preserve">never stored in the row hash</w:t>
      </w:r>
      <w:r>
        <w:t xml:space="preserve"> and never changes parsing, activity values, ageing, or dedup. It is recomputed at read time for every record, exactly like live ageing. Editing a manual pin never alters qty/activity/ageing.</w:t>
      </w:r>
    </w:p>
    <w:p>
      <w:pPr>
        <w:spacing w:after="60" w:before="60"/>
      </w:pPr>
      <w:r>
        <w:t xml:space="preserve">Two database tables hold user-editable configuration: </w:t>
      </w:r>
      <w:r>
        <w:rPr>
          <w:b/>
          <w:bCs/>
        </w:rPr>
        <w:t xml:space="preserve">rsj_thickness</w:t>
      </w:r>
      <w:r>
        <w:t xml:space="preserve"> (lookup table for NTLT/RSJ pole sections) and </w:t>
      </w:r>
      <w:r>
        <w:rPr>
          <w:b/>
          <w:bCs/>
        </w:rPr>
        <w:t xml:space="preserve">manual_thickness</w:t>
      </w:r>
      <w:r>
        <w:t xml:space="preserve"> (per-mark overrides for any mark). Both are read during every </w:t>
      </w:r>
      <w:r>
        <w:rPr>
          <w:rFonts w:ascii="Courier New" w:cs="Courier New" w:eastAsia="Courier New" w:hAnsi="Courier New"/>
          <w:sz w:val="18"/>
          <w:szCs w:val="18"/>
        </w:rPr>
        <w:t xml:space="preserve">/imports/{id}/records</w:t>
      </w:r>
      <w:r>
        <w:t xml:space="preserve"> request and applied live.</w:t>
      </w:r>
    </w:p>
    <w:p>
      <w:pPr>
        <w:spacing w:after="60" w:before="60"/>
      </w:pPr>
      <w:r>
        <w:t xml:space="preserve">The resolution result includes two fields per record: </w:t>
      </w:r>
      <w:r>
        <w:rPr>
          <w:b/>
          <w:bCs/>
        </w:rPr>
        <w:t xml:space="preserve">thicknessMm</w:t>
      </w:r>
      <w:r>
        <w:t xml:space="preserve"> (numeric mm value, or null) and </w:t>
      </w:r>
      <w:r>
        <w:rPr>
          <w:b/>
          <w:bCs/>
        </w:rPr>
        <w:t xml:space="preserve">thicknessSource</w:t>
      </w:r>
      <w:r>
        <w:t xml:space="preserve"> (one of seven labels indicating how the value was derived, shown on the Thickness page).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C3E50"/>
        </w:rPr>
      </w:pPr>
      <w:r>
        <w:t xml:space="preserve">2. Mark Category Model (prerequisite)</w:t>
      </w:r>
    </w:p>
    <w:p>
      <w:pPr>
        <w:spacing w:after="60" w:before="60"/>
      </w:pPr>
      <w:r>
        <w:t xml:space="preserve">Thickness resolution depends on a mark's category, which is derived from the Excel column 'Order Nature' (Col C) during parsing. The three active categories are: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TLT  —  Order Nature = "STRUCTURE"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NTLT/RSJ  —  Order Nature = "RSJ POLE"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NTLT/EARTHING  —  Order Nature = "EARTHING"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NTLT/GENERAL  —  Order Nature = "GENERAL"</w:t>
      </w:r>
    </w:p>
    <w:p>
      <w:pPr>
        <w:spacing w:after="60" w:before="60"/>
      </w:pPr>
      <w:r>
        <w:t xml:space="preserve">Category is </w:t>
      </w:r>
      <w:r>
        <w:rPr>
          <w:b/>
          <w:bCs/>
        </w:rPr>
        <w:t xml:space="preserve">not part of the row hash</w:t>
      </w:r>
      <w:r>
        <w:t xml:space="preserve"> — it is derived and stored separately. The thickness resolver reads </w:t>
      </w:r>
      <w:r>
        <w:rPr>
          <w:rFonts w:ascii="Courier New" w:cs="Courier New" w:eastAsia="Courier New" w:hAnsi="Courier New"/>
          <w:sz w:val="18"/>
          <w:szCs w:val="18"/>
        </w:rPr>
        <w:t xml:space="preserve">category</w:t>
      </w:r>
      <w:r>
        <w:t xml:space="preserve"> + </w:t>
      </w:r>
      <w:r>
        <w:rPr>
          <w:rFonts w:ascii="Courier New" w:cs="Courier New" w:eastAsia="Courier New" w:hAnsi="Courier New"/>
          <w:sz w:val="18"/>
          <w:szCs w:val="18"/>
        </w:rPr>
        <w:t xml:space="preserve">ntltSubtype</w:t>
      </w:r>
      <w:r>
        <w:t xml:space="preserve"> from the record to pick the right resolution path.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C3E50"/>
        </w:rPr>
      </w:pPr>
      <w:r>
        <w:t xml:space="preserve">3. Resolution Priority (7 levels)</w:t>
      </w:r>
    </w:p>
    <w:p>
      <w:pPr>
        <w:spacing w:after="60" w:before="60"/>
      </w:pPr>
      <w:r>
        <w:t xml:space="preserve">The resolver (</w:t>
      </w:r>
      <w:r>
        <w:rPr>
          <w:rFonts w:ascii="Courier New" w:cs="Courier New" w:eastAsia="Courier New" w:hAnsi="Courier New"/>
          <w:sz w:val="18"/>
          <w:szCs w:val="18"/>
        </w:rPr>
        <w:t xml:space="preserve">resolveThickness()</w:t>
      </w:r>
      <w:r>
        <w:t xml:space="preserve"> in </w:t>
      </w:r>
      <w:r>
        <w:rPr>
          <w:rFonts w:ascii="Courier New" w:cs="Courier New" w:eastAsia="Courier New" w:hAnsi="Courier New"/>
          <w:sz w:val="18"/>
          <w:szCs w:val="18"/>
        </w:rPr>
        <w:t xml:space="preserve">lib/domain/src/index.ts</w:t>
      </w:r>
      <w:r>
        <w:t xml:space="preserve">) checks sources in strict priority order. The first match wins; lower levels are only reached when the higher one cannot produce a value.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pct" w:w="20%"/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pct" w:w="20%"/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Applies to</w:t>
            </w:r>
          </w:p>
        </w:tc>
        <w:tc>
          <w:tcPr>
            <w:tcW w:type="pct" w:w="20%"/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used</w:t>
            </w:r>
          </w:p>
        </w:tc>
        <w:tc>
          <w:tcPr>
            <w:tcW w:type="pct" w:w="20%"/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 label</w:t>
            </w:r>
          </w:p>
        </w:tc>
      </w:tr>
      <w:tr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1 (highest)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Manual pin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Any mark (any category)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mark_id (survives re-imports)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"manual"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Section — Angle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TLT + NTLT/EARTHING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Last dim of A×B×C string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"tlt_angle"</w:t>
            </w:r>
          </w:p>
        </w:tc>
      </w:tr>
      <w:tr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Section — Plate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TLT + NTLT/EARTHING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Number in "PLATE N MM"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"tlt_plate"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RSJ exact table match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NTLT/RSJ only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Cleaned RSJ groupKey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"rsj_exact"</w:t>
            </w:r>
          </w:p>
        </w:tc>
      </w:tr>
      <w:tr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RSJ base match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NTLT/RSJ only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First two dims (RSJ A×B)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"rsj_base"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RSJ default (6.0 mm)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NTLT/RSJ only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Fallback constant</w:t>
            </w:r>
          </w:p>
        </w:tc>
        <w:tc>
          <w:tcPr>
            <w:tcW w:type="pct" w:w="20%"/>
            <w:shd w:fill="FFFFFF" w:val="clear"/>
          </w:tcPr>
          <w:p>
            <w:pPr>
              <w:jc w:val="left"/>
            </w:pPr>
            <w:r>
              <w:t xml:space="preserve">"rsj_default"</w:t>
            </w:r>
          </w:p>
        </w:tc>
      </w:tr>
      <w:tr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7 (lowest)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Unset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NTLT/GENERAL + unparseable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pct" w:w="20%"/>
            <w:shd w:fill="F2F2F2" w:val="clear"/>
          </w:tcPr>
          <w:p>
            <w:pPr>
              <w:jc w:val="left"/>
            </w:pPr>
            <w:r>
              <w:t xml:space="preserve">"unset"</w:t>
            </w:r>
          </w:p>
        </w:tc>
      </w:tr>
    </w:tbl>
    <w:p>
      <w:pPr>
        <w:spacing w:before="120"/>
      </w:pPr>
    </w:p>
    <w:p>
      <w:pPr>
        <w:pBdr>
          <w:bottom w:val="single" w:color="D0D0D0" w:sz="6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C3E50"/>
        </w:rPr>
      </w:pPr>
      <w:r>
        <w:t xml:space="preserve">4. Resolution Paths — Step by Step</w:t>
      </w:r>
    </w:p>
    <w:p>
      <w:pPr>
        <w:pStyle w:val="Heading2"/>
        <w:spacing w:after="80" w:before="240"/>
      </w:pPr>
      <w:r>
        <w:t xml:space="preserve">4.1  Manual Pin (Priority 1 — any category)</w:t>
      </w:r>
    </w:p>
    <w:p>
      <w:pPr>
        <w:spacing w:after="60" w:before="60"/>
      </w:pPr>
      <w:r>
        <w:t xml:space="preserve">Before category is even consulted, the resolver checks whether a manual pin exists in the </w:t>
      </w:r>
      <w:r>
        <w:rPr>
          <w:rFonts w:ascii="Courier New" w:cs="Courier New" w:eastAsia="Courier New" w:hAnsi="Courier New"/>
          <w:sz w:val="18"/>
          <w:szCs w:val="18"/>
        </w:rPr>
        <w:t xml:space="preserve">manual_thickness</w:t>
      </w:r>
      <w:r>
        <w:t xml:space="preserve"> table for this </w:t>
      </w:r>
      <w:r>
        <w:rPr>
          <w:rFonts w:ascii="Courier New" w:cs="Courier New" w:eastAsia="Courier New" w:hAnsi="Courier New"/>
          <w:sz w:val="18"/>
          <w:szCs w:val="18"/>
        </w:rPr>
        <w:t xml:space="preserve">mark_id</w:t>
      </w:r>
      <w:r>
        <w:t xml:space="preserve">. If a positive, finite value is found it is returned immediately as </w:t>
      </w:r>
      <w:r>
        <w:rPr>
          <w:rFonts w:ascii="Courier New" w:cs="Courier New" w:eastAsia="Courier New" w:hAnsi="Courier New"/>
          <w:sz w:val="18"/>
          <w:szCs w:val="18"/>
        </w:rPr>
        <w:t xml:space="preserve">"manual"</w:t>
      </w:r>
      <w:r>
        <w:t xml:space="preserve">. Manual pins survive re-imports because they are keyed to the permanent </w:t>
      </w:r>
      <w:r>
        <w:rPr>
          <w:rFonts w:ascii="Courier New" w:cs="Courier New" w:eastAsia="Courier New" w:hAnsi="Courier New"/>
          <w:sz w:val="18"/>
          <w:szCs w:val="18"/>
        </w:rPr>
        <w:t xml:space="preserve">mark_id</w:t>
      </w:r>
      <w:r>
        <w:t xml:space="preserve"> rather than an import ID.</w:t>
      </w:r>
    </w:p>
    <w:p>
      <w:pPr>
        <w:spacing w:after="60" w:before="60"/>
      </w:pPr>
      <w:r>
        <w:rPr>
          <w:b/>
          <w:bCs/>
        </w:rPr>
        <w:t xml:space="preserve">Who sets it: </w:t>
      </w:r>
      <w:r>
        <w:t xml:space="preserve">A logged-in user on the Thickness page, or directly via PUT /manual-thickness.</w:t>
      </w:r>
    </w:p>
    <w:p>
      <w:pPr>
        <w:pStyle w:val="Heading2"/>
        <w:spacing w:after="80" w:before="240"/>
      </w:pPr>
      <w:r>
        <w:t xml:space="preserve">4.2  TLT (Structure marks)  —  Section-derived</w:t>
      </w:r>
    </w:p>
    <w:p>
      <w:pPr>
        <w:spacing w:after="60" w:before="60"/>
      </w:pPr>
      <w:r>
        <w:t xml:space="preserve">For TLT marks the thickness is read from the </w:t>
      </w:r>
      <w:r>
        <w:rPr>
          <w:b/>
          <w:bCs/>
        </w:rPr>
        <w:t xml:space="preserve">Section column</w:t>
      </w:r>
      <w:r>
        <w:t xml:space="preserve"> of the Excel row. Two patterns are tried in order:</w:t>
      </w:r>
    </w:p>
    <w:p>
      <w:pPr>
        <w:pStyle w:val="ListParagraph"/>
        <w:numPr>
          <w:ilvl w:val="0"/>
          <w:numId w:val="1"/>
        </w:numPr>
        <w:spacing w:after="40" w:before="40"/>
      </w:pPr>
      <w:r/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Angle  (source: </w:t>
      </w:r>
      <w:r>
        <w:rPr>
          <w:rFonts w:ascii="Courier New" w:cs="Courier New" w:eastAsia="Courier New" w:hAnsi="Courier New"/>
          <w:sz w:val="18"/>
          <w:szCs w:val="18"/>
        </w:rPr>
        <w:t xml:space="preserve">tlt_angle</w:t>
      </w:r>
      <w:r>
        <w:rPr>
          <w:b/>
          <w:bCs/>
        </w:rPr>
        <w:t xml:space="preserve">)</w:t>
      </w:r>
      <w:r>
        <w:t xml:space="preserve">  —  Pattern </w:t>
      </w:r>
      <w:r>
        <w:rPr>
          <w:rFonts w:ascii="Courier New" w:cs="Courier New" w:eastAsia="Courier New" w:hAnsi="Courier New"/>
          <w:sz w:val="18"/>
          <w:szCs w:val="18"/>
        </w:rPr>
        <w:t xml:space="preserve">A X B X C</w:t>
      </w:r>
      <w:r>
        <w:t xml:space="preserve">. The third number (C) is taken as the flange thickness in mm. Decimals are accepted. Example: "65X65X6" → 6 mm, "100X75X8.5" → 8.5 mm.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Plate  (source: </w:t>
      </w:r>
      <w:r>
        <w:rPr>
          <w:rFonts w:ascii="Courier New" w:cs="Courier New" w:eastAsia="Courier New" w:hAnsi="Courier New"/>
          <w:sz w:val="18"/>
          <w:szCs w:val="18"/>
        </w:rPr>
        <w:t xml:space="preserve">tlt_plate</w:t>
      </w:r>
      <w:r>
        <w:rPr>
          <w:b/>
          <w:bCs/>
        </w:rPr>
        <w:t xml:space="preserve">)</w:t>
      </w:r>
      <w:r>
        <w:t xml:space="preserve">  —  Pattern </w:t>
      </w:r>
      <w:r>
        <w:rPr>
          <w:rFonts w:ascii="Courier New" w:cs="Courier New" w:eastAsia="Courier New" w:hAnsi="Courier New"/>
          <w:sz w:val="18"/>
          <w:szCs w:val="18"/>
        </w:rPr>
        <w:t xml:space="preserve">PLATE N MM</w:t>
      </w:r>
      <w:r>
        <w:t xml:space="preserve"> (case-insensitive). N is the plate thickness. Example: "PLATE 10 MM" → 10 mm.</w:t>
      </w:r>
    </w:p>
    <w:p>
      <w:pPr>
        <w:spacing w:after="60" w:before="60"/>
      </w:pPr>
      <w:r>
        <w:t xml:space="preserve">If neither pattern matches → thicknessMm = null, source = "unset".</w:t>
      </w:r>
    </w:p>
    <w:p>
      <w:pPr>
        <w:pStyle w:val="Heading2"/>
        <w:spacing w:after="80" w:before="240"/>
      </w:pPr>
      <w:r>
        <w:t xml:space="preserve">4.3  NTLT/EARTHING  —  Same as TLT (Section-derived)</w:t>
      </w:r>
    </w:p>
    <w:p>
      <w:pPr>
        <w:spacing w:after="60" w:before="60"/>
      </w:pPr>
      <w:r>
        <w:t xml:space="preserve">Earthing marks follow exactly the same two-step section parse as TLT (angle → plate → unset). No RSJ lookup is involved.</w:t>
      </w:r>
    </w:p>
    <w:p>
      <w:pPr>
        <w:pStyle w:val="Heading2"/>
        <w:spacing w:after="80" w:before="240"/>
      </w:pPr>
      <w:r>
        <w:t xml:space="preserve">4.4  NTLT/RSJ (RSJ Pole marks)  —  Three-level lookup</w:t>
      </w:r>
    </w:p>
    <w:p>
      <w:pPr>
        <w:spacing w:after="60" w:before="60"/>
      </w:pPr>
      <w:r>
        <w:t xml:space="preserve">RSJ marks do NOT use the section column for thickness. Instead they use the </w:t>
      </w:r>
      <w:r>
        <w:rPr>
          <w:b/>
          <w:bCs/>
        </w:rPr>
        <w:t xml:space="preserve">RSJ group key</w:t>
      </w:r>
      <w:r>
        <w:t xml:space="preserve"> — a cleaned, uppercased "RSJ A×B×C" string derived from the Section column during parsing. The resolver runs three sub-steps:</w:t>
      </w:r>
    </w:p>
    <w:p>
      <w:pPr>
        <w:pStyle w:val="Heading3"/>
        <w:spacing w:after="60" w:before="160"/>
      </w:pPr>
      <w:r>
        <w:t xml:space="preserve">Step 1 — Exact match  (source: "rsj_exact")</w:t>
      </w:r>
    </w:p>
    <w:p>
      <w:pPr>
        <w:spacing w:after="60" w:before="60"/>
      </w:pPr>
      <w:r>
        <w:t xml:space="preserve">The cleaned group key is looked up directly in the </w:t>
      </w:r>
      <w:r>
        <w:rPr>
          <w:rFonts w:ascii="Courier New" w:cs="Courier New" w:eastAsia="Courier New" w:hAnsi="Courier New"/>
          <w:sz w:val="18"/>
          <w:szCs w:val="18"/>
        </w:rPr>
        <w:t xml:space="preserve">rsj_thickness</w:t>
      </w:r>
      <w:r>
        <w:t xml:space="preserve"> database table. If a row exists with a positive value, that value is used. Example: group key </w:t>
      </w:r>
      <w:r>
        <w:rPr>
          <w:rFonts w:ascii="Courier New" w:cs="Courier New" w:eastAsia="Courier New" w:hAnsi="Courier New"/>
          <w:sz w:val="18"/>
          <w:szCs w:val="18"/>
        </w:rPr>
        <w:t xml:space="preserve">RSJ 203X203X16</w:t>
      </w:r>
      <w:r>
        <w:t xml:space="preserve"> → 7.6 mm.</w:t>
      </w:r>
    </w:p>
    <w:p>
      <w:pPr>
        <w:pStyle w:val="Heading3"/>
        <w:spacing w:after="60" w:before="160"/>
      </w:pPr>
      <w:r>
        <w:t xml:space="preserve">Step 2 — Base match  (source: "rsj_base")</w:t>
      </w:r>
    </w:p>
    <w:p>
      <w:pPr>
        <w:spacing w:after="60" w:before="60"/>
      </w:pPr>
      <w:r>
        <w:t xml:space="preserve">If no exact row exists, the resolver strips the third dimension and looks for any </w:t>
      </w:r>
      <w:r>
        <w:rPr>
          <w:rFonts w:ascii="Courier New" w:cs="Courier New" w:eastAsia="Courier New" w:hAnsi="Courier New"/>
          <w:sz w:val="18"/>
          <w:szCs w:val="18"/>
        </w:rPr>
        <w:t xml:space="preserve">rsj_thickness</w:t>
      </w:r>
      <w:r>
        <w:t xml:space="preserve"> row whose first two dims match (e.g. </w:t>
      </w:r>
      <w:r>
        <w:rPr>
          <w:rFonts w:ascii="Courier New" w:cs="Courier New" w:eastAsia="Courier New" w:hAnsi="Courier New"/>
          <w:sz w:val="18"/>
          <w:szCs w:val="18"/>
        </w:rPr>
        <w:t xml:space="preserve">RSJ 203X203</w:t>
      </w:r>
      <w:r>
        <w:t xml:space="preserve">). A base match is </w:t>
      </w:r>
      <w:r>
        <w:rPr>
          <w:b/>
          <w:bCs/>
        </w:rPr>
        <w:t xml:space="preserve">only accepted when all listed RSJ types sharing that base agree on one thickness</w:t>
      </w:r>
      <w:r>
        <w:t xml:space="preserve">. If two different thickness values exist for the same base pair, the base is flagged ambiguous and skipped (falls through to the default). Example: </w:t>
      </w:r>
      <w:r>
        <w:rPr>
          <w:rFonts w:ascii="Courier New" w:cs="Courier New" w:eastAsia="Courier New" w:hAnsi="Courier New"/>
          <w:sz w:val="18"/>
          <w:szCs w:val="18"/>
        </w:rPr>
        <w:t xml:space="preserve">RSJ 203X203X14</w:t>
      </w:r>
      <w:r>
        <w:t xml:space="preserve"> → inherited from </w:t>
      </w:r>
      <w:r>
        <w:rPr>
          <w:rFonts w:ascii="Courier New" w:cs="Courier New" w:eastAsia="Courier New" w:hAnsi="Courier New"/>
          <w:sz w:val="18"/>
          <w:szCs w:val="18"/>
        </w:rPr>
        <w:t xml:space="preserve">RSJ 203X203X16</w:t>
      </w:r>
      <w:r>
        <w:t xml:space="preserve"> if both share the same flange thickness.</w:t>
      </w:r>
    </w:p>
    <w:p>
      <w:pPr>
        <w:pStyle w:val="Heading3"/>
        <w:spacing w:after="60" w:before="160"/>
      </w:pPr>
      <w:r>
        <w:t xml:space="preserve">Step 3 — Default  (source: "rsj_default")</w:t>
      </w:r>
    </w:p>
    <w:p>
      <w:pPr>
        <w:spacing w:after="60" w:before="60"/>
      </w:pPr>
      <w:r>
        <w:t xml:space="preserve">If neither exact nor base match produces a value, the global RSJ fallback constant </w:t>
      </w:r>
      <w:r>
        <w:rPr>
          <w:b/>
          <w:bCs/>
        </w:rPr>
        <w:t xml:space="preserve">6.0 mm</w:t>
      </w:r>
      <w:r>
        <w:t xml:space="preserve"> is returned. This ensures RSJ marks always have a usable thickness even for unlisted types.</w:t>
      </w:r>
    </w:p>
    <w:p>
      <w:pPr>
        <w:pStyle w:val="Heading2"/>
        <w:spacing w:after="80" w:before="240"/>
      </w:pPr>
      <w:r>
        <w:t xml:space="preserve">4.5  NTLT/GENERAL  —  Manual only</w:t>
      </w:r>
    </w:p>
    <w:p>
      <w:pPr>
        <w:spacing w:after="60" w:before="60"/>
      </w:pPr>
      <w:r>
        <w:t xml:space="preserve">General marks have no parseable thickness pattern and are not RSJ types, so no automatic resolution is attempted. Their thickness remains </w:t>
      </w:r>
      <w:r>
        <w:rPr>
          <w:b/>
          <w:bCs/>
        </w:rPr>
        <w:t xml:space="preserve">null / "unset"</w:t>
      </w:r>
      <w:r>
        <w:t xml:space="preserve"> until a user manually pins a value on the Thickness page (which then applies at Priority 1).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C3E50"/>
        </w:rPr>
      </w:pPr>
      <w:r>
        <w:t xml:space="preserve">5. RSJ Group Key Cleaning  (parse time)</w:t>
      </w:r>
    </w:p>
    <w:p>
      <w:pPr>
        <w:spacing w:after="60" w:before="60"/>
      </w:pPr>
      <w:r>
        <w:t xml:space="preserve">When a row with Order Nature "RSJ POLE" is parsed, its Section column is cleaned into a stable </w:t>
      </w:r>
      <w:r>
        <w:rPr>
          <w:b/>
          <w:bCs/>
        </w:rPr>
        <w:t xml:space="preserve">group key</w:t>
      </w:r>
      <w:r>
        <w:t xml:space="preserve"> that becomes the lookup key for the RSJ thickness table. The cleaning steps are: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Strip bracketed remarks — removes "[...]" and "(...)" substrings.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Drop trailing unit/material tokens — removes MTRS, MTR, MM, KG, NOS, MS, etc.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Drop dangling separators — removes trailing " - " or "–".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Collapse whitespace and uppercase the result.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Prepend "RSJ " if the result doesn't already start with it.</w:t>
      </w:r>
    </w:p>
    <w:p>
      <w:pPr>
        <w:spacing w:after="60" w:before="60"/>
      </w:pPr>
      <w:r>
        <w:t xml:space="preserve">Example: </w:t>
      </w:r>
      <w:r>
        <w:rPr>
          <w:rFonts w:ascii="Courier New" w:cs="Courier New" w:eastAsia="Courier New" w:hAnsi="Courier New"/>
          <w:sz w:val="18"/>
          <w:szCs w:val="18"/>
        </w:rPr>
        <w:t xml:space="preserve">"rsj 203x203x16 - [37.1] ms"</w:t>
      </w:r>
      <w:r>
        <w:t xml:space="preserve">  →  </w:t>
      </w:r>
      <w:r>
        <w:rPr>
          <w:rFonts w:ascii="Courier New" w:cs="Courier New" w:eastAsia="Courier New" w:hAnsi="Courier New"/>
          <w:sz w:val="18"/>
          <w:szCs w:val="18"/>
        </w:rPr>
        <w:t xml:space="preserve">"RSJ 203X203X16"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C3E50"/>
        </w:rPr>
      </w:pPr>
      <w:r>
        <w:t xml:space="preserve">6. Pre-seeded RSJ Thickness Values</w:t>
      </w:r>
    </w:p>
    <w:p>
      <w:pPr>
        <w:spacing w:after="60" w:before="60"/>
      </w:pPr>
      <w:r>
        <w:t xml:space="preserve">Six RSJ types are seeded into the </w:t>
      </w:r>
      <w:r>
        <w:rPr>
          <w:rFonts w:ascii="Courier New" w:cs="Courier New" w:eastAsia="Courier New" w:hAnsi="Courier New"/>
          <w:sz w:val="18"/>
          <w:szCs w:val="18"/>
        </w:rPr>
        <w:t xml:space="preserve">rsj_thickness</w:t>
      </w:r>
      <w:r>
        <w:t xml:space="preserve"> table on application boot (using </w:t>
      </w:r>
      <w:r>
        <w:rPr>
          <w:rFonts w:ascii="Courier New" w:cs="Courier New" w:eastAsia="Courier New" w:hAnsi="Courier New"/>
          <w:sz w:val="18"/>
          <w:szCs w:val="18"/>
        </w:rPr>
        <w:t xml:space="preserve">onConflictDoNothing</w:t>
      </w:r>
      <w:r>
        <w:t xml:space="preserve">, so any in-app edit is preserved and re-seeding is a no-op):</w:t>
      </w:r>
    </w:p>
    <w:p>
      <w:pPr>
        <w:spacing w:before="12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RSJ Group Key (cleaned)</w:t>
            </w:r>
          </w:p>
        </w:tc>
        <w:tc>
          <w:tcPr>
            <w:tcW w:type="pct" w:w="30%"/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Thickness (mm)</w:t>
            </w:r>
          </w:p>
        </w:tc>
      </w:tr>
      <w:tr>
        <w:tc>
          <w:tcPr>
            <w:tcW w:type="pct" w:w="70%"/>
            <w:shd w:fill="F2F2F2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RSJ 203X203X16</w:t>
            </w:r>
          </w:p>
        </w:tc>
        <w:tc>
          <w:tcPr>
            <w:tcW w:type="pct" w:w="30%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7.6 mm</w:t>
            </w:r>
          </w:p>
        </w:tc>
      </w:tr>
      <w:tr>
        <w:tc>
          <w:tcPr>
            <w:tcW w:type="pct" w:w="70%"/>
            <w:shd w:fill="FFFFFF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RSJ 160X160X13</w:t>
            </w:r>
          </w:p>
        </w:tc>
        <w:tc>
          <w:tcPr>
            <w:tcW w:type="pct" w:w="30%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6.0 mm</w:t>
            </w:r>
          </w:p>
        </w:tc>
      </w:tr>
      <w:tr>
        <w:tc>
          <w:tcPr>
            <w:tcW w:type="pct" w:w="70%"/>
            <w:shd w:fill="F2F2F2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RSJ 152X152X15</w:t>
            </w:r>
          </w:p>
        </w:tc>
        <w:tc>
          <w:tcPr>
            <w:tcW w:type="pct" w:w="30%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7.9 mm</w:t>
            </w:r>
          </w:p>
        </w:tc>
      </w:tr>
      <w:tr>
        <w:tc>
          <w:tcPr>
            <w:tcW w:type="pct" w:w="70%"/>
            <w:shd w:fill="FFFFFF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RSJ 200X100X9</w:t>
            </w:r>
          </w:p>
        </w:tc>
        <w:tc>
          <w:tcPr>
            <w:tcW w:type="pct" w:w="30%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6.0 mm</w:t>
            </w:r>
          </w:p>
        </w:tc>
      </w:tr>
      <w:tr>
        <w:tc>
          <w:tcPr>
            <w:tcW w:type="pct" w:w="70%"/>
            <w:shd w:fill="F2F2F2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RSJ 100X116X10</w:t>
            </w:r>
          </w:p>
        </w:tc>
        <w:tc>
          <w:tcPr>
            <w:tcW w:type="pct" w:w="30%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6.0 mm</w:t>
            </w:r>
          </w:p>
        </w:tc>
      </w:tr>
      <w:tr>
        <w:tc>
          <w:tcPr>
            <w:tcW w:type="pct" w:w="70%"/>
            <w:shd w:fill="FFFFFF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RSJ 204X206X11</w:t>
            </w:r>
          </w:p>
        </w:tc>
        <w:tc>
          <w:tcPr>
            <w:tcW w:type="pct" w:w="30%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7.6 mm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t xml:space="preserve">All other RSJ types inherit by base match, or fall back to the 6.0 mm default. New types can be added on the Thickness page (auth-gated).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C3E50"/>
        </w:rPr>
      </w:pPr>
      <w:r>
        <w:t xml:space="preserve">7. Derived Attribute: Hole Operation (PUNCHING / DRILLING)</w:t>
      </w:r>
    </w:p>
    <w:p>
      <w:pPr>
        <w:spacing w:after="60" w:before="60"/>
      </w:pPr>
      <w:r>
        <w:t xml:space="preserve">In addition to thickness, the system derives </w:t>
      </w:r>
      <w:r>
        <w:rPr>
          <w:b/>
          <w:bCs/>
        </w:rPr>
        <w:t xml:space="preserve">holeOperation</w:t>
      </w:r>
      <w:r>
        <w:t xml:space="preserve"> for each mark from its Section column alone — it is completely independent of the thickness resolution cascade above. It is deterministic and never depends on manual pins or the RSJ lookup table.</w:t>
      </w:r>
    </w:p>
    <w:p>
      <w:pPr>
        <w:spacing w:after="60" w:before="60"/>
      </w:pPr>
      <w:r>
        <w:t xml:space="preserve">The cutoff is fixed at </w:t>
      </w:r>
      <w:r>
        <w:rPr>
          <w:b/>
          <w:bCs/>
        </w:rPr>
        <w:t xml:space="preserve">12 mm</w:t>
      </w:r>
      <w:r>
        <w:t xml:space="preserve">: thickness ≤ 12 mm → PUNCHING, thickness &gt; 12 mm → DRILLING.</w:t>
      </w:r>
    </w:p>
    <w:p>
      <w:pPr>
        <w:spacing w:before="120"/>
      </w:pP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Section Type</w:t>
            </w:r>
          </w:p>
        </w:tc>
        <w:tc>
          <w:tcPr>
            <w:tcW w:type="pct" w:w="50%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pct" w:w="25%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CHANNEL / BEAM / RSJ</w:t>
            </w:r>
          </w:p>
        </w:tc>
        <w:tc>
          <w:tcPr>
            <w:tcW w:type="pct" w:w="50%"/>
            <w:shd w:fill="F2F2F2" w:val="clear"/>
          </w:tcPr>
          <w:p>
            <w:r>
              <w:t xml:space="preserve">Always drilled (fixed rule)</w:t>
            </w:r>
          </w:p>
        </w:tc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DRILLING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rPr>
                <w:b/>
                <w:bCs/>
              </w:rPr>
              <w:t xml:space="preserve">ANGLE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Last dim of A×B×C ≤ 12 mm → punch, &gt; 12 mm → drill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b/>
                <w:bCs/>
              </w:rPr>
              <w:t xml:space="preserve">PUNCHING or DRILLING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PLATE</w:t>
            </w:r>
          </w:p>
        </w:tc>
        <w:tc>
          <w:tcPr>
            <w:tcW w:type="pct" w:w="50%"/>
            <w:shd w:fill="F2F2F2" w:val="clear"/>
          </w:tcPr>
          <w:p>
            <w:r>
              <w:t xml:space="preserve">"PLATE N MM" value ≤ 12 mm → punch, &gt; 12 mm → drill</w:t>
            </w:r>
          </w:p>
        </w:tc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PUNCHING or DRILLING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rPr>
                <w:b/>
                <w:bCs/>
              </w:rPr>
              <w:t xml:space="preserve">FLAT / PIPE / ROUND / GRATING / OTHER</w:t>
            </w:r>
          </w:p>
        </w:tc>
        <w:tc>
          <w:tcPr>
            <w:tcW w:type="pct" w:w="50%"/>
            <w:shd w:fill="FFFFFF" w:val="clear"/>
          </w:tcPr>
          <w:p>
            <w:r>
              <w:t xml:space="preserve">Not applicable for this calculation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b w:val="false"/>
                <w:bCs w:val="false"/>
              </w:rPr>
              <w:t xml:space="preserve">NOT_SET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ANGLE or PLATE (unparseable section)</w:t>
            </w:r>
          </w:p>
        </w:tc>
        <w:tc>
          <w:tcPr>
            <w:tcW w:type="pct" w:w="50%"/>
            <w:shd w:fill="F2F2F2" w:val="clear"/>
          </w:tcPr>
          <w:p>
            <w:r>
              <w:t xml:space="preserve">Cannot determine thickness from section text</w:t>
            </w:r>
          </w:p>
        </w:tc>
        <w:tc>
          <w:tcPr>
            <w:tcW w:type="pct" w:w="25%"/>
            <w:shd w:fill="F2F2F2" w:val="clear"/>
          </w:tcPr>
          <w:p>
            <w:r>
              <w:rPr>
                <w:b w:val="false"/>
                <w:bCs w:val="false"/>
              </w:rPr>
              <w:t xml:space="preserve">NOT_SET (flagged for review)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t xml:space="preserve">Section type detection order (for Hole Operation)</w:t>
      </w:r>
    </w:p>
    <w:p>
      <w:pPr>
        <w:spacing w:after="60" w:before="60"/>
      </w:pPr>
      <w:r>
        <w:t xml:space="preserve">The section string is uppercased and checked in this priority order: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PLATE — any section containing "PLATE" (catches "CHQ. PLATE"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RSJ — starts with "RSJ"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CHANNEL — contains "ISMC"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BEAM — contains "ISMB"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FLAT — starts with "FLAT"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PIPE — contains "PIPE"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ROUND — contains "ROUND"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GRATING — contains "GRATING"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ANGLE — matches pattern A?NNxNNxNN at the start of the string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OTHER — anything that doesn't match the above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C3E50"/>
        </w:rPr>
      </w:pPr>
      <w:r>
        <w:t xml:space="preserve">8. End-to-End Data Flow</w:t>
      </w:r>
    </w:p>
    <w:p>
      <w:pPr>
        <w:spacing w:after="60" w:before="60"/>
      </w:pPr>
      <w:r>
        <w:rPr>
          <w:b/>
          <w:bCs/>
        </w:rPr>
        <w:t xml:space="preserve">Parse time (upload):</w:t>
      </w:r>
      <w:r>
        <w:t xml:space="preserve">  Section column is parsed. For RSJ marks, the section is cleaned into a stable group key. Category + ntltSubtype are derived. Thickness is NOT computed or stored.</w:t>
      </w:r>
    </w:p>
    <w:p>
      <w:pPr>
        <w:spacing w:before="40"/>
      </w:pPr>
    </w:p>
    <w:p>
      <w:pPr>
        <w:spacing w:after="60" w:before="60"/>
      </w:pPr>
      <w:r>
        <w:rPr>
          <w:b/>
          <w:bCs/>
        </w:rPr>
        <w:t xml:space="preserve">Read time (/records request):</w:t>
      </w:r>
      <w:r>
        <w:t xml:space="preserve">  API loads both config tables from DB (rsj_thickness + manual_thickness). Builds the RSJ base index (ambiguous bases excluded). For each record, calls resolveThickness() and deriveHoleOperation(). Both results are sent to the client as part of the record JSON.</w:t>
      </w:r>
    </w:p>
    <w:p>
      <w:pPr>
        <w:spacing w:before="40"/>
      </w:pPr>
    </w:p>
    <w:p>
      <w:pPr>
        <w:spacing w:after="60" w:before="60"/>
      </w:pPr>
      <w:r>
        <w:rPr>
          <w:b/>
          <w:bCs/>
        </w:rPr>
        <w:t xml:space="preserve">Edit (Thickness page, auth-gated):</w:t>
      </w:r>
      <w:r>
        <w:t xml:space="preserve">  User can PUT to /rsj-thickness (add/update a type in the RSJ table) or PUT to /manual-thickness (pin a thickness to a specific mark_id). Both are immediate and reflected on the next /records fetch without re-uploading the Excel file.</w:t>
      </w:r>
    </w:p>
    <w:p>
      <w:pPr>
        <w:spacing w:before="40"/>
      </w:pPr>
    </w:p>
    <w:p>
      <w:pPr>
        <w:spacing w:after="60" w:before="60"/>
      </w:pPr>
      <w:r>
        <w:rPr>
          <w:b/>
          <w:bCs/>
        </w:rPr>
        <w:t xml:space="preserve">Delete:</w:t>
      </w:r>
      <w:r>
        <w:t xml:space="preserve">  DELETE /rsj-thickness?groupKey=... removes a type from the lookup table (next RSJ marks of that type fall back to base/default). DELETE /manual-thickness?markId=... removes a pin (mark reverts to auto-resolved thickness). Keys are passed as query parameters, not path segments, because mark IDs can contain backslashes and spaces.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1"/>
        <w:spacing w:after="120" w:before="320"/>
        <w:rPr>
          <w:b/>
          <w:bCs/>
          <w:color w:val="2C3E50"/>
        </w:rPr>
      </w:pPr>
      <w:r>
        <w:t xml:space="preserve">9. Key Invariants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Thickness is NEVER part of the row hash — editing it cannot change dedup identity or create duplicate records.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Thickness is NEVER stored on the record — it is always recomputed live, like ageing.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 manual pin survives re-imports because it is keyed to mark_id, not to an import ID.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 RSJ seed table uses onConflictDoNothing, so in-app edits are never overwritten on restart.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RSJ base match is only accepted when all listed types sharing the base agree on one thickness; ambiguous bases always fall through to the 6.0 mm default.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NTLT/GENERAL marks are manual-only — no automatic resolution is ever attempted.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Hole Operation (PUNCHING/DRILLING) is derived from the Section column alone, independent of manual pins and the RSJ lookup table; it uses the same 12 mm cutoff for Angle and Plate.</w:t>
      </w:r>
    </w:p>
    <w:p>
      <w:pPr>
        <w:pBdr>
          <w:bottom w:val="single" w:color="D0D0D0" w:sz="6"/>
        </w:pBdr>
        <w:spacing w:after="160" w:before="160"/>
      </w:pPr>
    </w:p>
    <w:p>
      <w:pPr>
        <w:spacing w:before="240"/>
        <w:jc w:val="center"/>
      </w:pPr>
      <w:r>
        <w:rPr>
          <w:color w:val="999999"/>
          <w:sz w:val="18"/>
          <w:szCs w:val="18"/>
        </w:rPr>
        <w:t xml:space="preserve">VTPL Balance &amp; Activity Tracker  —  Thickness Logic Reference  —  July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Thickness Calculation Logic</dc:title>
  <dc:creator>VTPL Balance &amp; Activity Tracker</dc:creator>
  <dc:description>Reference document for how section thickness and hole operation are resolved per mark.</dc:description>
  <cp:lastModifiedBy>Un-named</cp:lastModifiedBy>
  <cp:revision>1</cp:revision>
  <dcterms:created xsi:type="dcterms:W3CDTF">2026-07-17T13:14:42.020Z</dcterms:created>
  <dcterms:modified xsi:type="dcterms:W3CDTF">2026-07-17T13:14:42.021Z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