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rPr/>
        <w:t xml:space="preserve">P021 — SALES</w:t>
      </w:r>
    </w:p>
    <w:p>
      <w:pPr>
        <w:pStyle w:val="Subtitle"/>
      </w:pPr>
      <w:r>
        <w:rPr/>
        <w:t xml:space="preserve">How MRP reaches this app, and why codes have none</w:t>
      </w:r>
    </w:p>
    <w:p>
      <w:pPr/>
      <w:r>
        <w:rPr/>
        <w:t xml:space="preserve">Read-only investigation report · 18 September 2026</w:t>
      </w:r>
    </w:p>
    <w:p>
      <w:pPr/>
      <w:r>
        <w:rPr/>
        <w:t xml:space="preserve">App: SALES · prayag-sales.com · fonnjain/Prayag-Distributor-Ananlysis</w:t>
      </w:r>
    </w:p>
    <w:p>
      <w:pPr/>
      <w:r>
        <w:rPr>
          <w:b/>
        </w:rPr>
        <w:t xml:space="preserve">No commits, data changes, schema changes, resolver changes, or schedule changes were made.</w:t>
      </w:r>
    </w:p>
    <w:p>
      <w:pPr>
        <w:pStyle w:val="Heading1"/>
      </w:pPr>
      <w:r>
        <w:rPr/>
        <w:t xml:space="preserve">Executive conclusions</w:t>
      </w:r>
    </w:p>
    <w:p>
      <w:pPr>
        <w:pStyle w:val="ListBullet"/>
      </w:pPr>
      <w:r>
        <w:rPr/>
        <w:t xml:space="preserve">814 versus 870 is primarily a definition change. P008 counted codes unresolved after applying the SALES resolver; the 870 figure counted exact-code absences from the active MRP authority.</w:t>
      </w:r>
    </w:p>
    <w:p>
      <w:pPr>
        <w:pStyle w:val="ListBullet"/>
      </w:pPr>
      <w:r>
        <w:rPr/>
        <w:t xml:space="preserve">P008’s 54 transformed matches convert 814 resolver-unresolved codes into 868 exact-code gaps. The remaining movement to 870 is 2 codes and ₹11.25 lakh from the later sales snapshot.</w:t>
      </w:r>
    </w:p>
    <w:p>
      <w:pPr>
        <w:pStyle w:val="ListBullet"/>
      </w:pPr>
      <w:r>
        <w:rPr/>
        <w:t xml:space="preserve">The MRP refresh is no longer restart-only. Production schedules a run five minutes after startup and every 24 hours thereafter.</w:t>
      </w:r>
    </w:p>
    <w:p>
      <w:pPr>
        <w:pStyle w:val="ListBullet"/>
      </w:pPr>
      <w:r>
        <w:rPr/>
        <w:t xml:space="preserve">Failed refreshes retain the last good catalogue. The replacement generation is validated and activated transactionally.</w:t>
      </w:r>
    </w:p>
    <w:p>
      <w:pPr>
        <w:pStyle w:val="ListBullet"/>
      </w:pPr>
      <w:r>
        <w:rPr/>
        <w:t xml:space="preserve">The current 18 September SALES production feed contains 871 exact-code gaps worth ₹11,05,90,833.82.</w:t>
      </w:r>
    </w:p>
    <w:p>
      <w:pPr>
        <w:pStyle w:val="ListBullet"/>
      </w:pPr>
      <w:r>
        <w:rPr/>
        <w:t xml:space="preserve">None of the 871 raw codes exists identically in today’s Competition catalogue. Fifty-five resolve through existing formatting rules; 816 codes worth ₹9,49,25,358.94 remain unresolved.</w:t>
      </w:r>
    </w:p>
    <w:p>
      <w:pPr>
        <w:pStyle w:val="Heading1"/>
      </w:pPr>
      <w:r>
        <w:rPr/>
        <w:t xml:space="preserve">0. Count reconciliation</w:t>
      </w:r>
    </w:p>
    <w:p>
      <w:pPr>
        <w:pStyle w:val="Heading2"/>
      </w:pPr>
      <w:r>
        <w:rPr/>
        <w:t xml:space="preserve">814 versus 870</w:t>
      </w:r>
    </w:p>
    <w:tbl>
      <w:tblPr>
        <w:tblStyle w:val="TableGrid"/>
        <w:tblW w:w="0" w:type="auto"/>
        <w:tblLook w:val="04A0"/>
      </w:tblPr>
      <w:tr>
        <w:tc>
          <w:tcPr>
            <w:tcW w:w="2250" w:type="dxa"/>
            <w:shd w:fill="D9EAF7"/>
          </w:tcPr>
          <w:p>
            <w:pPr/>
            <w:r>
              <w:rPr>
                <w:b/>
              </w:rPr>
              <w:t xml:space="preserve">Component</w:t>
            </w:r>
          </w:p>
        </w:tc>
        <w:tc>
          <w:tcPr>
            <w:tcW w:w="2250" w:type="dxa"/>
            <w:shd w:fill="D9EAF7"/>
          </w:tcPr>
          <w:p>
            <w:pPr/>
            <w:r>
              <w:rPr>
                <w:b/>
              </w:rPr>
              <w:t xml:space="preserve">Codes</w:t>
            </w:r>
          </w:p>
        </w:tc>
        <w:tc>
          <w:tcPr>
            <w:tcW w:w="2250" w:type="dxa"/>
            <w:shd w:fill="D9EAF7"/>
          </w:tcPr>
          <w:p>
            <w:pPr/>
            <w:r>
              <w:rPr>
                <w:b/>
              </w:rPr>
              <w:t xml:space="preserve">Value</w:t>
            </w:r>
          </w:p>
        </w:tc>
        <w:tc>
          <w:tcPr>
            <w:tcW w:w="2250" w:type="dxa"/>
            <w:shd w:fill="D9EAF7"/>
          </w:tcPr>
          <w:p>
            <w:pPr/>
            <w:r>
              <w:rPr>
                <w:b/>
              </w:rPr>
              <w:t xml:space="preserve">Database or source</w:t>
            </w:r>
          </w:p>
        </w:tc>
      </w:tr>
      <w:tr>
        <w:tc>
          <w:tcPr>
            <w:tcW w:w="2250" w:type="dxa"/>
          </w:tcPr>
          <w:p>
            <w:pPr/>
            <w:r>
              <w:rPr/>
              <w:t xml:space="preserve">P008 resolver-unresolved</w:t>
            </w:r>
          </w:p>
        </w:tc>
        <w:tc>
          <w:tcPr>
            <w:tcW w:w="2250" w:type="dxa"/>
          </w:tcPr>
          <w:p>
            <w:pPr/>
            <w:r>
              <w:rPr/>
              <w:t xml:space="preserve">814</w:t>
            </w:r>
          </w:p>
        </w:tc>
        <w:tc>
          <w:tcPr>
            <w:tcW w:w="2250" w:type="dxa"/>
          </w:tcPr>
          <w:p>
            <w:pPr/>
            <w:r>
              <w:rPr/>
              <w:t xml:space="preserve">₹9,36,07,837.71</w:t>
            </w:r>
          </w:p>
        </w:tc>
        <w:tc>
          <w:tcPr>
            <w:tcW w:w="2250" w:type="dxa"/>
          </w:tcPr>
          <w:p>
            <w:pPr/>
            <w:r>
              <w:rPr/>
              <w:t xml:space="preserve">P008 report, 14 September 2026</w:t>
            </w:r>
          </w:p>
        </w:tc>
      </w:tr>
      <w:tr>
        <w:tc>
          <w:tcPr>
            <w:tcW w:w="2250" w:type="dxa"/>
          </w:tcPr>
          <w:p>
            <w:pPr/>
            <w:r>
              <w:rPr/>
              <w:t xml:space="preserve">Leading-P resolutions excluded by P008</w:t>
            </w:r>
          </w:p>
        </w:tc>
        <w:tc>
          <w:tcPr>
            <w:tcW w:w="2250" w:type="dxa"/>
          </w:tcPr>
          <w:p>
            <w:pPr/>
            <w:r>
              <w:rPr/>
              <w:t xml:space="preserve">19</w:t>
            </w:r>
          </w:p>
        </w:tc>
        <w:tc>
          <w:tcPr>
            <w:tcW w:w="2250" w:type="dxa"/>
          </w:tcPr>
          <w:p>
            <w:pPr/>
            <w:r>
              <w:rPr/>
              <w:t xml:space="preserve">₹72,80,208.83</w:t>
            </w:r>
          </w:p>
        </w:tc>
        <w:tc>
          <w:tcPr>
            <w:tcW w:w="2250" w:type="dxa"/>
          </w:tcPr>
          <w:p>
            <w:pPr/>
            <w:r>
              <w:rPr/>
              <w:t xml:space="preserve">P008 report</w:t>
            </w:r>
          </w:p>
        </w:tc>
      </w:tr>
      <w:tr>
        <w:tc>
          <w:tcPr>
            <w:tcW w:w="2250" w:type="dxa"/>
          </w:tcPr>
          <w:p>
            <w:pPr/>
            <w:r>
              <w:rPr/>
              <w:t xml:space="preserve">Colour-suffix resolutions excluded by P008</w:t>
            </w:r>
          </w:p>
        </w:tc>
        <w:tc>
          <w:tcPr>
            <w:tcW w:w="2250" w:type="dxa"/>
          </w:tcPr>
          <w:p>
            <w:pPr/>
            <w:r>
              <w:rPr/>
              <w:t xml:space="preserve">23</w:t>
            </w:r>
          </w:p>
        </w:tc>
        <w:tc>
          <w:tcPr>
            <w:tcW w:w="2250" w:type="dxa"/>
          </w:tcPr>
          <w:p>
            <w:pPr/>
            <w:r>
              <w:rPr/>
              <w:t xml:space="preserve">₹28,74,964.49</w:t>
            </w:r>
          </w:p>
        </w:tc>
        <w:tc>
          <w:tcPr>
            <w:tcW w:w="2250" w:type="dxa"/>
          </w:tcPr>
          <w:p>
            <w:pPr/>
            <w:r>
              <w:rPr/>
              <w:t xml:space="preserve">P008 report</w:t>
            </w:r>
          </w:p>
        </w:tc>
      </w:tr>
      <w:tr>
        <w:tc>
          <w:tcPr>
            <w:tcW w:w="2250" w:type="dxa"/>
          </w:tcPr>
          <w:p>
            <w:pPr/>
            <w:r>
              <w:rPr/>
              <w:t xml:space="preserve">Whitespace resolutions excluded by P008</w:t>
            </w:r>
          </w:p>
        </w:tc>
        <w:tc>
          <w:tcPr>
            <w:tcW w:w="2250" w:type="dxa"/>
          </w:tcPr>
          <w:p>
            <w:pPr/>
            <w:r>
              <w:rPr/>
              <w:t xml:space="preserve">4</w:t>
            </w:r>
          </w:p>
        </w:tc>
        <w:tc>
          <w:tcPr>
            <w:tcW w:w="2250" w:type="dxa"/>
          </w:tcPr>
          <w:p>
            <w:pPr/>
            <w:r>
              <w:rPr/>
              <w:t xml:space="preserve">₹37,627.00</w:t>
            </w:r>
          </w:p>
        </w:tc>
        <w:tc>
          <w:tcPr>
            <w:tcW w:w="2250" w:type="dxa"/>
          </w:tcPr>
          <w:p>
            <w:pPr/>
            <w:r>
              <w:rPr/>
              <w:t xml:space="preserve">P008 report</w:t>
            </w:r>
          </w:p>
        </w:tc>
      </w:tr>
      <w:tr>
        <w:tc>
          <w:tcPr>
            <w:tcW w:w="2250" w:type="dxa"/>
          </w:tcPr>
          <w:p>
            <w:pPr/>
            <w:r>
              <w:rPr/>
              <w:t xml:space="preserve">Hyphen resolutions excluded by P008</w:t>
            </w:r>
          </w:p>
        </w:tc>
        <w:tc>
          <w:tcPr>
            <w:tcW w:w="2250" w:type="dxa"/>
          </w:tcPr>
          <w:p>
            <w:pPr/>
            <w:r>
              <w:rPr/>
              <w:t xml:space="preserve">8</w:t>
            </w:r>
          </w:p>
        </w:tc>
        <w:tc>
          <w:tcPr>
            <w:tcW w:w="2250" w:type="dxa"/>
          </w:tcPr>
          <w:p>
            <w:pPr/>
            <w:r>
              <w:rPr/>
              <w:t xml:space="preserve">₹54,17,245.56</w:t>
            </w:r>
          </w:p>
        </w:tc>
        <w:tc>
          <w:tcPr>
            <w:tcW w:w="2250" w:type="dxa"/>
          </w:tcPr>
          <w:p>
            <w:pPr/>
            <w:r>
              <w:rPr/>
              <w:t xml:space="preserve">P008 report</w:t>
            </w:r>
          </w:p>
        </w:tc>
      </w:tr>
      <w:tr>
        <w:tc>
          <w:tcPr>
            <w:tcW w:w="2250" w:type="dxa"/>
          </w:tcPr>
          <w:p>
            <w:pPr/>
            <w:r>
              <w:rPr/>
              <w:t xml:space="preserve">P008 population on exact-code basis</w:t>
            </w:r>
          </w:p>
        </w:tc>
        <w:tc>
          <w:tcPr>
            <w:tcW w:w="2250" w:type="dxa"/>
          </w:tcPr>
          <w:p>
            <w:pPr/>
            <w:r>
              <w:rPr/>
              <w:t xml:space="preserve">868</w:t>
            </w:r>
          </w:p>
        </w:tc>
        <w:tc>
          <w:tcPr>
            <w:tcW w:w="2250" w:type="dxa"/>
          </w:tcPr>
          <w:p>
            <w:pPr/>
            <w:r>
              <w:rPr/>
              <w:t xml:space="preserve">₹10,92,17,883.59</w:t>
            </w:r>
          </w:p>
        </w:tc>
        <w:tc>
          <w:tcPr>
            <w:tcW w:w="2250" w:type="dxa"/>
          </w:tcPr>
          <w:p>
            <w:pPr/>
            <w:r>
              <w:rPr/>
              <w:t xml:space="preserve">Arithmetic from P008</w:t>
            </w:r>
          </w:p>
        </w:tc>
      </w:tr>
      <w:tr>
        <w:tc>
          <w:tcPr>
            <w:tcW w:w="2250" w:type="dxa"/>
          </w:tcPr>
          <w:p>
            <w:pPr/>
            <w:r>
              <w:rPr/>
              <w:t xml:space="preserve">Later movement to 17 September</w:t>
            </w:r>
          </w:p>
        </w:tc>
        <w:tc>
          <w:tcPr>
            <w:tcW w:w="2250" w:type="dxa"/>
          </w:tcPr>
          <w:p>
            <w:pPr/>
            <w:r>
              <w:rPr/>
              <w:t xml:space="preserve">+2</w:t>
            </w:r>
          </w:p>
        </w:tc>
        <w:tc>
          <w:tcPr>
            <w:tcW w:w="2250" w:type="dxa"/>
          </w:tcPr>
          <w:p>
            <w:pPr/>
            <w:r>
              <w:rPr/>
              <w:t xml:space="preserve">+₹11,24,554.00</w:t>
            </w:r>
          </w:p>
        </w:tc>
        <w:tc>
          <w:tcPr>
            <w:tcW w:w="2250" w:type="dxa"/>
          </w:tcPr>
          <w:p>
            <w:pPr/>
            <w:r>
              <w:rPr/>
              <w:t xml:space="preserve">Difference to SALES production snapshot</w:t>
            </w:r>
          </w:p>
        </w:tc>
      </w:tr>
      <w:tr>
        <w:tc>
          <w:tcPr>
            <w:tcW w:w="2250" w:type="dxa"/>
          </w:tcPr>
          <w:p>
            <w:pPr/>
            <w:r>
              <w:rPr/>
              <w:t xml:space="preserve">P021 exact-code population</w:t>
            </w:r>
          </w:p>
        </w:tc>
        <w:tc>
          <w:tcPr>
            <w:tcW w:w="2250" w:type="dxa"/>
          </w:tcPr>
          <w:p>
            <w:pPr/>
            <w:r>
              <w:rPr/>
              <w:t xml:space="preserve">870</w:t>
            </w:r>
          </w:p>
        </w:tc>
        <w:tc>
          <w:tcPr>
            <w:tcW w:w="2250" w:type="dxa"/>
          </w:tcPr>
          <w:p>
            <w:pPr/>
            <w:r>
              <w:rPr/>
              <w:t xml:space="preserve">₹11,03,42,437.59</w:t>
            </w:r>
          </w:p>
        </w:tc>
        <w:tc>
          <w:tcPr>
            <w:tcW w:w="2250" w:type="dxa"/>
          </w:tcPr>
          <w:p>
            <w:pPr/>
            <w:r>
              <w:rPr/>
              <w:t xml:space="preserve">SALES production sale_line_current through 17 September</w:t>
            </w:r>
          </w:p>
        </w:tc>
      </w:tr>
    </w:tbl>
    <w:p>
      <w:pPr/>
      <w:r>
        <w:rPr/>
        <w:t xml:space="preserve">Of the 56-code headline difference, 54 codes / ₹1,56,10,045.88 result from comparing an exact-code measure with a resolver-aware measure. Only 2 codes / ₹11,24,554.00 remain as later-period movement.</w:t>
      </w:r>
    </w:p>
    <w:p>
      <w:pPr>
        <w:pStyle w:val="Heading2"/>
      </w:pPr>
      <w:r>
        <w:rPr/>
        <w:t xml:space="preserve">Current 18 September movement</w:t>
      </w:r>
    </w:p>
    <w:p>
      <w:pPr/>
      <w:r>
        <w:rPr/>
        <w:t xml:space="preserve">The SALES production external API now reports 871 codes / ₹11,05,90,833.82, which is 1 code / ₹2,48,396.23 above the retained 17 September P021 snapshot. Source: SALES production neondb, /api/external/sales-by-item, read at 2026-09-18T06:50:05.948Z. September is provisional.</w:t>
      </w:r>
    </w:p>
    <w:p>
      <w:pPr>
        <w:pStyle w:val="Heading2"/>
      </w:pPr>
      <w:r>
        <w:rPr/>
        <w:t xml:space="preserve">WCT ₹1.18 Cr versus ₹1.22 Cr</w:t>
      </w:r>
    </w:p>
    <w:tbl>
      <w:tblPr>
        <w:tblStyle w:val="TableGrid"/>
        <w:tblW w:w="0" w:type="auto"/>
        <w:tblLook w:val="04A0"/>
      </w:tblPr>
      <w:tr>
        <w:tc>
          <w:tcPr>
            <w:tcW w:w="3000" w:type="dxa"/>
            <w:shd w:fill="D9EAF7"/>
          </w:tcPr>
          <w:p>
            <w:pPr/>
            <w:r>
              <w:rPr>
                <w:b/>
              </w:rPr>
              <w:t xml:space="preserve">Snapshot</w:t>
            </w:r>
          </w:p>
        </w:tc>
        <w:tc>
          <w:tcPr>
            <w:tcW w:w="3000" w:type="dxa"/>
            <w:shd w:fill="D9EAF7"/>
          </w:tcPr>
          <w:p>
            <w:pPr/>
            <w:r>
              <w:rPr>
                <w:b/>
              </w:rPr>
              <w:t xml:space="preserve">Three-code WCT value</w:t>
            </w:r>
          </w:p>
        </w:tc>
        <w:tc>
          <w:tcPr>
            <w:tcW w:w="3000" w:type="dxa"/>
            <w:shd w:fill="D9EAF7"/>
          </w:tcPr>
          <w:p>
            <w:pPr/>
            <w:r>
              <w:rPr>
                <w:b/>
              </w:rPr>
              <w:t xml:space="preserve">Database or source</w:t>
            </w:r>
          </w:p>
        </w:tc>
      </w:tr>
      <w:tr>
        <w:tc>
          <w:tcPr>
            <w:tcW w:w="3000" w:type="dxa"/>
          </w:tcPr>
          <w:p>
            <w:pPr/>
            <w:r>
              <w:rPr/>
              <w:t xml:space="preserve">P008</w:t>
            </w:r>
          </w:p>
        </w:tc>
        <w:tc>
          <w:tcPr>
            <w:tcW w:w="3000" w:type="dxa"/>
          </w:tcPr>
          <w:p>
            <w:pPr/>
            <w:r>
              <w:rPr/>
              <w:t xml:space="preserve">₹1,17,72,871.03 (₹1.18 Cr rounded)</w:t>
            </w:r>
          </w:p>
        </w:tc>
        <w:tc>
          <w:tcPr>
            <w:tcW w:w="3000" w:type="dxa"/>
          </w:tcPr>
          <w:p>
            <w:pPr/>
            <w:r>
              <w:rPr/>
              <w:t xml:space="preserve">P008 report</w:t>
            </w:r>
          </w:p>
        </w:tc>
      </w:tr>
      <w:tr>
        <w:tc>
          <w:tcPr>
            <w:tcW w:w="3000" w:type="dxa"/>
          </w:tcPr>
          <w:p>
            <w:pPr/>
            <w:r>
              <w:rPr/>
              <w:t xml:space="preserve">Through 17 September</w:t>
            </w:r>
          </w:p>
        </w:tc>
        <w:tc>
          <w:tcPr>
            <w:tcW w:w="3000" w:type="dxa"/>
          </w:tcPr>
          <w:p>
            <w:pPr/>
            <w:r>
              <w:rPr/>
              <w:t xml:space="preserve">₹1,21,53,183.03 (₹1.22 Cr rounded)</w:t>
            </w:r>
          </w:p>
        </w:tc>
        <w:tc>
          <w:tcPr>
            <w:tcW w:w="3000" w:type="dxa"/>
          </w:tcPr>
          <w:p>
            <w:pPr/>
            <w:r>
              <w:rPr/>
              <w:t xml:space="preserve">SALES production sale_line_current; retained Prompt 107</w:t>
            </w:r>
          </w:p>
        </w:tc>
      </w:tr>
      <w:tr>
        <w:tc>
          <w:tcPr>
            <w:tcW w:w="3000" w:type="dxa"/>
          </w:tcPr>
          <w:p>
            <w:pPr/>
            <w:r>
              <w:rPr/>
              <w:t xml:space="preserve">Current 18 September read</w:t>
            </w:r>
          </w:p>
        </w:tc>
        <w:tc>
          <w:tcPr>
            <w:tcW w:w="3000" w:type="dxa"/>
          </w:tcPr>
          <w:p>
            <w:pPr/>
            <w:r>
              <w:rPr/>
              <w:t xml:space="preserve">₹1,21,80,902.26</w:t>
            </w:r>
          </w:p>
        </w:tc>
        <w:tc>
          <w:tcPr>
            <w:tcW w:w="3000" w:type="dxa"/>
          </w:tcPr>
          <w:p>
            <w:pPr/>
            <w:r>
              <w:rPr/>
              <w:t xml:space="preserve">SALES production neondb external API</w:t>
            </w:r>
          </w:p>
        </w:tc>
      </w:tr>
    </w:tbl>
    <w:p>
      <w:pPr/>
      <w:r>
        <w:rPr/>
        <w:t xml:space="preserve">Both quoted figures are correct for their dates. The movement from P008 to 17 September was ₹3,80,312.00 from later sales. WCT-3LL-05, WCT-3LL-07 and WCT-3LL-10 are distinct products requiring their own MRP entries.</w:t>
      </w:r>
    </w:p>
    <w:p>
      <w:pPr>
        <w:pStyle w:val="Heading1"/>
      </w:pPr>
      <w:r>
        <w:rPr/>
        <w:t xml:space="preserve">Section A — the refresh path</w:t>
      </w:r>
    </w:p>
    <w:p>
      <w:pPr>
        <w:pStyle w:val="Heading2"/>
      </w:pPr>
      <w:r>
        <w:rPr/>
        <w:t xml:space="preserve">A1. Full path</w:t>
      </w:r>
    </w:p>
    <w:p>
      <w:pPr>
        <w:pStyle w:val="ListBullet"/>
      </w:pPr>
      <w:r>
        <w:rPr/>
        <w:t xml:space="preserve">Trigger: production schedules the first refresh five minutes after process startup, then every 24 hours. Source: SALES repository index.ts.</w:t>
      </w:r>
    </w:p>
    <w:p>
      <w:pPr>
        <w:pStyle w:val="ListBullet"/>
      </w:pPr>
      <w:r>
        <w:rPr/>
        <w:t xml:space="preserve">Source: https://prayag-price.com/api/v1/products, authenticated with the Competition API credential and paginated at 500 products per request. Source: SALES repository authorityClient.ts.</w:t>
      </w:r>
    </w:p>
    <w:p>
      <w:pPr>
        <w:pStyle w:val="ListBullet"/>
      </w:pPr>
      <w:r>
        <w:rPr/>
        <w:t xml:space="preserve">Validation: declared total, non-empty snapshot, duplicate codes and invalid or negative MRP values are checked before activation. Source: SALES repository authorityClient.ts and syncedCache.ts.</w:t>
      </w:r>
    </w:p>
    <w:p>
      <w:pPr>
        <w:pStyle w:val="ListBullet"/>
      </w:pPr>
      <w:r>
        <w:rPr/>
        <w:t xml:space="preserve">Storage: successful refreshes create an immutable mrp_sync_generation and write mrp_synced plus mrp_synced_division. Activation occurs only after all writes succeed. Source: SALES repository syncedCache.ts.</w:t>
      </w:r>
    </w:p>
    <w:p>
      <w:pPr>
        <w:pStyle w:val="ListBullet"/>
      </w:pPr>
      <w:r>
        <w:rPr/>
        <w:t xml:space="preserve">Serving: queries read the active generation; older successful generations remain immutable. Source: SALES repository.</w:t>
      </w:r>
    </w:p>
    <w:p>
      <w:pPr/>
      <w:r>
        <w:rPr/>
        <w:t xml:space="preserve">The dated 6,109-versus-6,106 three-row difference cannot be identified through the permitted external interface. The SALES external credential cannot list the active MRP cache, and /api/mrp plus /api/mrp/sync-status require an authenticated SALES session. The current Competition public Price Finder exposes 6,119 active priced products, read 18 September, so it must not be compared row-for-row with the older 6,109 cache count without timestamps and cache rows.</w:t>
      </w:r>
    </w:p>
    <w:p>
      <w:pPr>
        <w:pStyle w:val="Heading2"/>
      </w:pPr>
      <w:r>
        <w:rPr/>
        <w:t xml:space="preserve">A2. Last twenty fetches</w:t>
      </w:r>
    </w:p>
    <w:p>
      <w:pPr/>
      <w:r>
        <w:rPr/>
        <w:t xml:space="preserve">The requested last-twenty table could not be retrieved through the permitted external API. There is also a schema limitation: mrp_sync_generation records successful generations, but failed generation transactions roll back. mrp_sync_status retains only last_success_at and the latest last_error. Even direct database access could provide the last twenty successful generations, not a complete twenty-run success/failure ledger. No SALES production database credential or authenticated user session was available, so no timestamps were inferred.</w:t>
      </w:r>
    </w:p>
    <w:p>
      <w:pPr>
        <w:pStyle w:val="Heading2"/>
      </w:pPr>
      <w:r>
        <w:rPr/>
        <w:t xml:space="preserve">A3. Schedule</w:t>
      </w:r>
    </w:p>
    <w:p>
      <w:pPr/>
      <w:r>
        <w:rPr/>
        <w:t xml:space="preserve">Current source implements a real schedule: five minutes after production startup and then every 24 hours. Deployments still create additional startup-triggered runs, so the previously observed 18 runs in ten days can be restart-heavy without the implementation being restart-only. Source: SALES repository index.ts.</w:t>
      </w:r>
    </w:p>
    <w:p>
      <w:pPr>
        <w:pStyle w:val="Heading2"/>
      </w:pPr>
      <w:r>
        <w:rPr/>
        <w:t xml:space="preserve">A4. Failure behavior</w:t>
      </w:r>
    </w:p>
    <w:p>
      <w:pPr>
        <w:pStyle w:val="ListBullet"/>
      </w:pPr>
      <w:r>
        <w:rPr/>
        <w:t xml:space="preserve">The transaction rolls back.</w:t>
      </w:r>
    </w:p>
    <w:p>
      <w:pPr>
        <w:pStyle w:val="ListBullet"/>
      </w:pPr>
      <w:r>
        <w:rPr/>
        <w:t xml:space="preserve">No partial generation becomes active.</w:t>
      </w:r>
    </w:p>
    <w:p>
      <w:pPr>
        <w:pStyle w:val="ListBullet"/>
      </w:pPr>
      <w:r>
        <w:rPr/>
        <w:t xml:space="preserve">The prior active generation continues serving.</w:t>
      </w:r>
    </w:p>
    <w:p>
      <w:pPr>
        <w:pStyle w:val="ListBullet"/>
      </w:pPr>
      <w:r>
        <w:rPr/>
        <w:t xml:space="preserve">The latest failure is stored in mrp_sync_status.last_error.</w:t>
      </w:r>
    </w:p>
    <w:p>
      <w:pPr/>
      <w:r>
        <w:rPr/>
        <w:t xml:space="preserve">Source: SALES repository syncedCache.ts.</w:t>
      </w:r>
    </w:p>
    <w:p>
      <w:pPr>
        <w:pStyle w:val="Heading2"/>
      </w:pPr>
      <w:r>
        <w:rPr/>
        <w:t xml:space="preserve">A5. Staleness visibility</w:t>
      </w:r>
    </w:p>
    <w:p>
      <w:pPr/>
      <w:r>
        <w:rPr/>
        <w:t xml:space="preserve">The authenticated backend sync-status response includes the active generation, source fetch timestamp, source row count, provenance completeness, last success, latest error and in-progress state. Source: SALES repository mrp.ts and syncedCache.ts. No corresponding user-facing freshness display or Data Health integration was found in the checked source.</w:t>
      </w:r>
    </w:p>
    <w:p>
      <w:pPr>
        <w:pStyle w:val="Heading1"/>
      </w:pPr>
      <w:r>
        <w:rPr/>
        <w:t xml:space="preserve">Section B — why codes have no price</w:t>
      </w:r>
    </w:p>
    <w:p>
      <w:pPr>
        <w:pStyle w:val="Heading2"/>
      </w:pPr>
      <w:r>
        <w:rPr/>
        <w:t xml:space="preserve">B1/B2. Source absence versus transit loss</w:t>
      </w:r>
    </w:p>
    <w:tbl>
      <w:tblPr>
        <w:tblStyle w:val="TableGrid"/>
        <w:tblW w:w="0" w:type="auto"/>
        <w:tblLook w:val="04A0"/>
      </w:tblPr>
      <w:tr>
        <w:tc>
          <w:tcPr>
            <w:tcW w:w="2250" w:type="dxa"/>
            <w:shd w:fill="D9EAF7"/>
          </w:tcPr>
          <w:p>
            <w:pPr/>
            <w:r>
              <w:rPr>
                <w:b/>
              </w:rPr>
              <w:t xml:space="preserve">Current classification</w:t>
            </w:r>
          </w:p>
        </w:tc>
        <w:tc>
          <w:tcPr>
            <w:tcW w:w="2250" w:type="dxa"/>
            <w:shd w:fill="D9EAF7"/>
          </w:tcPr>
          <w:p>
            <w:pPr/>
            <w:r>
              <w:rPr>
                <w:b/>
              </w:rPr>
              <w:t xml:space="preserve">Codes</w:t>
            </w:r>
          </w:p>
        </w:tc>
        <w:tc>
          <w:tcPr>
            <w:tcW w:w="2250" w:type="dxa"/>
            <w:shd w:fill="D9EAF7"/>
          </w:tcPr>
          <w:p>
            <w:pPr/>
            <w:r>
              <w:rPr>
                <w:b/>
              </w:rPr>
              <w:t xml:space="preserve">FY2026-27 value</w:t>
            </w:r>
          </w:p>
        </w:tc>
        <w:tc>
          <w:tcPr>
            <w:tcW w:w="2250" w:type="dxa"/>
            <w:shd w:fill="D9EAF7"/>
          </w:tcPr>
          <w:p>
            <w:pPr/>
            <w:r>
              <w:rPr>
                <w:b/>
              </w:rPr>
              <w:t xml:space="preserve">Database or source</w:t>
            </w:r>
          </w:p>
        </w:tc>
      </w:tr>
      <w:tr>
        <w:tc>
          <w:tcPr>
            <w:tcW w:w="2250" w:type="dxa"/>
          </w:tcPr>
          <w:p>
            <w:pPr/>
            <w:r>
              <w:rPr/>
              <w:t xml:space="preserve">Same raw code present in Competition but absent from SALES cache</w:t>
            </w:r>
          </w:p>
        </w:tc>
        <w:tc>
          <w:tcPr>
            <w:tcW w:w="2250" w:type="dxa"/>
          </w:tcPr>
          <w:p>
            <w:pPr/>
            <w:r>
              <w:rPr/>
              <w:t xml:space="preserve">0</w:t>
            </w:r>
          </w:p>
        </w:tc>
        <w:tc>
          <w:tcPr>
            <w:tcW w:w="2250" w:type="dxa"/>
          </w:tcPr>
          <w:p>
            <w:pPr/>
            <w:r>
              <w:rPr/>
              <w:t xml:space="preserve">₹0</w:t>
            </w:r>
          </w:p>
        </w:tc>
        <w:tc>
          <w:tcPr>
            <w:tcW w:w="2250" w:type="dxa"/>
          </w:tcPr>
          <w:p>
            <w:pPr/>
            <w:r>
              <w:rPr/>
              <w:t xml:space="preserve">SALES production API vs Competition production Price Finder</w:t>
            </w:r>
          </w:p>
        </w:tc>
      </w:tr>
      <w:tr>
        <w:tc>
          <w:tcPr>
            <w:tcW w:w="2250" w:type="dxa"/>
          </w:tcPr>
          <w:p>
            <w:pPr/>
            <w:r>
              <w:rPr/>
              <w:t xml:space="preserve">Same raw code absent from Competition</w:t>
            </w:r>
          </w:p>
        </w:tc>
        <w:tc>
          <w:tcPr>
            <w:tcW w:w="2250" w:type="dxa"/>
          </w:tcPr>
          <w:p>
            <w:pPr/>
            <w:r>
              <w:rPr/>
              <w:t xml:space="preserve">871</w:t>
            </w:r>
          </w:p>
        </w:tc>
        <w:tc>
          <w:tcPr>
            <w:tcW w:w="2250" w:type="dxa"/>
          </w:tcPr>
          <w:p>
            <w:pPr/>
            <w:r>
              <w:rPr/>
              <w:t xml:space="preserve">₹11,05,90,833.82</w:t>
            </w:r>
          </w:p>
        </w:tc>
        <w:tc>
          <w:tcPr>
            <w:tcW w:w="2250" w:type="dxa"/>
          </w:tcPr>
          <w:p>
            <w:pPr/>
            <w:r>
              <w:rPr/>
              <w:t xml:space="preserve">Same sources, read 18 September</w:t>
            </w:r>
          </w:p>
        </w:tc>
      </w:tr>
      <w:tr>
        <w:tc>
          <w:tcPr>
            <w:tcW w:w="2250" w:type="dxa"/>
          </w:tcPr>
          <w:p>
            <w:pPr/>
            <w:r>
              <w:rPr/>
              <w:t xml:space="preserve">Formatting-resolvable under current SALES resolver</w:t>
            </w:r>
          </w:p>
        </w:tc>
        <w:tc>
          <w:tcPr>
            <w:tcW w:w="2250" w:type="dxa"/>
          </w:tcPr>
          <w:p>
            <w:pPr/>
            <w:r>
              <w:rPr/>
              <w:t xml:space="preserve">55</w:t>
            </w:r>
          </w:p>
        </w:tc>
        <w:tc>
          <w:tcPr>
            <w:tcW w:w="2250" w:type="dxa"/>
          </w:tcPr>
          <w:p>
            <w:pPr/>
            <w:r>
              <w:rPr/>
              <w:t xml:space="preserve">₹1,56,65,474.88</w:t>
            </w:r>
          </w:p>
        </w:tc>
        <w:tc>
          <w:tcPr>
            <w:tcW w:w="2250" w:type="dxa"/>
          </w:tcPr>
          <w:p>
            <w:pPr/>
            <w:r>
              <w:rPr/>
              <w:t xml:space="preserve">SALES production rows + live Competition catalogue</w:t>
            </w:r>
          </w:p>
        </w:tc>
      </w:tr>
      <w:tr>
        <w:tc>
          <w:tcPr>
            <w:tcW w:w="2250" w:type="dxa"/>
          </w:tcPr>
          <w:p>
            <w:pPr/>
            <w:r>
              <w:rPr/>
              <w:t xml:space="preserve">Still unresolved after all five rules</w:t>
            </w:r>
          </w:p>
        </w:tc>
        <w:tc>
          <w:tcPr>
            <w:tcW w:w="2250" w:type="dxa"/>
          </w:tcPr>
          <w:p>
            <w:pPr/>
            <w:r>
              <w:rPr/>
              <w:t xml:space="preserve">816</w:t>
            </w:r>
          </w:p>
        </w:tc>
        <w:tc>
          <w:tcPr>
            <w:tcW w:w="2250" w:type="dxa"/>
          </w:tcPr>
          <w:p>
            <w:pPr/>
            <w:r>
              <w:rPr/>
              <w:t xml:space="preserve">₹9,49,25,358.94</w:t>
            </w:r>
          </w:p>
        </w:tc>
        <w:tc>
          <w:tcPr>
            <w:tcW w:w="2250" w:type="dxa"/>
          </w:tcPr>
          <w:p>
            <w:pPr/>
            <w:r>
              <w:rPr/>
              <w:t xml:space="preserve">Same sources</w:t>
            </w:r>
          </w:p>
        </w:tc>
      </w:tr>
    </w:tbl>
    <w:tbl>
      <w:tblPr>
        <w:tblStyle w:val="TableGrid"/>
        <w:tblW w:w="0" w:type="auto"/>
        <w:tblLook w:val="04A0"/>
      </w:tblPr>
      <w:tr>
        <w:tc>
          <w:tcPr>
            <w:tcW w:w="3000" w:type="dxa"/>
            <w:shd w:fill="D9EAF7"/>
          </w:tcPr>
          <w:p>
            <w:pPr/>
            <w:r>
              <w:rPr>
                <w:b/>
              </w:rPr>
              <w:t xml:space="preserve">Resolver outcome</w:t>
            </w:r>
          </w:p>
        </w:tc>
        <w:tc>
          <w:tcPr>
            <w:tcW w:w="3000" w:type="dxa"/>
            <w:shd w:fill="D9EAF7"/>
          </w:tcPr>
          <w:p>
            <w:pPr/>
            <w:r>
              <w:rPr>
                <w:b/>
              </w:rPr>
              <w:t xml:space="preserve">Codes</w:t>
            </w:r>
          </w:p>
        </w:tc>
        <w:tc>
          <w:tcPr>
            <w:tcW w:w="3000" w:type="dxa"/>
            <w:shd w:fill="D9EAF7"/>
          </w:tcPr>
          <w:p>
            <w:pPr/>
            <w:r>
              <w:rPr>
                <w:b/>
              </w:rPr>
              <w:t xml:space="preserve">Value</w:t>
            </w:r>
          </w:p>
        </w:tc>
      </w:tr>
      <w:tr>
        <w:tc>
          <w:tcPr>
            <w:tcW w:w="3000" w:type="dxa"/>
          </w:tcPr>
          <w:p>
            <w:pPr/>
            <w:r>
              <w:rPr/>
              <w:t xml:space="preserve">Leading-P</w:t>
            </w:r>
          </w:p>
        </w:tc>
        <w:tc>
          <w:tcPr>
            <w:tcW w:w="3000" w:type="dxa"/>
          </w:tcPr>
          <w:p>
            <w:pPr/>
            <w:r>
              <w:rPr/>
              <w:t xml:space="preserve">19</w:t>
            </w:r>
          </w:p>
        </w:tc>
        <w:tc>
          <w:tcPr>
            <w:tcW w:w="3000" w:type="dxa"/>
          </w:tcPr>
          <w:p>
            <w:pPr/>
            <w:r>
              <w:rPr/>
              <w:t xml:space="preserve">₹73,11,223.83</w:t>
            </w:r>
          </w:p>
        </w:tc>
      </w:tr>
      <w:tr>
        <w:tc>
          <w:tcPr>
            <w:tcW w:w="3000" w:type="dxa"/>
          </w:tcPr>
          <w:p>
            <w:pPr/>
            <w:r>
              <w:rPr/>
              <w:t xml:space="preserve">Colour suffix</w:t>
            </w:r>
          </w:p>
        </w:tc>
        <w:tc>
          <w:tcPr>
            <w:tcW w:w="3000" w:type="dxa"/>
          </w:tcPr>
          <w:p>
            <w:pPr/>
            <w:r>
              <w:rPr/>
              <w:t xml:space="preserve">23</w:t>
            </w:r>
          </w:p>
        </w:tc>
        <w:tc>
          <w:tcPr>
            <w:tcW w:w="3000" w:type="dxa"/>
          </w:tcPr>
          <w:p>
            <w:pPr/>
            <w:r>
              <w:rPr/>
              <w:t xml:space="preserve">₹28,74,964.49</w:t>
            </w:r>
          </w:p>
        </w:tc>
      </w:tr>
      <w:tr>
        <w:tc>
          <w:tcPr>
            <w:tcW w:w="3000" w:type="dxa"/>
          </w:tcPr>
          <w:p>
            <w:pPr/>
            <w:r>
              <w:rPr/>
              <w:t xml:space="preserve">Whitespace</w:t>
            </w:r>
          </w:p>
        </w:tc>
        <w:tc>
          <w:tcPr>
            <w:tcW w:w="3000" w:type="dxa"/>
          </w:tcPr>
          <w:p>
            <w:pPr/>
            <w:r>
              <w:rPr/>
              <w:t xml:space="preserve">4</w:t>
            </w:r>
          </w:p>
        </w:tc>
        <w:tc>
          <w:tcPr>
            <w:tcW w:w="3000" w:type="dxa"/>
          </w:tcPr>
          <w:p>
            <w:pPr/>
            <w:r>
              <w:rPr/>
              <w:t xml:space="preserve">₹37,627.00</w:t>
            </w:r>
          </w:p>
        </w:tc>
      </w:tr>
      <w:tr>
        <w:tc>
          <w:tcPr>
            <w:tcW w:w="3000" w:type="dxa"/>
          </w:tcPr>
          <w:p>
            <w:pPr/>
            <w:r>
              <w:rPr/>
              <w:t xml:space="preserve">Hyphen</w:t>
            </w:r>
          </w:p>
        </w:tc>
        <w:tc>
          <w:tcPr>
            <w:tcW w:w="3000" w:type="dxa"/>
          </w:tcPr>
          <w:p>
            <w:pPr/>
            <w:r>
              <w:rPr/>
              <w:t xml:space="preserve">9</w:t>
            </w:r>
          </w:p>
        </w:tc>
        <w:tc>
          <w:tcPr>
            <w:tcW w:w="3000" w:type="dxa"/>
          </w:tcPr>
          <w:p>
            <w:pPr/>
            <w:r>
              <w:rPr/>
              <w:t xml:space="preserve">₹54,41,659.56</w:t>
            </w:r>
          </w:p>
        </w:tc>
      </w:tr>
    </w:tbl>
    <w:p>
      <w:pPr/>
      <w:r>
        <w:rPr/>
        <w:t xml:space="preserve">The 55 formatting-resolvable cases are not cache transit failures: their raw spellings do not exist in Competition, but the existing SALES resolver maps them to a current priced code. The external catalogue_status is an exact-code status and must not substitute for resolver-aware coverage.</w:t>
      </w:r>
    </w:p>
    <w:p>
      <w:pPr>
        <w:pStyle w:val="Heading2"/>
      </w:pPr>
      <w:r>
        <w:rPr/>
        <w:t xml:space="preserve">B3. Steady sellers</w:t>
      </w:r>
    </w:p>
    <w:p>
      <w:pPr/>
      <w:r>
        <w:rPr/>
        <w:t xml:space="preserve">Retained rule: “steady” means August quantity is non-zero and at least 70% of the May–July monthly average; September is excluded because it is partial. Source: retained Prompt 106 SALES production analysis.</w:t>
      </w:r>
    </w:p>
    <w:tbl>
      <w:tblPr>
        <w:tblStyle w:val="TableGrid"/>
        <w:tblW w:w="0" w:type="auto"/>
        <w:tblLook w:val="04A0"/>
      </w:tblPr>
      <w:tr>
        <w:tc>
          <w:tcPr>
            <w:tcW w:w="2250" w:type="dxa"/>
            <w:shd w:fill="D9EAF7"/>
          </w:tcPr>
          <w:p>
            <w:pPr/>
            <w:r>
              <w:rPr>
                <w:b/>
              </w:rPr>
              <w:t xml:space="preserve">Snapshot</w:t>
            </w:r>
          </w:p>
        </w:tc>
        <w:tc>
          <w:tcPr>
            <w:tcW w:w="2250" w:type="dxa"/>
            <w:shd w:fill="D9EAF7"/>
          </w:tcPr>
          <w:p>
            <w:pPr/>
            <w:r>
              <w:rPr>
                <w:b/>
              </w:rPr>
              <w:t xml:space="preserve">Steady</w:t>
            </w:r>
          </w:p>
        </w:tc>
        <w:tc>
          <w:tcPr>
            <w:tcW w:w="2250" w:type="dxa"/>
            <w:shd w:fill="D9EAF7"/>
          </w:tcPr>
          <w:p>
            <w:pPr/>
            <w:r>
              <w:rPr>
                <w:b/>
              </w:rPr>
              <w:t xml:space="preserve">Declining</w:t>
            </w:r>
          </w:p>
        </w:tc>
        <w:tc>
          <w:tcPr>
            <w:tcW w:w="2250" w:type="dxa"/>
            <w:shd w:fill="D9EAF7"/>
          </w:tcPr>
          <w:p>
            <w:pPr/>
            <w:r>
              <w:rPr>
                <w:b/>
              </w:rPr>
              <w:t xml:space="preserve">Database or source</w:t>
            </w:r>
          </w:p>
        </w:tc>
      </w:tr>
      <w:tr>
        <w:tc>
          <w:tcPr>
            <w:tcW w:w="2250" w:type="dxa"/>
          </w:tcPr>
          <w:p>
            <w:pPr/>
            <w:r>
              <w:rPr/>
              <w:t xml:space="preserve">Through 17 September</w:t>
            </w:r>
          </w:p>
        </w:tc>
        <w:tc>
          <w:tcPr>
            <w:tcW w:w="2250" w:type="dxa"/>
          </w:tcPr>
          <w:p>
            <w:pPr/>
            <w:r>
              <w:rPr/>
              <w:t xml:space="preserve">328 / ₹5,18,51,757.65</w:t>
            </w:r>
          </w:p>
        </w:tc>
        <w:tc>
          <w:tcPr>
            <w:tcW w:w="2250" w:type="dxa"/>
          </w:tcPr>
          <w:p>
            <w:pPr/>
            <w:r>
              <w:rPr/>
              <w:t xml:space="preserve">542 / ₹5,84,90,679.94</w:t>
            </w:r>
          </w:p>
        </w:tc>
        <w:tc>
          <w:tcPr>
            <w:tcW w:w="2250" w:type="dxa"/>
          </w:tcPr>
          <w:p>
            <w:pPr/>
            <w:r>
              <w:rPr/>
              <w:t xml:space="preserve">SALES production sale_line_current; retained Prompt 106/108</w:t>
            </w:r>
          </w:p>
        </w:tc>
      </w:tr>
      <w:tr>
        <w:tc>
          <w:tcPr>
            <w:tcW w:w="2250" w:type="dxa"/>
          </w:tcPr>
          <w:p>
            <w:pPr/>
            <w:r>
              <w:rPr/>
              <w:t xml:space="preserve">Current 18 September feed</w:t>
            </w:r>
          </w:p>
        </w:tc>
        <w:tc>
          <w:tcPr>
            <w:tcW w:w="2250" w:type="dxa"/>
          </w:tcPr>
          <w:p>
            <w:pPr/>
            <w:r>
              <w:rPr/>
              <w:t xml:space="preserve">327 / ₹5,20,89,665.88</w:t>
            </w:r>
          </w:p>
        </w:tc>
        <w:tc>
          <w:tcPr>
            <w:tcW w:w="2250" w:type="dxa"/>
          </w:tcPr>
          <w:p>
            <w:pPr/>
            <w:r>
              <w:rPr/>
              <w:t xml:space="preserve">544 / ₹5,85,01,167.94</w:t>
            </w:r>
          </w:p>
        </w:tc>
        <w:tc>
          <w:tcPr>
            <w:tcW w:w="2250" w:type="dxa"/>
          </w:tcPr>
          <w:p>
            <w:pPr/>
            <w:r>
              <w:rPr/>
              <w:t xml:space="preserve">SALES production neondb external API</w:t>
            </w:r>
          </w:p>
        </w:tc>
      </w:tr>
    </w:tbl>
    <w:p>
      <w:pPr/>
      <w:r>
        <w:rPr/>
        <w:t xml:space="preserve">The exact historic 328-row annex was not retained, and the external endpoint does not expose product group for absent codes. A complete historic table with group cannot therefore be reproduced truthfully from the permitted interface.</w:t>
      </w:r>
    </w:p>
    <w:tbl>
      <w:tblPr>
        <w:tblStyle w:val="TableGrid"/>
        <w:tblW w:w="0" w:type="auto"/>
        <w:tblLook w:val="04A0"/>
      </w:tblPr>
      <w:tr>
        <w:tc>
          <w:tcPr>
            <w:tcW w:w="1800" w:type="dxa"/>
            <w:shd w:fill="D9EAF7"/>
          </w:tcPr>
          <w:p>
            <w:pPr/>
            <w:r>
              <w:rPr>
                <w:b/>
              </w:rPr>
              <w:t xml:space="preserve">Highest-value current steady code</w:t>
            </w:r>
          </w:p>
        </w:tc>
        <w:tc>
          <w:tcPr>
            <w:tcW w:w="1800" w:type="dxa"/>
            <w:shd w:fill="D9EAF7"/>
          </w:tcPr>
          <w:p>
            <w:pPr/>
            <w:r>
              <w:rPr>
                <w:b/>
              </w:rPr>
              <w:t xml:space="preserve">FY quantity</w:t>
            </w:r>
          </w:p>
        </w:tc>
        <w:tc>
          <w:tcPr>
            <w:tcW w:w="1800" w:type="dxa"/>
            <w:shd w:fill="D9EAF7"/>
          </w:tcPr>
          <w:p>
            <w:pPr/>
            <w:r>
              <w:rPr>
                <w:b/>
              </w:rPr>
              <w:t xml:space="preserve">FY value</w:t>
            </w:r>
          </w:p>
        </w:tc>
        <w:tc>
          <w:tcPr>
            <w:tcW w:w="1800" w:type="dxa"/>
            <w:shd w:fill="D9EAF7"/>
          </w:tcPr>
          <w:p>
            <w:pPr/>
            <w:r>
              <w:rPr>
                <w:b/>
              </w:rPr>
              <w:t xml:space="preserve">Last sold</w:t>
            </w:r>
          </w:p>
        </w:tc>
        <w:tc>
          <w:tcPr>
            <w:tcW w:w="1800" w:type="dxa"/>
            <w:shd w:fill="D9EAF7"/>
          </w:tcPr>
          <w:p>
            <w:pPr/>
            <w:r>
              <w:rPr>
                <w:b/>
              </w:rPr>
              <w:t xml:space="preserve">Pricing source</w:t>
            </w:r>
          </w:p>
        </w:tc>
      </w:tr>
      <w:tr>
        <w:tc>
          <w:tcPr>
            <w:tcW w:w="1800" w:type="dxa"/>
          </w:tcPr>
          <w:p>
            <w:pPr/>
            <w:r>
              <w:rPr/>
              <w:t xml:space="preserve">WCT-3LL-10</w:t>
            </w:r>
          </w:p>
        </w:tc>
        <w:tc>
          <w:tcPr>
            <w:tcW w:w="1800" w:type="dxa"/>
          </w:tcPr>
          <w:p>
            <w:pPr/>
            <w:r>
              <w:rPr/>
              <w:t xml:space="preserve">1,195</w:t>
            </w:r>
          </w:p>
        </w:tc>
        <w:tc>
          <w:tcPr>
            <w:tcW w:w="1800" w:type="dxa"/>
          </w:tcPr>
          <w:p>
            <w:pPr/>
            <w:r>
              <w:rPr/>
              <w:t xml:space="preserve">₹52,40,468.48</w:t>
            </w:r>
          </w:p>
        </w:tc>
        <w:tc>
          <w:tcPr>
            <w:tcW w:w="1800" w:type="dxa"/>
          </w:tcPr>
          <w:p>
            <w:pPr/>
            <w:r>
              <w:rPr/>
              <w:t xml:space="preserve">Sep-26</w:t>
            </w:r>
          </w:p>
        </w:tc>
        <w:tc>
          <w:tcPr>
            <w:tcW w:w="1800" w:type="dxa"/>
          </w:tcPr>
          <w:p>
            <w:pPr/>
            <w:r>
              <w:rPr/>
              <w:t xml:space="preserve">Absent</w:t>
            </w:r>
          </w:p>
        </w:tc>
      </w:tr>
      <w:tr>
        <w:tc>
          <w:tcPr>
            <w:tcW w:w="1800" w:type="dxa"/>
          </w:tcPr>
          <w:p>
            <w:pPr/>
            <w:r>
              <w:rPr/>
              <w:t xml:space="preserve">WCT-3LL-05</w:t>
            </w:r>
          </w:p>
        </w:tc>
        <w:tc>
          <w:tcPr>
            <w:tcW w:w="1800" w:type="dxa"/>
          </w:tcPr>
          <w:p>
            <w:pPr/>
            <w:r>
              <w:rPr/>
              <w:t xml:space="preserve">2,123</w:t>
            </w:r>
          </w:p>
        </w:tc>
        <w:tc>
          <w:tcPr>
            <w:tcW w:w="1800" w:type="dxa"/>
          </w:tcPr>
          <w:p>
            <w:pPr/>
            <w:r>
              <w:rPr/>
              <w:t xml:space="preserve">₹45,80,826.78</w:t>
            </w:r>
          </w:p>
        </w:tc>
        <w:tc>
          <w:tcPr>
            <w:tcW w:w="1800" w:type="dxa"/>
          </w:tcPr>
          <w:p>
            <w:pPr/>
            <w:r>
              <w:rPr/>
              <w:t xml:space="preserve">Sep-26</w:t>
            </w:r>
          </w:p>
        </w:tc>
        <w:tc>
          <w:tcPr>
            <w:tcW w:w="1800" w:type="dxa"/>
          </w:tcPr>
          <w:p>
            <w:pPr/>
            <w:r>
              <w:rPr/>
              <w:t xml:space="preserve">Absent</w:t>
            </w:r>
          </w:p>
        </w:tc>
      </w:tr>
      <w:tr>
        <w:tc>
          <w:tcPr>
            <w:tcW w:w="1800" w:type="dxa"/>
          </w:tcPr>
          <w:p>
            <w:pPr/>
            <w:r>
              <w:rPr/>
              <w:t xml:space="preserve">924XD</w:t>
            </w:r>
          </w:p>
        </w:tc>
        <w:tc>
          <w:tcPr>
            <w:tcW w:w="1800" w:type="dxa"/>
          </w:tcPr>
          <w:p>
            <w:pPr/>
            <w:r>
              <w:rPr/>
              <w:t xml:space="preserve">1,161</w:t>
            </w:r>
          </w:p>
        </w:tc>
        <w:tc>
          <w:tcPr>
            <w:tcW w:w="1800" w:type="dxa"/>
          </w:tcPr>
          <w:p>
            <w:pPr/>
            <w:r>
              <w:rPr/>
              <w:t xml:space="preserve">₹22,30,370.21</w:t>
            </w:r>
          </w:p>
        </w:tc>
        <w:tc>
          <w:tcPr>
            <w:tcW w:w="1800" w:type="dxa"/>
          </w:tcPr>
          <w:p>
            <w:pPr/>
            <w:r>
              <w:rPr/>
              <w:t xml:space="preserve">Aug-26</w:t>
            </w:r>
          </w:p>
        </w:tc>
        <w:tc>
          <w:tcPr>
            <w:tcW w:w="1800" w:type="dxa"/>
          </w:tcPr>
          <w:p>
            <w:pPr/>
            <w:r>
              <w:rPr/>
              <w:t xml:space="preserve">Absent</w:t>
            </w:r>
          </w:p>
        </w:tc>
      </w:tr>
      <w:tr>
        <w:tc>
          <w:tcPr>
            <w:tcW w:w="1800" w:type="dxa"/>
          </w:tcPr>
          <w:p>
            <w:pPr/>
            <w:r>
              <w:rPr/>
              <w:t xml:space="preserve">Q724MB</w:t>
            </w:r>
          </w:p>
        </w:tc>
        <w:tc>
          <w:tcPr>
            <w:tcW w:w="1800" w:type="dxa"/>
          </w:tcPr>
          <w:p>
            <w:pPr/>
            <w:r>
              <w:rPr/>
              <w:t xml:space="preserve">882</w:t>
            </w:r>
          </w:p>
        </w:tc>
        <w:tc>
          <w:tcPr>
            <w:tcW w:w="1800" w:type="dxa"/>
          </w:tcPr>
          <w:p>
            <w:pPr/>
            <w:r>
              <w:rPr/>
              <w:t xml:space="preserve">₹19,97,113.98</w:t>
            </w:r>
          </w:p>
        </w:tc>
        <w:tc>
          <w:tcPr>
            <w:tcW w:w="1800" w:type="dxa"/>
          </w:tcPr>
          <w:p>
            <w:pPr/>
            <w:r>
              <w:rPr/>
              <w:t xml:space="preserve">Sep-26</w:t>
            </w:r>
          </w:p>
        </w:tc>
        <w:tc>
          <w:tcPr>
            <w:tcW w:w="1800" w:type="dxa"/>
          </w:tcPr>
          <w:p>
            <w:pPr/>
            <w:r>
              <w:rPr/>
              <w:t xml:space="preserve">Absent</w:t>
            </w:r>
          </w:p>
        </w:tc>
      </w:tr>
      <w:tr>
        <w:tc>
          <w:tcPr>
            <w:tcW w:w="1800" w:type="dxa"/>
          </w:tcPr>
          <w:p>
            <w:pPr/>
            <w:r>
              <w:rPr/>
              <w:t xml:space="preserve">WT-4LWP-07</w:t>
            </w:r>
          </w:p>
        </w:tc>
        <w:tc>
          <w:tcPr>
            <w:tcW w:w="1800" w:type="dxa"/>
          </w:tcPr>
          <w:p>
            <w:pPr/>
            <w:r>
              <w:rPr/>
              <w:t xml:space="preserve">379</w:t>
            </w:r>
          </w:p>
        </w:tc>
        <w:tc>
          <w:tcPr>
            <w:tcW w:w="1800" w:type="dxa"/>
          </w:tcPr>
          <w:p>
            <w:pPr/>
            <w:r>
              <w:rPr/>
              <w:t xml:space="preserve">₹15,45,900.00</w:t>
            </w:r>
          </w:p>
        </w:tc>
        <w:tc>
          <w:tcPr>
            <w:tcW w:w="1800" w:type="dxa"/>
          </w:tcPr>
          <w:p>
            <w:pPr/>
            <w:r>
              <w:rPr/>
              <w:t xml:space="preserve">Sep-26</w:t>
            </w:r>
          </w:p>
        </w:tc>
        <w:tc>
          <w:tcPr>
            <w:tcW w:w="1800" w:type="dxa"/>
          </w:tcPr>
          <w:p>
            <w:pPr/>
            <w:r>
              <w:rPr/>
              <w:t xml:space="preserve">Absent</w:t>
            </w:r>
          </w:p>
        </w:tc>
      </w:tr>
      <w:tr>
        <w:tc>
          <w:tcPr>
            <w:tcW w:w="1800" w:type="dxa"/>
          </w:tcPr>
          <w:p>
            <w:pPr/>
            <w:r>
              <w:rPr/>
              <w:t xml:space="preserve">PSS-5</w:t>
            </w:r>
          </w:p>
        </w:tc>
        <w:tc>
          <w:tcPr>
            <w:tcW w:w="1800" w:type="dxa"/>
          </w:tcPr>
          <w:p>
            <w:pPr/>
            <w:r>
              <w:rPr/>
              <w:t xml:space="preserve">421</w:t>
            </w:r>
          </w:p>
        </w:tc>
        <w:tc>
          <w:tcPr>
            <w:tcW w:w="1800" w:type="dxa"/>
          </w:tcPr>
          <w:p>
            <w:pPr/>
            <w:r>
              <w:rPr/>
              <w:t xml:space="preserve">₹14,86,605.05</w:t>
            </w:r>
          </w:p>
        </w:tc>
        <w:tc>
          <w:tcPr>
            <w:tcW w:w="1800" w:type="dxa"/>
          </w:tcPr>
          <w:p>
            <w:pPr/>
            <w:r>
              <w:rPr/>
              <w:t xml:space="preserve">Sep-26</w:t>
            </w:r>
          </w:p>
        </w:tc>
        <w:tc>
          <w:tcPr>
            <w:tcW w:w="1800" w:type="dxa"/>
          </w:tcPr>
          <w:p>
            <w:pPr/>
            <w:r>
              <w:rPr/>
              <w:t xml:space="preserve">Absent</w:t>
            </w:r>
          </w:p>
        </w:tc>
      </w:tr>
      <w:tr>
        <w:tc>
          <w:tcPr>
            <w:tcW w:w="1800" w:type="dxa"/>
          </w:tcPr>
          <w:p>
            <w:pPr/>
            <w:r>
              <w:rPr/>
              <w:t xml:space="preserve">PTA-49</w:t>
            </w:r>
          </w:p>
        </w:tc>
        <w:tc>
          <w:tcPr>
            <w:tcW w:w="1800" w:type="dxa"/>
          </w:tcPr>
          <w:p>
            <w:pPr/>
            <w:r>
              <w:rPr/>
              <w:t xml:space="preserve">810</w:t>
            </w:r>
          </w:p>
        </w:tc>
        <w:tc>
          <w:tcPr>
            <w:tcW w:w="1800" w:type="dxa"/>
          </w:tcPr>
          <w:p>
            <w:pPr/>
            <w:r>
              <w:rPr/>
              <w:t xml:space="preserve">₹13,06,049.70</w:t>
            </w:r>
          </w:p>
        </w:tc>
        <w:tc>
          <w:tcPr>
            <w:tcW w:w="1800" w:type="dxa"/>
          </w:tcPr>
          <w:p>
            <w:pPr/>
            <w:r>
              <w:rPr/>
              <w:t xml:space="preserve">Aug-26</w:t>
            </w:r>
          </w:p>
        </w:tc>
        <w:tc>
          <w:tcPr>
            <w:tcW w:w="1800" w:type="dxa"/>
          </w:tcPr>
          <w:p>
            <w:pPr/>
            <w:r>
              <w:rPr/>
              <w:t xml:space="preserve">Absent</w:t>
            </w:r>
          </w:p>
        </w:tc>
      </w:tr>
      <w:tr>
        <w:tc>
          <w:tcPr>
            <w:tcW w:w="1800" w:type="dxa"/>
          </w:tcPr>
          <w:p>
            <w:pPr/>
            <w:r>
              <w:rPr/>
              <w:t xml:space="preserve">WT-4LWP-10</w:t>
            </w:r>
          </w:p>
        </w:tc>
        <w:tc>
          <w:tcPr>
            <w:tcW w:w="1800" w:type="dxa"/>
          </w:tcPr>
          <w:p>
            <w:pPr/>
            <w:r>
              <w:rPr/>
              <w:t xml:space="preserve">230</w:t>
            </w:r>
          </w:p>
        </w:tc>
        <w:tc>
          <w:tcPr>
            <w:tcW w:w="1800" w:type="dxa"/>
          </w:tcPr>
          <w:p>
            <w:pPr/>
            <w:r>
              <w:rPr/>
              <w:t xml:space="preserve">₹12,55,988.00</w:t>
            </w:r>
          </w:p>
        </w:tc>
        <w:tc>
          <w:tcPr>
            <w:tcW w:w="1800" w:type="dxa"/>
          </w:tcPr>
          <w:p>
            <w:pPr/>
            <w:r>
              <w:rPr/>
              <w:t xml:space="preserve">Sep-26</w:t>
            </w:r>
          </w:p>
        </w:tc>
        <w:tc>
          <w:tcPr>
            <w:tcW w:w="1800" w:type="dxa"/>
          </w:tcPr>
          <w:p>
            <w:pPr/>
            <w:r>
              <w:rPr/>
              <w:t xml:space="preserve">Absent</w:t>
            </w:r>
          </w:p>
        </w:tc>
      </w:tr>
      <w:tr>
        <w:tc>
          <w:tcPr>
            <w:tcW w:w="1800" w:type="dxa"/>
          </w:tcPr>
          <w:p>
            <w:pPr/>
            <w:r>
              <w:rPr/>
              <w:t xml:space="preserve">P6806</w:t>
            </w:r>
          </w:p>
        </w:tc>
        <w:tc>
          <w:tcPr>
            <w:tcW w:w="1800" w:type="dxa"/>
          </w:tcPr>
          <w:p>
            <w:pPr/>
            <w:r>
              <w:rPr/>
              <w:t xml:space="preserve">2,182</w:t>
            </w:r>
          </w:p>
        </w:tc>
        <w:tc>
          <w:tcPr>
            <w:tcW w:w="1800" w:type="dxa"/>
          </w:tcPr>
          <w:p>
            <w:pPr/>
            <w:r>
              <w:rPr/>
              <w:t xml:space="preserve">₹11,49,360.80</w:t>
            </w:r>
          </w:p>
        </w:tc>
        <w:tc>
          <w:tcPr>
            <w:tcW w:w="1800" w:type="dxa"/>
          </w:tcPr>
          <w:p>
            <w:pPr/>
            <w:r>
              <w:rPr/>
              <w:t xml:space="preserve">Sep-26</w:t>
            </w:r>
          </w:p>
        </w:tc>
        <w:tc>
          <w:tcPr>
            <w:tcW w:w="1800" w:type="dxa"/>
          </w:tcPr>
          <w:p>
            <w:pPr/>
            <w:r>
              <w:rPr/>
              <w:t xml:space="preserve">Absent</w:t>
            </w:r>
          </w:p>
        </w:tc>
      </w:tr>
      <w:tr>
        <w:tc>
          <w:tcPr>
            <w:tcW w:w="1800" w:type="dxa"/>
          </w:tcPr>
          <w:p>
            <w:pPr/>
            <w:r>
              <w:rPr/>
              <w:t xml:space="preserve">824SD</w:t>
            </w:r>
          </w:p>
        </w:tc>
        <w:tc>
          <w:tcPr>
            <w:tcW w:w="1800" w:type="dxa"/>
          </w:tcPr>
          <w:p>
            <w:pPr/>
            <w:r>
              <w:rPr/>
              <w:t xml:space="preserve">713</w:t>
            </w:r>
          </w:p>
        </w:tc>
        <w:tc>
          <w:tcPr>
            <w:tcW w:w="1800" w:type="dxa"/>
          </w:tcPr>
          <w:p>
            <w:pPr/>
            <w:r>
              <w:rPr/>
              <w:t xml:space="preserve">₹11,45,900.48</w:t>
            </w:r>
          </w:p>
        </w:tc>
        <w:tc>
          <w:tcPr>
            <w:tcW w:w="1800" w:type="dxa"/>
          </w:tcPr>
          <w:p>
            <w:pPr/>
            <w:r>
              <w:rPr/>
              <w:t xml:space="preserve">Aug-26</w:t>
            </w:r>
          </w:p>
        </w:tc>
        <w:tc>
          <w:tcPr>
            <w:tcW w:w="1800" w:type="dxa"/>
          </w:tcPr>
          <w:p>
            <w:pPr/>
            <w:r>
              <w:rPr/>
              <w:t xml:space="preserve">Absent</w:t>
            </w:r>
          </w:p>
        </w:tc>
      </w:tr>
      <w:tr>
        <w:tc>
          <w:tcPr>
            <w:tcW w:w="1800" w:type="dxa"/>
          </w:tcPr>
          <w:p>
            <w:pPr/>
            <w:r>
              <w:rPr/>
              <w:t xml:space="preserve">513-EWC</w:t>
            </w:r>
          </w:p>
        </w:tc>
        <w:tc>
          <w:tcPr>
            <w:tcW w:w="1800" w:type="dxa"/>
          </w:tcPr>
          <w:p>
            <w:pPr/>
            <w:r>
              <w:rPr/>
              <w:t xml:space="preserve">4,170</w:t>
            </w:r>
          </w:p>
        </w:tc>
        <w:tc>
          <w:tcPr>
            <w:tcW w:w="1800" w:type="dxa"/>
          </w:tcPr>
          <w:p>
            <w:pPr/>
            <w:r>
              <w:rPr/>
              <w:t xml:space="preserve">₹10,83,310.42</w:t>
            </w:r>
          </w:p>
        </w:tc>
        <w:tc>
          <w:tcPr>
            <w:tcW w:w="1800" w:type="dxa"/>
          </w:tcPr>
          <w:p>
            <w:pPr/>
            <w:r>
              <w:rPr/>
              <w:t xml:space="preserve">Sep-26</w:t>
            </w:r>
          </w:p>
        </w:tc>
        <w:tc>
          <w:tcPr>
            <w:tcW w:w="1800" w:type="dxa"/>
          </w:tcPr>
          <w:p>
            <w:pPr/>
            <w:r>
              <w:rPr/>
              <w:t xml:space="preserve">Absent</w:t>
            </w:r>
          </w:p>
        </w:tc>
      </w:tr>
      <w:tr>
        <w:tc>
          <w:tcPr>
            <w:tcW w:w="1800" w:type="dxa"/>
          </w:tcPr>
          <w:p>
            <w:pPr/>
            <w:r>
              <w:rPr/>
              <w:t xml:space="preserve">BR364TG</w:t>
            </w:r>
          </w:p>
        </w:tc>
        <w:tc>
          <w:tcPr>
            <w:tcW w:w="1800" w:type="dxa"/>
          </w:tcPr>
          <w:p>
            <w:pPr/>
            <w:r>
              <w:rPr/>
              <w:t xml:space="preserve">1,139</w:t>
            </w:r>
          </w:p>
        </w:tc>
        <w:tc>
          <w:tcPr>
            <w:tcW w:w="1800" w:type="dxa"/>
          </w:tcPr>
          <w:p>
            <w:pPr/>
            <w:r>
              <w:rPr/>
              <w:t xml:space="preserve">₹10,73,938.00</w:t>
            </w:r>
          </w:p>
        </w:tc>
        <w:tc>
          <w:tcPr>
            <w:tcW w:w="1800" w:type="dxa"/>
          </w:tcPr>
          <w:p>
            <w:pPr/>
            <w:r>
              <w:rPr/>
              <w:t xml:space="preserve">Aug-26</w:t>
            </w:r>
          </w:p>
        </w:tc>
        <w:tc>
          <w:tcPr>
            <w:tcW w:w="1800" w:type="dxa"/>
          </w:tcPr>
          <w:p>
            <w:pPr/>
            <w:r>
              <w:rPr/>
              <w:t xml:space="preserve">Absent</w:t>
            </w:r>
          </w:p>
        </w:tc>
      </w:tr>
      <w:tr>
        <w:tc>
          <w:tcPr>
            <w:tcW w:w="1800" w:type="dxa"/>
          </w:tcPr>
          <w:p>
            <w:pPr/>
            <w:r>
              <w:rPr/>
              <w:t xml:space="preserve">PTA-54</w:t>
            </w:r>
          </w:p>
        </w:tc>
        <w:tc>
          <w:tcPr>
            <w:tcW w:w="1800" w:type="dxa"/>
          </w:tcPr>
          <w:p>
            <w:pPr/>
            <w:r>
              <w:rPr/>
              <w:t xml:space="preserve">4,881</w:t>
            </w:r>
          </w:p>
        </w:tc>
        <w:tc>
          <w:tcPr>
            <w:tcW w:w="1800" w:type="dxa"/>
          </w:tcPr>
          <w:p>
            <w:pPr/>
            <w:r>
              <w:rPr/>
              <w:t xml:space="preserve">₹9,58,294.04</w:t>
            </w:r>
          </w:p>
        </w:tc>
        <w:tc>
          <w:tcPr>
            <w:tcW w:w="1800" w:type="dxa"/>
          </w:tcPr>
          <w:p>
            <w:pPr/>
            <w:r>
              <w:rPr/>
              <w:t xml:space="preserve">Sep-26</w:t>
            </w:r>
          </w:p>
        </w:tc>
        <w:tc>
          <w:tcPr>
            <w:tcW w:w="1800" w:type="dxa"/>
          </w:tcPr>
          <w:p>
            <w:pPr/>
            <w:r>
              <w:rPr/>
              <w:t xml:space="preserve">Absent</w:t>
            </w:r>
          </w:p>
        </w:tc>
      </w:tr>
      <w:tr>
        <w:tc>
          <w:tcPr>
            <w:tcW w:w="1800" w:type="dxa"/>
          </w:tcPr>
          <w:p>
            <w:pPr/>
            <w:r>
              <w:rPr/>
              <w:t xml:space="preserve">P6802</w:t>
            </w:r>
          </w:p>
        </w:tc>
        <w:tc>
          <w:tcPr>
            <w:tcW w:w="1800" w:type="dxa"/>
          </w:tcPr>
          <w:p>
            <w:pPr/>
            <w:r>
              <w:rPr/>
              <w:t xml:space="preserve">1,317</w:t>
            </w:r>
          </w:p>
        </w:tc>
        <w:tc>
          <w:tcPr>
            <w:tcW w:w="1800" w:type="dxa"/>
          </w:tcPr>
          <w:p>
            <w:pPr/>
            <w:r>
              <w:rPr/>
              <w:t xml:space="preserve">₹9,45,004.75</w:t>
            </w:r>
          </w:p>
        </w:tc>
        <w:tc>
          <w:tcPr>
            <w:tcW w:w="1800" w:type="dxa"/>
          </w:tcPr>
          <w:p>
            <w:pPr/>
            <w:r>
              <w:rPr/>
              <w:t xml:space="preserve">Sep-26</w:t>
            </w:r>
          </w:p>
        </w:tc>
        <w:tc>
          <w:tcPr>
            <w:tcW w:w="1800" w:type="dxa"/>
          </w:tcPr>
          <w:p>
            <w:pPr/>
            <w:r>
              <w:rPr/>
              <w:t xml:space="preserve">Absent</w:t>
            </w:r>
          </w:p>
        </w:tc>
      </w:tr>
      <w:tr>
        <w:tc>
          <w:tcPr>
            <w:tcW w:w="1800" w:type="dxa"/>
          </w:tcPr>
          <w:p>
            <w:pPr/>
            <w:r>
              <w:rPr/>
              <w:t xml:space="preserve">9380-N</w:t>
            </w:r>
          </w:p>
        </w:tc>
        <w:tc>
          <w:tcPr>
            <w:tcW w:w="1800" w:type="dxa"/>
          </w:tcPr>
          <w:p>
            <w:pPr/>
            <w:r>
              <w:rPr/>
              <w:t xml:space="preserve">168</w:t>
            </w:r>
          </w:p>
        </w:tc>
        <w:tc>
          <w:tcPr>
            <w:tcW w:w="1800" w:type="dxa"/>
          </w:tcPr>
          <w:p>
            <w:pPr/>
            <w:r>
              <w:rPr/>
              <w:t xml:space="preserve">₹8,21,537.75</w:t>
            </w:r>
          </w:p>
        </w:tc>
        <w:tc>
          <w:tcPr>
            <w:tcW w:w="1800" w:type="dxa"/>
          </w:tcPr>
          <w:p>
            <w:pPr/>
            <w:r>
              <w:rPr/>
              <w:t xml:space="preserve">Aug-26</w:t>
            </w:r>
          </w:p>
        </w:tc>
        <w:tc>
          <w:tcPr>
            <w:tcW w:w="1800" w:type="dxa"/>
          </w:tcPr>
          <w:p>
            <w:pPr/>
            <w:r>
              <w:rPr/>
              <w:t xml:space="preserve">Absent</w:t>
            </w:r>
          </w:p>
        </w:tc>
      </w:tr>
      <w:tr>
        <w:tc>
          <w:tcPr>
            <w:tcW w:w="1800" w:type="dxa"/>
          </w:tcPr>
          <w:p>
            <w:pPr/>
            <w:r>
              <w:rPr/>
              <w:t xml:space="preserve">P6808</w:t>
            </w:r>
          </w:p>
        </w:tc>
        <w:tc>
          <w:tcPr>
            <w:tcW w:w="1800" w:type="dxa"/>
          </w:tcPr>
          <w:p>
            <w:pPr/>
            <w:r>
              <w:rPr/>
              <w:t xml:space="preserve">1,194</w:t>
            </w:r>
          </w:p>
        </w:tc>
        <w:tc>
          <w:tcPr>
            <w:tcW w:w="1800" w:type="dxa"/>
          </w:tcPr>
          <w:p>
            <w:pPr/>
            <w:r>
              <w:rPr/>
              <w:t xml:space="preserve">₹7,22,545.40</w:t>
            </w:r>
          </w:p>
        </w:tc>
        <w:tc>
          <w:tcPr>
            <w:tcW w:w="1800" w:type="dxa"/>
          </w:tcPr>
          <w:p>
            <w:pPr/>
            <w:r>
              <w:rPr/>
              <w:t xml:space="preserve">Sep-26</w:t>
            </w:r>
          </w:p>
        </w:tc>
        <w:tc>
          <w:tcPr>
            <w:tcW w:w="1800" w:type="dxa"/>
          </w:tcPr>
          <w:p>
            <w:pPr/>
            <w:r>
              <w:rPr/>
              <w:t xml:space="preserve">Absent</w:t>
            </w:r>
          </w:p>
        </w:tc>
      </w:tr>
      <w:tr>
        <w:tc>
          <w:tcPr>
            <w:tcW w:w="1800" w:type="dxa"/>
          </w:tcPr>
          <w:p>
            <w:pPr/>
            <w:r>
              <w:rPr/>
              <w:t xml:space="preserve">WT-4LWP-05</w:t>
            </w:r>
          </w:p>
        </w:tc>
        <w:tc>
          <w:tcPr>
            <w:tcW w:w="1800" w:type="dxa"/>
          </w:tcPr>
          <w:p>
            <w:pPr/>
            <w:r>
              <w:rPr/>
              <w:t xml:space="preserve">251</w:t>
            </w:r>
          </w:p>
        </w:tc>
        <w:tc>
          <w:tcPr>
            <w:tcW w:w="1800" w:type="dxa"/>
          </w:tcPr>
          <w:p>
            <w:pPr/>
            <w:r>
              <w:rPr/>
              <w:t xml:space="preserve">₹6,79,560.00</w:t>
            </w:r>
          </w:p>
        </w:tc>
        <w:tc>
          <w:tcPr>
            <w:tcW w:w="1800" w:type="dxa"/>
          </w:tcPr>
          <w:p>
            <w:pPr/>
            <w:r>
              <w:rPr/>
              <w:t xml:space="preserve">Sep-26</w:t>
            </w:r>
          </w:p>
        </w:tc>
        <w:tc>
          <w:tcPr>
            <w:tcW w:w="1800" w:type="dxa"/>
          </w:tcPr>
          <w:p>
            <w:pPr/>
            <w:r>
              <w:rPr/>
              <w:t xml:space="preserve">Absent</w:t>
            </w:r>
          </w:p>
        </w:tc>
      </w:tr>
      <w:tr>
        <w:tc>
          <w:tcPr>
            <w:tcW w:w="1800" w:type="dxa"/>
          </w:tcPr>
          <w:p>
            <w:pPr/>
            <w:r>
              <w:rPr/>
              <w:t xml:space="preserve">326-K</w:t>
            </w:r>
          </w:p>
        </w:tc>
        <w:tc>
          <w:tcPr>
            <w:tcW w:w="1800" w:type="dxa"/>
          </w:tcPr>
          <w:p>
            <w:pPr/>
            <w:r>
              <w:rPr/>
              <w:t xml:space="preserve">9,400</w:t>
            </w:r>
          </w:p>
        </w:tc>
        <w:tc>
          <w:tcPr>
            <w:tcW w:w="1800" w:type="dxa"/>
          </w:tcPr>
          <w:p>
            <w:pPr/>
            <w:r>
              <w:rPr/>
              <w:t xml:space="preserve">₹6,63,014.28</w:t>
            </w:r>
          </w:p>
        </w:tc>
        <w:tc>
          <w:tcPr>
            <w:tcW w:w="1800" w:type="dxa"/>
          </w:tcPr>
          <w:p>
            <w:pPr/>
            <w:r>
              <w:rPr/>
              <w:t xml:space="preserve">Aug-26</w:t>
            </w:r>
          </w:p>
        </w:tc>
        <w:tc>
          <w:tcPr>
            <w:tcW w:w="1800" w:type="dxa"/>
          </w:tcPr>
          <w:p>
            <w:pPr/>
            <w:r>
              <w:rPr/>
              <w:t xml:space="preserve">Resolver match</w:t>
            </w:r>
          </w:p>
        </w:tc>
      </w:tr>
      <w:tr>
        <w:tc>
          <w:tcPr>
            <w:tcW w:w="1800" w:type="dxa"/>
          </w:tcPr>
          <w:p>
            <w:pPr/>
            <w:r>
              <w:rPr/>
              <w:t xml:space="preserve">P6810</w:t>
            </w:r>
          </w:p>
        </w:tc>
        <w:tc>
          <w:tcPr>
            <w:tcW w:w="1800" w:type="dxa"/>
          </w:tcPr>
          <w:p>
            <w:pPr/>
            <w:r>
              <w:rPr/>
              <w:t xml:space="preserve">1,489</w:t>
            </w:r>
          </w:p>
        </w:tc>
        <w:tc>
          <w:tcPr>
            <w:tcW w:w="1800" w:type="dxa"/>
          </w:tcPr>
          <w:p>
            <w:pPr/>
            <w:r>
              <w:rPr/>
              <w:t xml:space="preserve">₹5,81,876.80</w:t>
            </w:r>
          </w:p>
        </w:tc>
        <w:tc>
          <w:tcPr>
            <w:tcW w:w="1800" w:type="dxa"/>
          </w:tcPr>
          <w:p>
            <w:pPr/>
            <w:r>
              <w:rPr/>
              <w:t xml:space="preserve">Sep-26</w:t>
            </w:r>
          </w:p>
        </w:tc>
        <w:tc>
          <w:tcPr>
            <w:tcW w:w="1800" w:type="dxa"/>
          </w:tcPr>
          <w:p>
            <w:pPr/>
            <w:r>
              <w:rPr/>
              <w:t xml:space="preserve">Absent</w:t>
            </w:r>
          </w:p>
        </w:tc>
      </w:tr>
      <w:tr>
        <w:tc>
          <w:tcPr>
            <w:tcW w:w="1800" w:type="dxa"/>
          </w:tcPr>
          <w:p>
            <w:pPr/>
            <w:r>
              <w:rPr/>
              <w:t xml:space="preserve">PIS-26</w:t>
            </w:r>
          </w:p>
        </w:tc>
        <w:tc>
          <w:tcPr>
            <w:tcW w:w="1800" w:type="dxa"/>
          </w:tcPr>
          <w:p>
            <w:pPr/>
            <w:r>
              <w:rPr/>
              <w:t xml:space="preserve">904</w:t>
            </w:r>
          </w:p>
        </w:tc>
        <w:tc>
          <w:tcPr>
            <w:tcW w:w="1800" w:type="dxa"/>
          </w:tcPr>
          <w:p>
            <w:pPr/>
            <w:r>
              <w:rPr/>
              <w:t xml:space="preserve">₹5,25,040.00</w:t>
            </w:r>
          </w:p>
        </w:tc>
        <w:tc>
          <w:tcPr>
            <w:tcW w:w="1800" w:type="dxa"/>
          </w:tcPr>
          <w:p>
            <w:pPr/>
            <w:r>
              <w:rPr/>
              <w:t xml:space="preserve">Aug-26</w:t>
            </w:r>
          </w:p>
        </w:tc>
        <w:tc>
          <w:tcPr>
            <w:tcW w:w="1800" w:type="dxa"/>
          </w:tcPr>
          <w:p>
            <w:pPr/>
            <w:r>
              <w:rPr/>
              <w:t xml:space="preserve">Absent</w:t>
            </w:r>
          </w:p>
        </w:tc>
      </w:tr>
    </w:tbl>
    <w:p>
      <w:pPr/>
      <w:r>
        <w:rPr/>
        <w:t xml:space="preserve">Source for the table: SALES production neondb, April–September 2026; pricing status from Competition production Price Finder, read 18 September.</w:t>
      </w:r>
    </w:p>
    <w:p>
      <w:pPr>
        <w:pStyle w:val="Heading2"/>
      </w:pPr>
      <w:r>
        <w:rPr/>
        <w:t xml:space="preserve">B4. Explained cases and residue</w:t>
      </w:r>
    </w:p>
    <w:tbl>
      <w:tblPr>
        <w:tblStyle w:val="TableGrid"/>
        <w:tblW w:w="0" w:type="auto"/>
        <w:tblLook w:val="04A0"/>
      </w:tblPr>
      <w:tr>
        <w:tc>
          <w:tcPr>
            <w:tcW w:w="2250" w:type="dxa"/>
            <w:shd w:fill="D9EAF7"/>
          </w:tcPr>
          <w:p>
            <w:pPr/>
            <w:r>
              <w:rPr>
                <w:b/>
              </w:rPr>
              <w:t xml:space="preserve">Explained class</w:t>
            </w:r>
          </w:p>
        </w:tc>
        <w:tc>
          <w:tcPr>
            <w:tcW w:w="2250" w:type="dxa"/>
            <w:shd w:fill="D9EAF7"/>
          </w:tcPr>
          <w:p>
            <w:pPr/>
            <w:r>
              <w:rPr>
                <w:b/>
              </w:rPr>
              <w:t xml:space="preserve">Codes</w:t>
            </w:r>
          </w:p>
        </w:tc>
        <w:tc>
          <w:tcPr>
            <w:tcW w:w="2250" w:type="dxa"/>
            <w:shd w:fill="D9EAF7"/>
          </w:tcPr>
          <w:p>
            <w:pPr/>
            <w:r>
              <w:rPr>
                <w:b/>
              </w:rPr>
              <w:t xml:space="preserve">Value</w:t>
            </w:r>
          </w:p>
        </w:tc>
        <w:tc>
          <w:tcPr>
            <w:tcW w:w="2250" w:type="dxa"/>
            <w:shd w:fill="D9EAF7"/>
          </w:tcPr>
          <w:p>
            <w:pPr/>
            <w:r>
              <w:rPr>
                <w:b/>
              </w:rPr>
              <w:t xml:space="preserve">Database or source</w:t>
            </w:r>
          </w:p>
        </w:tc>
      </w:tr>
      <w:tr>
        <w:tc>
          <w:tcPr>
            <w:tcW w:w="2250" w:type="dxa"/>
          </w:tcPr>
          <w:p>
            <w:pPr/>
            <w:r>
              <w:rPr/>
              <w:t xml:space="preserve">Six ambiguous product-family codes</w:t>
            </w:r>
          </w:p>
        </w:tc>
        <w:tc>
          <w:tcPr>
            <w:tcW w:w="2250" w:type="dxa"/>
          </w:tcPr>
          <w:p>
            <w:pPr/>
            <w:r>
              <w:rPr/>
              <w:t xml:space="preserve">6</w:t>
            </w:r>
          </w:p>
        </w:tc>
        <w:tc>
          <w:tcPr>
            <w:tcW w:w="2250" w:type="dxa"/>
          </w:tcPr>
          <w:p>
            <w:pPr/>
            <w:r>
              <w:rPr/>
              <w:t xml:space="preserve">₹1,50,89,558.33</w:t>
            </w:r>
          </w:p>
        </w:tc>
        <w:tc>
          <w:tcPr>
            <w:tcW w:w="2250" w:type="dxa"/>
          </w:tcPr>
          <w:p>
            <w:pPr/>
            <w:r>
              <w:rPr/>
              <w:t xml:space="preserve">P008 report</w:t>
            </w:r>
          </w:p>
        </w:tc>
      </w:tr>
      <w:tr>
        <w:tc>
          <w:tcPr>
            <w:tcW w:w="2250" w:type="dxa"/>
          </w:tcPr>
          <w:p>
            <w:pPr/>
            <w:r>
              <w:rPr/>
              <w:t xml:space="preserve">Three distinct WCT products</w:t>
            </w:r>
          </w:p>
        </w:tc>
        <w:tc>
          <w:tcPr>
            <w:tcW w:w="2250" w:type="dxa"/>
          </w:tcPr>
          <w:p>
            <w:pPr/>
            <w:r>
              <w:rPr/>
              <w:t xml:space="preserve">3</w:t>
            </w:r>
          </w:p>
        </w:tc>
        <w:tc>
          <w:tcPr>
            <w:tcW w:w="2250" w:type="dxa"/>
          </w:tcPr>
          <w:p>
            <w:pPr/>
            <w:r>
              <w:rPr/>
              <w:t xml:space="preserve">₹1,21,53,183.03</w:t>
            </w:r>
          </w:p>
        </w:tc>
        <w:tc>
          <w:tcPr>
            <w:tcW w:w="2250" w:type="dxa"/>
          </w:tcPr>
          <w:p>
            <w:pPr/>
            <w:r>
              <w:rPr/>
              <w:t xml:space="preserve">SALES production through 17 September</w:t>
            </w:r>
          </w:p>
        </w:tc>
      </w:tr>
      <w:tr>
        <w:tc>
          <w:tcPr>
            <w:tcW w:w="2250" w:type="dxa"/>
          </w:tcPr>
          <w:p>
            <w:pPr/>
            <w:r>
              <w:rPr/>
              <w:t xml:space="preserve">Confirmed 324-K and 323-K normalisations</w:t>
            </w:r>
          </w:p>
        </w:tc>
        <w:tc>
          <w:tcPr>
            <w:tcW w:w="2250" w:type="dxa"/>
          </w:tcPr>
          <w:p>
            <w:pPr/>
            <w:r>
              <w:rPr/>
              <w:t xml:space="preserve">2</w:t>
            </w:r>
          </w:p>
        </w:tc>
        <w:tc>
          <w:tcPr>
            <w:tcW w:w="2250" w:type="dxa"/>
          </w:tcPr>
          <w:p>
            <w:pPr/>
            <w:r>
              <w:rPr/>
              <w:t xml:space="preserve">₹42,11,408.28</w:t>
            </w:r>
          </w:p>
        </w:tc>
        <w:tc>
          <w:tcPr>
            <w:tcW w:w="2250" w:type="dxa"/>
          </w:tcPr>
          <w:p>
            <w:pPr/>
            <w:r>
              <w:rPr/>
              <w:t xml:space="preserve">P008 report</w:t>
            </w:r>
          </w:p>
        </w:tc>
      </w:tr>
      <w:tr>
        <w:tc>
          <w:tcPr>
            <w:tcW w:w="2250" w:type="dxa"/>
          </w:tcPr>
          <w:p>
            <w:pPr/>
            <w:r>
              <w:rPr/>
              <w:t xml:space="preserve">Frozen discontinued population</w:t>
            </w:r>
          </w:p>
        </w:tc>
        <w:tc>
          <w:tcPr>
            <w:tcW w:w="2250" w:type="dxa"/>
          </w:tcPr>
          <w:p>
            <w:pPr/>
            <w:r>
              <w:rPr/>
              <w:t xml:space="preserve">70</w:t>
            </w:r>
          </w:p>
        </w:tc>
        <w:tc>
          <w:tcPr>
            <w:tcW w:w="2250" w:type="dxa"/>
          </w:tcPr>
          <w:p>
            <w:pPr/>
            <w:r>
              <w:rPr/>
              <w:t xml:space="preserve">₹20.15 lakh</w:t>
            </w:r>
          </w:p>
        </w:tc>
        <w:tc>
          <w:tcPr>
            <w:tcW w:w="2250" w:type="dxa"/>
          </w:tcPr>
          <w:p>
            <w:pPr/>
            <w:r>
              <w:rPr/>
              <w:t xml:space="preserve">Drive-reviewed master aggregate; retained Prompt 107/108</w:t>
            </w:r>
          </w:p>
        </w:tc>
      </w:tr>
      <w:tr>
        <w:tc>
          <w:tcPr>
            <w:tcW w:w="2250" w:type="dxa"/>
          </w:tcPr>
          <w:p>
            <w:pPr/>
            <w:r>
              <w:rPr/>
              <w:t xml:space="preserve">Explained aggregate</w:t>
            </w:r>
          </w:p>
        </w:tc>
        <w:tc>
          <w:tcPr>
            <w:tcW w:w="2250" w:type="dxa"/>
          </w:tcPr>
          <w:p>
            <w:pPr/>
            <w:r>
              <w:rPr/>
              <w:t xml:space="preserve">81</w:t>
            </w:r>
          </w:p>
        </w:tc>
        <w:tc>
          <w:tcPr>
            <w:tcW w:w="2250" w:type="dxa"/>
          </w:tcPr>
          <w:p>
            <w:pPr/>
            <w:r>
              <w:rPr/>
              <w:t xml:space="preserve">₹3,34,69,149.64</w:t>
            </w:r>
          </w:p>
        </w:tc>
        <w:tc>
          <w:tcPr>
            <w:tcW w:w="2250" w:type="dxa"/>
          </w:tcPr>
          <w:p>
            <w:pPr/>
            <w:r>
              <w:rPr/>
              <w:t xml:space="preserve">Combined cited sources</w:t>
            </w:r>
          </w:p>
        </w:tc>
      </w:tr>
      <w:tr>
        <w:tc>
          <w:tcPr>
            <w:tcW w:w="2250" w:type="dxa"/>
          </w:tcPr>
          <w:p>
            <w:pPr/>
            <w:r>
              <w:rPr/>
              <w:t xml:space="preserve">Arithmetic residue</w:t>
            </w:r>
          </w:p>
        </w:tc>
        <w:tc>
          <w:tcPr>
            <w:tcW w:w="2250" w:type="dxa"/>
          </w:tcPr>
          <w:p>
            <w:pPr/>
            <w:r>
              <w:rPr/>
              <w:t xml:space="preserve">789</w:t>
            </w:r>
          </w:p>
        </w:tc>
        <w:tc>
          <w:tcPr>
            <w:tcW w:w="2250" w:type="dxa"/>
          </w:tcPr>
          <w:p>
            <w:pPr/>
            <w:r>
              <w:rPr/>
              <w:t xml:space="preserve">₹7,68,73,287.95</w:t>
            </w:r>
          </w:p>
        </w:tc>
        <w:tc>
          <w:tcPr>
            <w:tcW w:w="2250" w:type="dxa"/>
          </w:tcPr>
          <w:p>
            <w:pPr/>
            <w:r>
              <w:rPr/>
              <w:t xml:space="preserve">P021 total less cited aggregates</w:t>
            </w:r>
          </w:p>
        </w:tc>
      </w:tr>
    </w:tbl>
    <w:p>
      <w:pPr/>
      <w:r>
        <w:rPr/>
        <w:t xml:space="preserve">The prompt’s “roughly ₹2.9 Cr smaller” estimate is low: the cited explained values total approximately ₹3.35 Cr, leaving approximately ₹7.69 Cr. The frozen 70-code annex is no longer retained, so overlap cannot be rechecked row by row; the residue is aggregate subtraction, not a newly reproduced row-level classification.</w:t>
      </w:r>
    </w:p>
    <w:p>
      <w:pPr>
        <w:pStyle w:val="Heading1"/>
      </w:pPr>
      <w:r>
        <w:rPr/>
        <w:t xml:space="preserve">Section C — historic prices and the not-offered rule</w:t>
      </w:r>
    </w:p>
    <w:p>
      <w:pPr>
        <w:pStyle w:val="Heading2"/>
      </w:pPr>
      <w:r>
        <w:rPr/>
        <w:t xml:space="preserve">C1. Period-effective lookup</w:t>
      </w:r>
    </w:p>
    <w:p>
      <w:pPr/>
      <w:r>
        <w:rPr/>
        <w:t xml:space="preserve">For closed historical periods, SALES uses effective-dated mrp_history: it prefers a price whose window contains the date, otherwise the latest price effective before the date. It does not backfill a closed period with today’s active price. The open/current FY uses active authoritative mrp_synced. Source: SALES repository historical SKU and primary-discount queries.</w:t>
      </w:r>
    </w:p>
    <w:p>
      <w:pPr>
        <w:pStyle w:val="Heading2"/>
      </w:pPr>
      <w:r>
        <w:rPr/>
        <w:t xml:space="preserve">C2. Ever-priced classification</w:t>
      </w:r>
    </w:p>
    <w:p>
      <w:pPr/>
      <w:r>
        <w:rPr/>
        <w:t xml:space="preserve">The 870 dated codes could not be truthfully split into never priced, previously priced but not now, and priced now but not when sold. The external sales endpoint exposes current catalogue status but not mrp_history; /api/mrp/:code/history requires an authenticated SALES session; no read-only SALES production database connection was available.</w:t>
      </w:r>
    </w:p>
    <w:p>
      <w:pPr>
        <w:pStyle w:val="Heading2"/>
      </w:pPr>
      <w:r>
        <w:rPr/>
        <w:t xml:space="preserve">C3. Sale with no effective price</w:t>
      </w:r>
    </w:p>
    <w:p>
      <w:pPr/>
      <w:r>
        <w:rPr/>
        <w:t xml:space="preserve">Closed-period primary discount calculations require an eligible effective-dated MRP row. A sale without one is excluded by the join; current MRP is not substituted. This follows the required rule: the product was not offered in that period. Source: SALES repository historical primary-discount implementation.</w:t>
      </w:r>
    </w:p>
    <w:p>
      <w:pPr>
        <w:pStyle w:val="Heading2"/>
      </w:pPr>
      <w:r>
        <w:rPr/>
        <w:t xml:space="preserve">C4. Excluded value per FY</w:t>
      </w:r>
    </w:p>
    <w:p>
      <w:pPr/>
      <w:r>
        <w:rPr/>
        <w:t xml:space="preserve">The implementation excludes unpriceable historical rows, but the external API neither returns nor persists the excluded value by FY as a coverage result. Calculating it requires a read-only production join between sale_line_current and mrp_history. That database was unavailable, so no per-FY amount is claimed.</w:t>
      </w:r>
    </w:p>
    <w:p>
      <w:pPr>
        <w:pStyle w:val="Heading1"/>
      </w:pPr>
      <w:r>
        <w:rPr/>
        <w:t xml:space="preserve">Section D — recommendations only</w:t>
      </w:r>
    </w:p>
    <w:p>
      <w:pPr>
        <w:pStyle w:val="Heading2"/>
      </w:pPr>
      <w:r>
        <w:rPr/>
        <w:t xml:space="preserve">D1. MRP freshness indicator</w:t>
      </w:r>
    </w:p>
    <w:p>
      <w:pPr>
        <w:pStyle w:val="ListBullet"/>
      </w:pPr>
      <w:r>
        <w:rPr/>
        <w:t xml:space="preserve">Place a compact freshness indicator on every price-derived page and a detailed panel in Data Health.</w:t>
      </w:r>
    </w:p>
    <w:p>
      <w:pPr>
        <w:pStyle w:val="ListBullet"/>
      </w:pPr>
      <w:r>
        <w:rPr/>
        <w:t xml:space="preserve">Show last successful fetch, age in hours, active row count, source row count, sold-code coverage, unpriceable code count/value and latest error.</w:t>
      </w:r>
    </w:p>
    <w:p>
      <w:pPr>
        <w:pStyle w:val="ListBullet"/>
      </w:pPr>
      <w:r>
        <w:rPr/>
        <w:t xml:space="preserve">Use Current below 30 hours with reconciled counts; Warning at 30–48 hours or count disagreement; Critical above 48 hours, no active generation or failed latest refresh.</w:t>
      </w:r>
    </w:p>
    <w:p>
      <w:pPr>
        <w:pStyle w:val="Heading2"/>
      </w:pPr>
      <w:r>
        <w:rPr/>
        <w:t xml:space="preserve">D2. Standing unpriced-code check</w:t>
      </w:r>
    </w:p>
    <w:p>
      <w:pPr>
        <w:pStyle w:val="ListBullet"/>
      </w:pPr>
      <w:r>
        <w:rPr/>
        <w:t xml:space="preserve">Show both exact authority gap and unresolved-after-normalisation; do not combine them.</w:t>
      </w:r>
    </w:p>
    <w:p>
      <w:pPr>
        <w:pStyle w:val="ListBullet"/>
      </w:pPr>
      <w:r>
        <w:rPr/>
        <w:t xml:space="preserve">Place the check in Data Health, the dashboard header and every discount/realisation report.</w:t>
      </w:r>
    </w:p>
    <w:p>
      <w:pPr>
        <w:pStyle w:val="ListBullet"/>
      </w:pPr>
      <w:r>
        <w:rPr/>
        <w:t xml:space="preserve">Warn above 1% of selected sales value; make it critical above 5% or where an unpriced product sold in each of the latest three complete months.</w:t>
      </w:r>
    </w:p>
    <w:p>
      <w:pPr>
        <w:pStyle w:val="ListBullet"/>
      </w:pPr>
      <w:r>
        <w:rPr/>
        <w:t xml:space="preserve">Rank steady sellers first.</w:t>
      </w:r>
    </w:p>
    <w:p>
      <w:pPr>
        <w:pStyle w:val="Heading2"/>
      </w:pPr>
      <w:r>
        <w:rPr/>
        <w:t xml:space="preserve">D3. Coverage floor</w:t>
      </w:r>
    </w:p>
    <w:p>
      <w:pPr>
        <w:pStyle w:val="ListBullet"/>
      </w:pPr>
      <w:r>
        <w:rPr/>
        <w:t xml:space="preserve">At or above 75% value coverage, show the metric with covered and excluded values.</w:t>
      </w:r>
    </w:p>
    <w:p>
      <w:pPr>
        <w:pStyle w:val="ListBullet"/>
      </w:pPr>
      <w:r>
        <w:rPr/>
        <w:t xml:space="preserve">Below 75%, suppress the headline discount/realisation figure and show “insufficient MRP coverage.”</w:t>
      </w:r>
    </w:p>
    <w:p>
      <w:pPr>
        <w:pStyle w:val="ListBullet"/>
      </w:pPr>
      <w:r>
        <w:rPr/>
        <w:t xml:space="preserve">Never treat a period without an effective price as zero-priced sales.</w:t>
      </w:r>
    </w:p>
    <w:p>
      <w:pPr>
        <w:pStyle w:val="ListBullet"/>
      </w:pPr>
      <w:r>
        <w:rPr/>
        <w:t xml:space="preserve">Always state excluded sales value and code count beside the metric.</w:t>
      </w:r>
    </w:p>
    <w:p>
      <w:pPr>
        <w:pStyle w:val="Heading1"/>
      </w:pPr>
      <w:r>
        <w:rPr/>
        <w:t xml:space="preserve">Source and access note</w:t>
      </w:r>
    </w:p>
    <w:p>
      <w:pPr/>
      <w:r>
        <w:rPr/>
        <w:t xml:space="preserve">Production figures in this report are explicitly labelled as SALES production neondb external API, retained SALES production reports, Competition production public Price Finder, P008, or repository source. The investigation did not use direct production SQL and did not change either application.</w:t>
      </w:r>
    </w:p>
    <w:sectPr>
      <w:pgSz w:w="11906" w:h="16838"/>
      <w:pgMar w:top="1000" w:right="900" w:bottom="1000" w:left="900" w:header="500" w:footer="500"/>
    </w:sectPr>
  </w:body>
</w:document>
</file>

<file path=word/styles.xml><?xml version="1.0" encoding="utf-8"?>
<w:styles xmlns:w="http://schemas.openxmlformats.org/wordprocessingml/2006/main">
  <w:style w:type="paragraph" w:default="1" w:styleId="Normal">
    <w:name w:val="Normal"/>
    <w:rPr>
      <w:rFonts w:ascii="Aptos" w:hAnsi="Aptos"/>
      <w:sz w:val="20"/>
    </w:rPr>
    <w:pPr>
      <w:spacing w:after="120"/>
    </w:pPr>
  </w:style>
  <w:style w:type="paragraph" w:styleId="Title">
    <w:name w:val="Title"/>
    <w:basedOn w:val="Normal"/>
    <w:pPr>
      <w:spacing w:after="160"/>
    </w:pPr>
    <w:rPr>
      <w:b/>
      <w:color w:val="123B5D"/>
      <w:sz w:val="40"/>
    </w:rPr>
  </w:style>
  <w:style w:type="paragraph" w:styleId="Subtitle">
    <w:name w:val="Subtitle"/>
    <w:basedOn w:val="Normal"/>
    <w:rPr>
      <w:color w:val="3F6F91"/>
      <w:sz w:val="26"/>
    </w:rPr>
  </w:style>
  <w:style w:type="paragraph" w:styleId="Heading1">
    <w:name w:val="heading 1"/>
    <w:basedOn w:val="Normal"/>
    <w:pPr>
      <w:keepNext/>
      <w:spacing w:before="280" w:after="120"/>
    </w:pPr>
    <w:rPr>
      <w:b/>
      <w:color w:val="123B5D"/>
      <w:sz w:val="30"/>
    </w:rPr>
  </w:style>
  <w:style w:type="paragraph" w:styleId="Heading2">
    <w:name w:val="heading 2"/>
    <w:basedOn w:val="Normal"/>
    <w:pPr>
      <w:keepNext/>
      <w:spacing w:before="220" w:after="100"/>
    </w:pPr>
    <w:rPr>
      <w:b/>
      <w:color w:val="24577A"/>
      <w:sz w:val="24"/>
    </w:rPr>
  </w:style>
  <w:style w:type="paragraph" w:styleId="ListBullet">
    <w:name w:val="List Bullet"/>
    <w:basedOn w:val="Normal"/>
    <w:pPr>
      <w:ind w:left="420" w:hanging="220"/>
      <w:spacing w:after="80"/>
    </w:pPr>
  </w:style>
  <w:style w:type="table" w:styleId="TableGrid">
    <w:name w:val="Table Grid"/>
    <w:tblPr>
      <w:tblBorders>
        <w:top w:val="single" w:sz="4" w:color="B8C8D4"/>
        <w:left w:val="single" w:sz="4" w:color="B8C8D4"/>
        <w:bottom w:val="single" w:sz="4" w:color="B8C8D4"/>
        <w:right w:val="single" w:sz="4" w:color="B8C8D4"/>
        <w:insideH w:val="single" w:sz="4" w:color="B8C8D4"/>
        <w:insideV w:val="single" w:sz="4" w:color="B8C8D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P021 — SALES Read-Only Investigation</dc:title>
  <dc:subject>MRP refresh and unpriced-code investigation</dc:subject>
  <dc:creator>Replit Agent</dc:creator>
  <dcterms:created xsi:type="dcterms:W3CDTF">2026-09-18T00:00:00Z</dcterms:created>
</cp:coreProperties>
</file>