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36"/>
          <w:szCs w:val="36"/>
        </w:rPr>
        <w:t xml:space="preserve">How Individual Supplier Prices Are Read</w:t>
      </w:r>
    </w:p>
    <w:p>
      <w:pPr>
        <w:spacing w:after="240"/>
      </w:pPr>
      <w:r>
        <w:rPr>
          <w:i/>
          <w:iCs/>
          <w:color w:val="555555"/>
        </w:rPr>
        <w:t xml:space="preserve">Prayag Competition Analysis — data flow explained in plain language</w:t>
      </w:r>
    </w:p>
    <w:p>
      <w:pPr>
        <w:pStyle w:val="Heading1"/>
        <w:spacing w:after="120" w:before="240"/>
      </w:pPr>
      <w:r>
        <w:t xml:space="preserve">1. Where supplier prices live</w:t>
      </w:r>
    </w:p>
    <w:p>
      <w:pPr>
        <w:spacing w:after="120"/>
      </w:pPr>
      <w:r>
        <w:t xml:space="preserve">Every individual supplier's price is stored in one table called competitor_prices. Each row is a single product from a single supplier. The column named "competitor" holds the supplier's brand name (for example Astral, Finolex, Supreme, Hindware), which is how one supplier's prices are kept separate from another's.</w:t>
      </w:r>
    </w:p>
    <w:p>
      <w:pPr>
        <w:spacing w:after="120"/>
      </w:pPr>
      <w:r>
        <w:t xml:space="preserve">All suppliers share the exact same table shape, so adding a new supplier never needs a new table — their rows simply carry a different value in the "competitor" column.</w:t>
      </w:r>
    </w:p>
    <w:p>
      <w:pPr>
        <w:pStyle w:val="Heading1"/>
        <w:spacing w:after="120" w:before="240"/>
      </w:pPr>
      <w:r>
        <w:t xml:space="preserve">2. Where Prayag's own price comes from</w:t>
      </w:r>
    </w:p>
    <w:p>
      <w:pPr>
        <w:spacing w:after="120"/>
      </w:pPr>
      <w:r>
        <w:t xml:space="preserve">Prayag's prices live in a separate table called mrp_price_history. This table keeps a full history — every price load adds new rows and nothing is ever overwritten. The one current price for each product is the row marked is_current = true (the latest effective date). The dashboard always compares suppliers against this current Prayag MRP.</w:t>
      </w:r>
    </w:p>
    <w:p>
      <w:pPr>
        <w:pStyle w:val="Heading1"/>
        <w:spacing w:after="120" w:before="240"/>
      </w:pPr>
      <w:r>
        <w:t xml:space="preserve">3. How a supplier price is matched to a Prayag product</w:t>
      </w:r>
    </w:p>
    <w:p>
      <w:pPr>
        <w:spacing w:after="120"/>
      </w:pPr>
      <w:r>
        <w:t xml:space="preserve">A supplier price is only useful once we know which Prayag product it corresponds to. Each competitor_prices row carries a matched_prayag_code that links it to a product in the master catalog (catalog_products). The quality of that link is recorded as match_confidence (High, Medium, or Low) and match_status.</w:t>
      </w:r>
    </w:p>
    <w:p>
      <w:pPr>
        <w:pStyle w:val="ListParagraph"/>
        <w:numPr>
          <w:ilvl w:val="0"/>
          <w:numId w:val="1"/>
        </w:numPr>
        <w:spacing w:after="60"/>
      </w:pPr>
      <w:r>
        <w:t xml:space="preserve">match_status = "matched": the link is confirmed and the price will be compared.</w:t>
      </w:r>
    </w:p>
    <w:p>
      <w:pPr>
        <w:pStyle w:val="ListParagraph"/>
        <w:numPr>
          <w:ilvl w:val="0"/>
          <w:numId w:val="1"/>
        </w:numPr>
        <w:spacing w:after="60"/>
      </w:pPr>
      <w:r>
        <w:t xml:space="preserve">Any other status (e.g. "no match (review)"): the price is counted in coverage, but NOT used in any price-gap calculation.</w:t>
      </w:r>
    </w:p>
    <w:p>
      <w:pPr>
        <w:spacing w:after="120"/>
      </w:pPr>
      <w:r>
        <w:t xml:space="preserve">Important: a price gap is only ever computed when the row is matched AND Prayag has a current MRP for that product AND the supplier price exists. This keeps the comparison honest.</w:t>
      </w:r>
    </w:p>
    <w:p>
      <w:pPr>
        <w:pStyle w:val="Heading1"/>
        <w:spacing w:after="120" w:before="240"/>
      </w:pPr>
      <w:r>
        <w:t xml:space="preserve">4. Making prices comparable (GST normalization)</w:t>
      </w:r>
    </w:p>
    <w:p>
      <w:pPr>
        <w:spacing w:after="120"/>
      </w:pPr>
      <w:r>
        <w:t xml:space="preserve">Suppliers quote prices on different bases. The "unit" column tells us how to read each supplier's price before comparing:</w:t>
      </w:r>
    </w:p>
    <w:p>
      <w:pPr>
        <w:pStyle w:val="ListParagraph"/>
        <w:numPr>
          <w:ilvl w:val="0"/>
          <w:numId w:val="1"/>
        </w:numPr>
        <w:spacing w:after="60"/>
      </w:pPr>
      <w:r>
        <w:t xml:space="preserve">unit = "Rate (ex-GST)": the price is before tax, so we add 18% GST (multiply by 1.18) to get the effective price.</w:t>
      </w:r>
    </w:p>
    <w:p>
      <w:pPr>
        <w:pStyle w:val="ListParagraph"/>
        <w:numPr>
          <w:ilvl w:val="0"/>
          <w:numId w:val="1"/>
        </w:numPr>
        <w:spacing w:after="60"/>
      </w:pPr>
      <w:r>
        <w:t xml:space="preserve">unit is empty or anything else: the price is already comparable to Prayag's MRP and is used as-is.</w:t>
      </w:r>
    </w:p>
    <w:p>
      <w:pPr>
        <w:spacing w:after="120"/>
      </w:pPr>
      <w:r>
        <w:t xml:space="preserve">This adjusted figure is called the "effective price", and it is what actually gets compared to Prayag's MRP.</w:t>
      </w:r>
    </w:p>
    <w:p>
      <w:pPr>
        <w:pStyle w:val="Heading1"/>
        <w:spacing w:after="120" w:before="240"/>
      </w:pPr>
      <w:r>
        <w:t xml:space="preserve">5. How the price gap is calculated</w:t>
      </w:r>
    </w:p>
    <w:p>
      <w:pPr>
        <w:spacing w:after="120"/>
      </w:pPr>
      <w:r>
        <w:t xml:space="preserve">Once the supplier's effective price and Prayag's current MRP are both known:</w:t>
      </w:r>
    </w:p>
    <w:p>
      <w:pPr>
        <w:pStyle w:val="ListParagraph"/>
        <w:numPr>
          <w:ilvl w:val="0"/>
          <w:numId w:val="1"/>
        </w:numPr>
        <w:spacing w:after="60"/>
      </w:pPr>
      <w:r>
        <w:t xml:space="preserve">Price gap = supplier effective price minus Prayag MRP.</w:t>
      </w:r>
    </w:p>
    <w:p>
      <w:pPr>
        <w:pStyle w:val="ListParagraph"/>
        <w:numPr>
          <w:ilvl w:val="0"/>
          <w:numId w:val="1"/>
        </w:numPr>
        <w:spacing w:after="60"/>
      </w:pPr>
      <w:r>
        <w:t xml:space="preserve">Price gap % = price gap divided by Prayag MRP, times 100.</w:t>
      </w:r>
    </w:p>
    <w:p>
      <w:pPr>
        <w:spacing w:after="120"/>
      </w:pPr>
      <w:r>
        <w:t xml:space="preserve">The sign tells the story: a positive number means the supplier is more expensive than Prayag, i.e. Prayag is cheaper — shown in GREEN as a margin/opportunity. A negative number means Prayag is more expensive — shown in RED as a competitive threat.</w:t>
      </w:r>
    </w:p>
    <w:p>
      <w:pPr>
        <w:pStyle w:val="Heading1"/>
        <w:spacing w:after="120" w:before="240"/>
      </w:pPr>
      <w:r>
        <w:t xml:space="preserve">6. Worked example</w:t>
      </w:r>
    </w:p>
    <w:p>
      <w:pPr>
        <w:spacing w:after="120"/>
      </w:pPr>
      <w:r>
        <w:t xml:space="preserve">Suppose Astral lists a product at 100, marked "Rate (ex-GST)", and it is matched to a Prayag product whose current MRP is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BBBBBB" w:sz="1"/>
              <w:left w:val="single" w:color="BBBBBB" w:sz="1"/>
              <w:bottom w:val="single" w:color="BBBBBB" w:sz="1"/>
              <w:right w:val="single" w:color="BBBBBB" w:sz="1"/>
            </w:tcBorders>
          </w:tcPr>
          <w:p>
            <w:r>
              <w:rPr>
                <w:b/>
                <w:bCs/>
              </w:rPr>
              <w:t xml:space="preserve">Field</w:t>
            </w:r>
          </w:p>
        </w:tc>
        <w:tc>
          <w:tcPr>
            <w:tcW w:type="pct" w:w="33%"/>
            <w:tcBorders>
              <w:top w:val="single" w:color="BBBBBB" w:sz="1"/>
              <w:left w:val="single" w:color="BBBBBB" w:sz="1"/>
              <w:bottom w:val="single" w:color="BBBBBB" w:sz="1"/>
              <w:right w:val="single" w:color="BBBBBB" w:sz="1"/>
            </w:tcBorders>
          </w:tcPr>
          <w:p>
            <w:r>
              <w:rPr>
                <w:b/>
                <w:bCs/>
              </w:rPr>
              <w:t xml:space="preserve">Value</w:t>
            </w:r>
          </w:p>
        </w:tc>
        <w:tc>
          <w:tcPr>
            <w:tcW w:type="pct" w:w="33%"/>
            <w:tcBorders>
              <w:top w:val="single" w:color="BBBBBB" w:sz="1"/>
              <w:left w:val="single" w:color="BBBBBB" w:sz="1"/>
              <w:bottom w:val="single" w:color="BBBBBB" w:sz="1"/>
              <w:right w:val="single" w:color="BBBBBB" w:sz="1"/>
            </w:tcBorders>
          </w:tcPr>
          <w:p>
            <w:r>
              <w:rPr>
                <w:b/>
                <w:bCs/>
              </w:rPr>
              <w:t xml:space="preserve">Meaning</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competitor</w:t>
            </w:r>
          </w:p>
        </w:tc>
        <w:tc>
          <w:tcPr>
            <w:tcW w:type="pct" w:w="33%"/>
            <w:tcBorders>
              <w:top w:val="single" w:color="BBBBBB" w:sz="1"/>
              <w:left w:val="single" w:color="BBBBBB" w:sz="1"/>
              <w:bottom w:val="single" w:color="BBBBBB" w:sz="1"/>
              <w:right w:val="single" w:color="BBBBBB" w:sz="1"/>
            </w:tcBorders>
          </w:tcPr>
          <w:p>
            <w:r>
              <w:rPr>
                <w:b w:val="false"/>
                <w:bCs w:val="false"/>
              </w:rPr>
              <w:t xml:space="preserve">Astral</w:t>
            </w:r>
          </w:p>
        </w:tc>
        <w:tc>
          <w:tcPr>
            <w:tcW w:type="pct" w:w="33%"/>
            <w:tcBorders>
              <w:top w:val="single" w:color="BBBBBB" w:sz="1"/>
              <w:left w:val="single" w:color="BBBBBB" w:sz="1"/>
              <w:bottom w:val="single" w:color="BBBBBB" w:sz="1"/>
              <w:right w:val="single" w:color="BBBBBB" w:sz="1"/>
            </w:tcBorders>
          </w:tcPr>
          <w:p>
            <w:r>
              <w:rPr>
                <w:b w:val="false"/>
                <w:bCs w:val="false"/>
              </w:rPr>
              <w:t xml:space="preserve">Which supplier this price belongs to</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price</w:t>
            </w:r>
          </w:p>
        </w:tc>
        <w:tc>
          <w:tcPr>
            <w:tcW w:type="pct" w:w="33%"/>
            <w:tcBorders>
              <w:top w:val="single" w:color="BBBBBB" w:sz="1"/>
              <w:left w:val="single" w:color="BBBBBB" w:sz="1"/>
              <w:bottom w:val="single" w:color="BBBBBB" w:sz="1"/>
              <w:right w:val="single" w:color="BBBBBB" w:sz="1"/>
            </w:tcBorders>
          </w:tcPr>
          <w:p>
            <w:r>
              <w:rPr>
                <w:b w:val="false"/>
                <w:bCs w:val="false"/>
              </w:rPr>
              <w:t xml:space="preserve">100</w:t>
            </w:r>
          </w:p>
        </w:tc>
        <w:tc>
          <w:tcPr>
            <w:tcW w:type="pct" w:w="33%"/>
            <w:tcBorders>
              <w:top w:val="single" w:color="BBBBBB" w:sz="1"/>
              <w:left w:val="single" w:color="BBBBBB" w:sz="1"/>
              <w:bottom w:val="single" w:color="BBBBBB" w:sz="1"/>
              <w:right w:val="single" w:color="BBBBBB" w:sz="1"/>
            </w:tcBorders>
          </w:tcPr>
          <w:p>
            <w:r>
              <w:rPr>
                <w:b w:val="false"/>
                <w:bCs w:val="false"/>
              </w:rPr>
              <w:t xml:space="preserve">The raw price printed on Astral's list</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unit</w:t>
            </w:r>
          </w:p>
        </w:tc>
        <w:tc>
          <w:tcPr>
            <w:tcW w:type="pct" w:w="33%"/>
            <w:tcBorders>
              <w:top w:val="single" w:color="BBBBBB" w:sz="1"/>
              <w:left w:val="single" w:color="BBBBBB" w:sz="1"/>
              <w:bottom w:val="single" w:color="BBBBBB" w:sz="1"/>
              <w:right w:val="single" w:color="BBBBBB" w:sz="1"/>
            </w:tcBorders>
          </w:tcPr>
          <w:p>
            <w:r>
              <w:rPr>
                <w:b w:val="false"/>
                <w:bCs w:val="false"/>
              </w:rPr>
              <w:t xml:space="preserve">Rate (ex-GST)</w:t>
            </w:r>
          </w:p>
        </w:tc>
        <w:tc>
          <w:tcPr>
            <w:tcW w:type="pct" w:w="33%"/>
            <w:tcBorders>
              <w:top w:val="single" w:color="BBBBBB" w:sz="1"/>
              <w:left w:val="single" w:color="BBBBBB" w:sz="1"/>
              <w:bottom w:val="single" w:color="BBBBBB" w:sz="1"/>
              <w:right w:val="single" w:color="BBBBBB" w:sz="1"/>
            </w:tcBorders>
          </w:tcPr>
          <w:p>
            <w:r>
              <w:rPr>
                <w:b w:val="false"/>
                <w:bCs w:val="false"/>
              </w:rPr>
              <w:t xml:space="preserve">Price is before GST -&gt; add 18%</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Effective price</w:t>
            </w:r>
          </w:p>
        </w:tc>
        <w:tc>
          <w:tcPr>
            <w:tcW w:type="pct" w:w="33%"/>
            <w:tcBorders>
              <w:top w:val="single" w:color="BBBBBB" w:sz="1"/>
              <w:left w:val="single" w:color="BBBBBB" w:sz="1"/>
              <w:bottom w:val="single" w:color="BBBBBB" w:sz="1"/>
              <w:right w:val="single" w:color="BBBBBB" w:sz="1"/>
            </w:tcBorders>
          </w:tcPr>
          <w:p>
            <w:r>
              <w:rPr>
                <w:b w:val="false"/>
                <w:bCs w:val="false"/>
              </w:rPr>
              <w:t xml:space="preserve">118</w:t>
            </w:r>
          </w:p>
        </w:tc>
        <w:tc>
          <w:tcPr>
            <w:tcW w:type="pct" w:w="33%"/>
            <w:tcBorders>
              <w:top w:val="single" w:color="BBBBBB" w:sz="1"/>
              <w:left w:val="single" w:color="BBBBBB" w:sz="1"/>
              <w:bottom w:val="single" w:color="BBBBBB" w:sz="1"/>
              <w:right w:val="single" w:color="BBBBBB" w:sz="1"/>
            </w:tcBorders>
          </w:tcPr>
          <w:p>
            <w:r>
              <w:rPr>
                <w:b w:val="false"/>
                <w:bCs w:val="false"/>
              </w:rPr>
              <w:t xml:space="preserve">100 x 1.18 = 118 (now comparable to Prayag MRP)</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matched_prayag_code</w:t>
            </w:r>
          </w:p>
        </w:tc>
        <w:tc>
          <w:tcPr>
            <w:tcW w:type="pct" w:w="33%"/>
            <w:tcBorders>
              <w:top w:val="single" w:color="BBBBBB" w:sz="1"/>
              <w:left w:val="single" w:color="BBBBBB" w:sz="1"/>
              <w:bottom w:val="single" w:color="BBBBBB" w:sz="1"/>
              <w:right w:val="single" w:color="BBBBBB" w:sz="1"/>
            </w:tcBorders>
          </w:tcPr>
          <w:p>
            <w:r>
              <w:rPr>
                <w:b w:val="false"/>
                <w:bCs w:val="false"/>
              </w:rPr>
              <w:t xml:space="preserve">PG-110-SWR</w:t>
            </w:r>
          </w:p>
        </w:tc>
        <w:tc>
          <w:tcPr>
            <w:tcW w:type="pct" w:w="33%"/>
            <w:tcBorders>
              <w:top w:val="single" w:color="BBBBBB" w:sz="1"/>
              <w:left w:val="single" w:color="BBBBBB" w:sz="1"/>
              <w:bottom w:val="single" w:color="BBBBBB" w:sz="1"/>
              <w:right w:val="single" w:color="BBBBBB" w:sz="1"/>
            </w:tcBorders>
          </w:tcPr>
          <w:p>
            <w:r>
              <w:rPr>
                <w:b w:val="false"/>
                <w:bCs w:val="false"/>
              </w:rPr>
              <w:t xml:space="preserve">Linked to a Prayag product</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Prayag current MRP</w:t>
            </w:r>
          </w:p>
        </w:tc>
        <w:tc>
          <w:tcPr>
            <w:tcW w:type="pct" w:w="33%"/>
            <w:tcBorders>
              <w:top w:val="single" w:color="BBBBBB" w:sz="1"/>
              <w:left w:val="single" w:color="BBBBBB" w:sz="1"/>
              <w:bottom w:val="single" w:color="BBBBBB" w:sz="1"/>
              <w:right w:val="single" w:color="BBBBBB" w:sz="1"/>
            </w:tcBorders>
          </w:tcPr>
          <w:p>
            <w:r>
              <w:rPr>
                <w:b w:val="false"/>
                <w:bCs w:val="false"/>
              </w:rPr>
              <w:t xml:space="preserve">100</w:t>
            </w:r>
          </w:p>
        </w:tc>
        <w:tc>
          <w:tcPr>
            <w:tcW w:type="pct" w:w="33%"/>
            <w:tcBorders>
              <w:top w:val="single" w:color="BBBBBB" w:sz="1"/>
              <w:left w:val="single" w:color="BBBBBB" w:sz="1"/>
              <w:bottom w:val="single" w:color="BBBBBB" w:sz="1"/>
              <w:right w:val="single" w:color="BBBBBB" w:sz="1"/>
            </w:tcBorders>
          </w:tcPr>
          <w:p>
            <w:r>
              <w:rPr>
                <w:b w:val="false"/>
                <w:bCs w:val="false"/>
              </w:rPr>
              <w:t xml:space="preserve">From mrp_price_history where is_current = true</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Price gap</w:t>
            </w:r>
          </w:p>
        </w:tc>
        <w:tc>
          <w:tcPr>
            <w:tcW w:type="pct" w:w="33%"/>
            <w:tcBorders>
              <w:top w:val="single" w:color="BBBBBB" w:sz="1"/>
              <w:left w:val="single" w:color="BBBBBB" w:sz="1"/>
              <w:bottom w:val="single" w:color="BBBBBB" w:sz="1"/>
              <w:right w:val="single" w:color="BBBBBB" w:sz="1"/>
            </w:tcBorders>
          </w:tcPr>
          <w:p>
            <w:r>
              <w:rPr>
                <w:b w:val="false"/>
                <w:bCs w:val="false"/>
              </w:rPr>
              <w:t xml:space="preserve">+18</w:t>
            </w:r>
          </w:p>
        </w:tc>
        <w:tc>
          <w:tcPr>
            <w:tcW w:type="pct" w:w="33%"/>
            <w:tcBorders>
              <w:top w:val="single" w:color="BBBBBB" w:sz="1"/>
              <w:left w:val="single" w:color="BBBBBB" w:sz="1"/>
              <w:bottom w:val="single" w:color="BBBBBB" w:sz="1"/>
              <w:right w:val="single" w:color="BBBBBB" w:sz="1"/>
            </w:tcBorders>
          </w:tcPr>
          <w:p>
            <w:r>
              <w:rPr>
                <w:b w:val="false"/>
                <w:bCs w:val="false"/>
              </w:rPr>
              <w:t xml:space="preserve">118 - 100 = Prayag is cheaper by 18 (good / green)</w:t>
            </w:r>
          </w:p>
        </w:tc>
      </w:tr>
      <w:tr>
        <w:tc>
          <w:tcPr>
            <w:tcW w:type="pct" w:w="33%"/>
            <w:tcBorders>
              <w:top w:val="single" w:color="BBBBBB" w:sz="1"/>
              <w:left w:val="single" w:color="BBBBBB" w:sz="1"/>
              <w:bottom w:val="single" w:color="BBBBBB" w:sz="1"/>
              <w:right w:val="single" w:color="BBBBBB" w:sz="1"/>
            </w:tcBorders>
          </w:tcPr>
          <w:p>
            <w:r>
              <w:rPr>
                <w:b w:val="false"/>
                <w:bCs w:val="false"/>
              </w:rPr>
              <w:t xml:space="preserve">Price gap %</w:t>
            </w:r>
          </w:p>
        </w:tc>
        <w:tc>
          <w:tcPr>
            <w:tcW w:type="pct" w:w="33%"/>
            <w:tcBorders>
              <w:top w:val="single" w:color="BBBBBB" w:sz="1"/>
              <w:left w:val="single" w:color="BBBBBB" w:sz="1"/>
              <w:bottom w:val="single" w:color="BBBBBB" w:sz="1"/>
              <w:right w:val="single" w:color="BBBBBB" w:sz="1"/>
            </w:tcBorders>
          </w:tcPr>
          <w:p>
            <w:r>
              <w:rPr>
                <w:b w:val="false"/>
                <w:bCs w:val="false"/>
              </w:rPr>
              <w:t xml:space="preserve">+18%</w:t>
            </w:r>
          </w:p>
        </w:tc>
        <w:tc>
          <w:tcPr>
            <w:tcW w:type="pct" w:w="33%"/>
            <w:tcBorders>
              <w:top w:val="single" w:color="BBBBBB" w:sz="1"/>
              <w:left w:val="single" w:color="BBBBBB" w:sz="1"/>
              <w:bottom w:val="single" w:color="BBBBBB" w:sz="1"/>
              <w:right w:val="single" w:color="BBBBBB" w:sz="1"/>
            </w:tcBorders>
          </w:tcPr>
          <w:p>
            <w:r>
              <w:rPr>
                <w:b w:val="false"/>
                <w:bCs w:val="false"/>
              </w:rPr>
              <w:t xml:space="preserve">Positive = Prayag cheaper = margin headroom</w:t>
            </w:r>
          </w:p>
        </w:tc>
      </w:tr>
    </w:tbl>
    <w:p>
      <w:pPr>
        <w:pStyle w:val="Heading1"/>
        <w:spacing w:after="120" w:before="240"/>
      </w:pPr>
      <w:r>
        <w:t xml:space="preserve">7. How filters work</w:t>
      </w:r>
    </w:p>
    <w:p>
      <w:pPr>
        <w:spacing w:after="120"/>
      </w:pPr>
      <w:r>
        <w:t xml:space="preserve">Every screen and export on the Analysis dashboard reads from the same prepared list of rows, then applies the same set of filters: supplier (one or many), division, category, match confidence, and match status. Because all views share one pipeline, the numbers stay consistent no matter which chart or table you look at.</w:t>
      </w:r>
    </w:p>
    <w:p>
      <w:pPr>
        <w:pStyle w:val="Heading1"/>
        <w:spacing w:after="120" w:before="240"/>
      </w:pPr>
      <w:r>
        <w:t xml:space="preserve">8. Live, always up to date</w:t>
      </w:r>
    </w:p>
    <w:p>
      <w:pPr>
        <w:spacing w:after="120"/>
      </w:pPr>
      <w:r>
        <w:t xml:space="preserve">Nothing is pre-saved or cached. Every time a screen loads, the system reads the latest catalog, the current Prayag prices, and all supplier prices, then recomputes the comparison on the spot. Any new price upload is reflected immediately.</w:t>
      </w:r>
    </w:p>
    <w:p>
      <w:pPr>
        <w:pStyle w:val="Heading1"/>
        <w:spacing w:after="120" w:before="240"/>
      </w:pPr>
      <w:r>
        <w:t xml:space="preserve">9. A note on data quality</w:t>
      </w:r>
    </w:p>
    <w:p>
      <w:pPr>
        <w:spacing w:after="120"/>
      </w:pPr>
      <w:r>
        <w:t xml:space="preserve">A few supplier rows contain prices entered at the wrong scale (for example a per-piece figure recorded in lakhs). These outliers inflate the simple average price gap. For that reason the dashboard leads with the MEDIAN gap, which is robust to such noise, while still showing the average honestly rather than hiding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2026-06-25T06:50:10.669Z</dcterms:created>
  <dcterms:modified xsi:type="dcterms:W3CDTF">2026-06-25T06:50:10.670Z</dcterms:modified>
</cp:coreProperties>
</file>

<file path=docProps/custom.xml><?xml version="1.0" encoding="utf-8"?>
<Properties xmlns="http://schemas.openxmlformats.org/officeDocument/2006/custom-properties" xmlns:vt="http://schemas.openxmlformats.org/officeDocument/2006/docPropsVTypes"/>
</file>